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>Zbornik propisa Švedske agencije za promet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Default="0073151C" w:rsidP="0073151C">
            <w:r>
              <w:rPr>
                <w:caps/>
                <w:sz w:val="22"/>
              </w:rPr>
              <w:t>Švedska agencija za promet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>Opći savjet Švedske agencije za promet</w:t>
      </w:r>
      <w:r>
        <w:br/>
        <w:t xml:space="preserve">o </w:t>
      </w:r>
      <w:sdt>
        <w:sdtPr>
          <w:alias w:val="Kliknite i unesite tekst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izuzećima za cestovni prijevoz za široka vozila i vozila sa širokim nedjeljivim teretom;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Godina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Br.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0785B200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Objavljeno</w:t>
                            </w:r>
                            <w:r>
                              <w:br/>
                            </w:r>
                            <w:sdt>
                              <w:sdtPr>
                                <w:alias w:val="Odabrati datum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C2EC3">
                                  <w:t>19 travnja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Unijeti seriju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CESTOVNI PROMET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6T+AEAAM4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" filled="f" stroked="f">
                <v:textbox>
                  <w:txbxContent>
                    <w:p w14:paraId="31CCB075" w14:textId="77777777" w:rsidR="00A41C32" w:rsidRPr="0024789E" w:rsidRDefault="00000000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Godina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Br.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0785B200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Objavljeno</w:t>
                      </w:r>
                      <w:r>
                        <w:br/>
                      </w:r>
                      <w:sdt>
                        <w:sdtPr>
                          <w:alias w:val="Odabrati datum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C2EC3">
                            <w:t>19 travnja 2024</w:t>
                          </w:r>
                        </w:sdtContent>
                      </w:sdt>
                    </w:p>
                    <w:sdt>
                      <w:sdtPr>
                        <w:alias w:val="Unijeti seriju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CESTOVNI PROMET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doneseno dana </w:t>
      </w:r>
      <w:sdt>
        <w:sdtPr>
          <w:rPr>
            <w:szCs w:val="22"/>
          </w:rPr>
          <w:alias w:val="Odabrati datum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hr-HR"/>
            <w:storeMappedDataAs w:val="dateTime"/>
            <w:calendar w:val="gregorian"/>
          </w:date>
        </w:sdtPr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Švedska agencija za promet donosi</w:t>
      </w:r>
      <w:r w:rsidR="00455BC3">
        <w:rPr>
          <w:rStyle w:val="FootnoteReference"/>
        </w:rPr>
        <w:footnoteReference w:id="2"/>
      </w:r>
      <w:r>
        <w:t xml:space="preserve"> sljedeći opći savjet.</w:t>
      </w:r>
    </w:p>
    <w:p w14:paraId="5191BBF2" w14:textId="77777777" w:rsidR="00455BC3" w:rsidRDefault="00455BC3" w:rsidP="00455BC3">
      <w:pPr>
        <w:pStyle w:val="Rubrik2kapitelelliknande"/>
      </w:pPr>
      <w:r>
        <w:t>Opće odredbe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Ovaj opći savjet odnosi se na razmatranje zahtjeva za izuzeće od odredaba o širini vozila ili kombinacije vozila iz poglavlja 4. odjeljka 15. Pravilnika o cestovnom prometu (1998:1276) i iz lokalnih prometnih propisa izdanih na temelju poglavlja 10. odjeljka 1. drugog stavka točke 20. navedenog Pravilnika.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Poglavlje 13., odjeljci od 3. do 5. Pravilnika o cestovnom prometu (1998:1276) sadržavaju odredbe kojima se tijela ovlašćuju za razmatranje zahtjeva za izuzeće od prometnih pravila i uvjete pod kojima se mogu odobriti izuzeća.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Propisi i opći savjeti Švedske agencije za promet (TSFS 2023:36) o cestovnom prijevozu s velikim nedjeljivim teretima sadržavaju odredbe o izuzećima za prijevoz širokih nedjeljivih tereta širine najviše 350 centimetara.</w:t>
      </w:r>
    </w:p>
    <w:p w14:paraId="74A56B21" w14:textId="77777777" w:rsidR="00455BC3" w:rsidRDefault="00455BC3" w:rsidP="00455BC3">
      <w:pPr>
        <w:pStyle w:val="Rubrik2kapitelelliknande"/>
      </w:pPr>
      <w:r>
        <w:t>Definicije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Pojmovi koji se koriste u ovom općem savjetu imaju isto značenje kao u Zakonu o vozačkim dozvolama (1998:488), Zakonu o definicijama cestovnog prometa (2001:559), Zakonu o certificiranju cestovnih prijevoznika (2004:1167), Pravilniku o cestovnom prometu (1998:1276) i Pravilniku (2001:651) o definicijama cestovnog prometa.</w:t>
      </w:r>
    </w:p>
    <w:p w14:paraId="21E43EE6" w14:textId="77777777" w:rsidR="00455BC3" w:rsidRPr="005D3C7F" w:rsidRDefault="00455BC3" w:rsidP="00455BC3">
      <w:pPr>
        <w:pStyle w:val="Rubrik2kapitelelliknande"/>
      </w:pPr>
      <w:r>
        <w:lastRenderedPageBreak/>
        <w:t>Uvjeti za odobravanje izuzeća</w:t>
      </w:r>
    </w:p>
    <w:p w14:paraId="4C4DCB54" w14:textId="77777777" w:rsidR="00455BC3" w:rsidRDefault="00455BC3" w:rsidP="00455BC3">
      <w:pPr>
        <w:pStyle w:val="Rubrik3utanluftfre"/>
      </w:pPr>
      <w:r>
        <w:t>Potvrda o ruti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Ako širina vozila prelazi 450 centimetara ili ako je širina veća od 350 centimetara, a ukupna visina prelazi 450 centimetara, podnositelj zahtjeva treba priložiti opis kojim se omogućuje provjera rute (potvrda o ruti). Ruta i sve predvidive prepreke na cesti trebaju biti jasne iz opisa.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t>Široka vozila i prijevoz širokih nedjeljivih tereta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Izuzeća bi se trebala odobriti samo za cestovni promet vozilima koja:</w:t>
      </w:r>
    </w:p>
    <w:p w14:paraId="298358C0" w14:textId="77777777" w:rsidR="00455BC3" w:rsidRDefault="00455BC3" w:rsidP="00455BC3">
      <w:pPr>
        <w:pStyle w:val="Styckemedindrag"/>
      </w:pPr>
      <w:r>
        <w:t>— zbog svoje funkcije moraju biti veća od 260 centimetara; ili</w:t>
      </w:r>
    </w:p>
    <w:p w14:paraId="2EF07593" w14:textId="77777777" w:rsidR="00455BC3" w:rsidRDefault="00455BC3" w:rsidP="00455BC3">
      <w:pPr>
        <w:pStyle w:val="Styckemedindrag"/>
      </w:pPr>
      <w:r>
        <w:t>— prevoze, ili su posebno prilagođena za prijevoz širokog nedjeljivog tereta i stoga moraju biti šira od 260 cm kada su bez tereta.</w:t>
      </w:r>
    </w:p>
    <w:p w14:paraId="59DB483D" w14:textId="77777777" w:rsidR="00455BC3" w:rsidRDefault="00455BC3" w:rsidP="00455BC3">
      <w:pPr>
        <w:pStyle w:val="Heading3"/>
      </w:pPr>
      <w:r>
        <w:t>Savjetovanje</w:t>
      </w:r>
    </w:p>
    <w:p w14:paraId="4C6F4312" w14:textId="77777777" w:rsidR="00455BC3" w:rsidRDefault="00455BC3" w:rsidP="00455BC3">
      <w:pPr>
        <w:pStyle w:val="Rubrik4utanluftfre"/>
      </w:pPr>
      <w:r>
        <w:t>Tijela za upravljanje cestama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Prije donošenja odluke o izuzeću, drugim tijelima za upravljanje cestama na koja se odnosi izuzeće trebalo bi omogućiti da iznesu primjedbe o tom pitanju.</w:t>
      </w:r>
    </w:p>
    <w:p w14:paraId="64DFE073" w14:textId="77777777" w:rsidR="00455BC3" w:rsidRDefault="00455BC3" w:rsidP="00455BC3">
      <w:pPr>
        <w:pStyle w:val="Heading4"/>
      </w:pPr>
      <w:r>
        <w:t>Švedska policijska uprava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Ako širina vozila ili kombinacije vozila prelazi 450 centimetara, Švedskoj policijskoj upravi trebalo bi omogućiti da iznese primjedbe o tome mogu li se izuzeća odobriti bez ugrožavanja sigurnosti na cestama ili uzrokovanja bilo kakvih drugih znatnih neugodnosti.</w:t>
      </w:r>
    </w:p>
    <w:p w14:paraId="0B22BFDF" w14:textId="77777777" w:rsidR="00455BC3" w:rsidRDefault="00455BC3" w:rsidP="00455BC3">
      <w:pPr>
        <w:pStyle w:val="Heading4"/>
      </w:pPr>
      <w:r>
        <w:t>Tijelo koje je izdalo lokalne prometne propise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Prije odobravanja izuzeća od lokalnih prometnih propisa s posebnim prometnim pravilima kojima se ograničava širina ili duljina motornih vozila, kombinacije vozila ili tereta koji nisu dopušteni u poglavlju 4. odjeljcima 15., 17. ili 17.a Pravilnika o cestovnom prometu (1998:1276), potrebno je savjetovati se s tijelom koje je izdalo propise.</w:t>
      </w:r>
    </w:p>
    <w:p w14:paraId="3B03DA0C" w14:textId="77777777" w:rsidR="00455BC3" w:rsidRDefault="00455BC3" w:rsidP="00455BC3">
      <w:pPr>
        <w:pStyle w:val="Rubrik2kapitelelliknande"/>
      </w:pPr>
      <w:r>
        <w:t>Razdoblje valjanosti i trajanje prijevoza</w:t>
      </w:r>
    </w:p>
    <w:p w14:paraId="1DD0CB77" w14:textId="77777777" w:rsidR="00455BC3" w:rsidRDefault="00455BC3" w:rsidP="00455BC3">
      <w:pPr>
        <w:pStyle w:val="Rubrik3utanluftfre"/>
      </w:pPr>
      <w:r>
        <w:t>Razdoblje valjanosti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Ako je potrebno odobriti iznimku za jednu vožnju, razdoblje valjanosti obično bi se trebalo odrediti na način koji omogućuje da se vožnja održi u roku od mjesec dana. </w:t>
      </w:r>
      <w:r>
        <w:t>Ako se izuzeće odnosi na više vožnji, rok valjanosti ne bi trebao biti dulji od pet godina.</w:t>
      </w:r>
    </w:p>
    <w:p w14:paraId="00B6A282" w14:textId="77777777" w:rsidR="00455BC3" w:rsidRDefault="00455BC3" w:rsidP="00455BC3">
      <w:pPr>
        <w:pStyle w:val="Heading3"/>
      </w:pPr>
      <w:r>
        <w:lastRenderedPageBreak/>
        <w:t>Trajanje prijevoza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Ako je širina veća od 310 centimetara, izuzeće u skladu s poglavljem 13. odjeljkom 3. Pravilnika o cestovnom prometu (1998:1276) ne bi trebalo odobriti:</w:t>
      </w:r>
    </w:p>
    <w:p w14:paraId="7FE53079" w14:textId="77777777" w:rsidR="00455BC3" w:rsidRDefault="00455BC3" w:rsidP="00455BC3">
      <w:pPr>
        <w:pStyle w:val="Styckemedindrag"/>
      </w:pPr>
      <w:r>
        <w:t>— kad se može očekivati gust promet, primjerice tijekom gužve u velikim aglomeracijama i u blizini njih, tijekom velikih lokalnih događaja i za dane povezane s većim blagdanima kao što su Uskrs, Ivanje i Božić; ili</w:t>
      </w:r>
    </w:p>
    <w:p w14:paraId="1681978F" w14:textId="77777777" w:rsidR="00455BC3" w:rsidRDefault="00455BC3" w:rsidP="00455BC3">
      <w:pPr>
        <w:pStyle w:val="Styckemedindrag"/>
      </w:pPr>
      <w:r>
        <w:t>— za vožnje u mraku od ponedjeljka do petka, od 6 do 9 sati i od 15 do 20 sati.</w:t>
      </w:r>
    </w:p>
    <w:p w14:paraId="049FF755" w14:textId="77777777" w:rsidR="00455BC3" w:rsidRDefault="00455BC3" w:rsidP="00455BC3">
      <w:pPr>
        <w:pStyle w:val="Rubrik2kapitelelliknande"/>
      </w:pPr>
      <w:r>
        <w:t>Uvjeti u odluci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O</w:t>
      </w:r>
      <w:r>
        <w:t>dluke bi trebale biti uvjetne, na primjer:</w:t>
      </w:r>
    </w:p>
    <w:p w14:paraId="406D16E4" w14:textId="77777777" w:rsidR="00455BC3" w:rsidRDefault="00455BC3" w:rsidP="00455BC3">
      <w:pPr>
        <w:pStyle w:val="Styckemedindrag"/>
      </w:pPr>
      <w:r>
        <w:t>— prije početka vožnje, vozač provjerava je li ruta prolazna, uzimajući u obzir radove na cesti, vertikalne i bočne prepreke i druge slične predvidive okolnosti;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 xml:space="preserve">— prijevoz se ne odvija kada je vidljivost znatno smanjena zbog vremenskih uvjeta kao što su gusta magla, jaki snijeg ili blještavilo uzrokovano snijegom. i </w:t>
      </w:r>
    </w:p>
    <w:p w14:paraId="7EE80997" w14:textId="77777777" w:rsidR="00455BC3" w:rsidRDefault="00455BC3" w:rsidP="00455BC3">
      <w:pPr>
        <w:pStyle w:val="Styckemedindrag"/>
      </w:pPr>
      <w:r>
        <w:t>— sukladnost sa zahtjevima za označivanje i upozoravanje u skladu s odredbama od 15 do 25.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Za vožnje vozilima širima od 310 cm, ali ne širima od 450 centimetara, odluka bi, uz odredbu 12, trebala biti podložna uvjetima u skladu s odredbama od 26 do 37.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Za vožnje vozilima širima od 450 centimetara odluka bi, uz odredbu 12, trebala biti podložna uvjetima u skladu s odredbama od 26 do 39.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t>Označavanje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Vozila ili kombinacije vozila šira od 260 cm opremljena su upozoravajućim svjetlima i označena drugim svjetlima, znakovima za označivanje širine, znakovima upozorenja i reflektorima kako je utvrđeno u odredbama 16, od 19 do 21 i 24. </w:t>
      </w:r>
    </w:p>
    <w:p w14:paraId="5DC85DB7" w14:textId="77777777" w:rsidR="00455BC3" w:rsidRDefault="00455BC3" w:rsidP="00455BC3">
      <w:pPr>
        <w:pStyle w:val="Styckemedindrag"/>
      </w:pPr>
      <w:r>
        <w:t>Znakovi, svjetla i reflektori u takvom su stanju da su vidljivi i razumljivi drugim sudionicima u prometu. Znakovi za označivanje širine i znakovi upozorenja jasno su vidljivi sprijeda i straga.</w:t>
      </w:r>
    </w:p>
    <w:p w14:paraId="6AC028A5" w14:textId="77777777" w:rsidR="00455BC3" w:rsidRDefault="00455BC3" w:rsidP="00455BC3">
      <w:pPr>
        <w:pStyle w:val="Styckemedindrag"/>
      </w:pPr>
      <w:r>
        <w:t>Kada putujete noću, u sumrak ili u zoru i na drugi način kada to zahtijevaju vremenske prilike ili druge okolnosti, znakovi upozorenja su osvijetljeni. Znakovi za označivanje širine na pokretnim dizalicama s oznakom EZ i motoriziranoj opremi nisu osvijetljeni.</w:t>
      </w:r>
    </w:p>
    <w:p w14:paraId="68E422BF" w14:textId="77777777" w:rsidR="00455BC3" w:rsidRDefault="00455BC3" w:rsidP="00455BC3">
      <w:pPr>
        <w:pStyle w:val="Styckemedindrag"/>
      </w:pPr>
      <w:r>
        <w:t>Na slici 1. u Prilogu prikazani su primjeri označivanja opterećenja koja strše bočno s vozila kako bi bila jasno vidljiva sprijeda i straga.</w:t>
      </w:r>
    </w:p>
    <w:p w14:paraId="1315ED4E" w14:textId="77777777" w:rsidR="00455BC3" w:rsidRPr="00FD46C8" w:rsidRDefault="00455BC3" w:rsidP="00455BC3">
      <w:pPr>
        <w:pStyle w:val="Heading4"/>
      </w:pPr>
      <w:r>
        <w:lastRenderedPageBreak/>
        <w:t>Znakovi za označivanje širine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Na vozilima čija širina vozila bez tereta prelazi 260 centimetara, znakovi za označivanje širine nalaze se na vanjskim rubovima vozila.</w:t>
      </w:r>
    </w:p>
    <w:p w14:paraId="10E7295E" w14:textId="77777777" w:rsidR="00455BC3" w:rsidRDefault="00455BC3" w:rsidP="00455BC3">
      <w:pPr>
        <w:pStyle w:val="Styckemedindrag"/>
      </w:pPr>
      <w:r>
        <w:t>Na vozilima s teretom koji strši bočno iz vozila, vanjski rubovi oznaka širine u vodoravnom smjeru nisu smješteni unutar krajnjeg ruba tereta. U uzdužnom smjeru tereta znakovi se postavljaju prije ili na onaj dio tereta koji uzrokuje prekoračenje dopuštene širine.</w:t>
      </w:r>
    </w:p>
    <w:p w14:paraId="0F2AB24D" w14:textId="77777777" w:rsidR="00455BC3" w:rsidRDefault="00455BC3" w:rsidP="00455BC3">
      <w:pPr>
        <w:pStyle w:val="Styckemedindrag"/>
      </w:pPr>
      <w:r>
        <w:t>Znakovi su obično smješteni najviše 2,0 metra iznad kolnika.</w:t>
      </w:r>
    </w:p>
    <w:p w14:paraId="7406DB75" w14:textId="77777777" w:rsidR="00455BC3" w:rsidRDefault="00455BC3" w:rsidP="00455BC3">
      <w:pPr>
        <w:pStyle w:val="Styckemedindrag"/>
      </w:pPr>
      <w:r>
        <w:t>Na slici 1. u Prilogu prikazani su primjeri odgovarajućeg položaja oznaka širine u vodoravnom smjeru.</w:t>
      </w:r>
    </w:p>
    <w:p w14:paraId="461E0D24" w14:textId="77777777" w:rsidR="00455BC3" w:rsidRDefault="00455BC3" w:rsidP="00455BC3">
      <w:pPr>
        <w:pStyle w:val="Styckemedindrag"/>
      </w:pPr>
      <w:r>
        <w:t>Na slici 2. u Prilogu prikazani su primjeri odgovarajućeg položaja znakova u uzdužnom smjeru tereta.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Znakovi</w:t>
      </w:r>
    </w:p>
    <w:p w14:paraId="173E3826" w14:textId="77777777" w:rsidR="00455BC3" w:rsidRDefault="00455BC3" w:rsidP="00455BC3">
      <w:pPr>
        <w:pStyle w:val="Styckemedindrag"/>
      </w:pPr>
      <w:r>
        <w:t>1. imaju naizmjenično crvena i bijela polja s kutom od 45 do 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i širine 7 do 10 centimetara;</w:t>
      </w:r>
    </w:p>
    <w:p w14:paraId="48FCC154" w14:textId="77777777" w:rsidR="00455BC3" w:rsidRDefault="00455BC3" w:rsidP="00455BC3">
      <w:pPr>
        <w:pStyle w:val="Styckemedindrag"/>
      </w:pPr>
      <w:r>
        <w:t>2. imaju polja iste širine, s iznimkom najudaljenijih polja;</w:t>
      </w:r>
    </w:p>
    <w:p w14:paraId="23917DD9" w14:textId="77777777" w:rsidR="00455BC3" w:rsidRDefault="00455BC3" w:rsidP="00455BC3">
      <w:pPr>
        <w:pStyle w:val="Styckemedindrag"/>
      </w:pPr>
      <w:r>
        <w:t>3. nose oznaku razreda E u skladu s Pravilnicima Gospodarske komisije Ujedinjenih naroda za Europu (Pravilnici ECE) br. 104 ili 150; i</w:t>
      </w:r>
    </w:p>
    <w:p w14:paraId="1F95A881" w14:textId="77777777" w:rsidR="00455BC3" w:rsidRDefault="00455BC3" w:rsidP="00455BC3">
      <w:pPr>
        <w:pStyle w:val="Styckemedindrag"/>
      </w:pPr>
      <w:r>
        <w:t>4. postavljeni su tako da se polja spuštaju prema dolje i prema van od vozila ili tereta.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Znakovi dolaze u sljedećim veličinama.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6"/>
        <w:gridCol w:w="859"/>
        <w:gridCol w:w="3756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Kvadratni znakovi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Slika 1.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iznosi najmanje 0,42 metra. Omjer između širine i visine je 1:1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Pravokutni znakovi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Slika 2.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S1 iznosi najmanje 0,28 metara, a S2 najmanje 0,56 metara. Omjer između širine i visine je 1:2.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t>Pravokutni znakovi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Slika 3.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S1 je 0,14 metara, a S2 0,8 metara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Slika 1.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2.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t>Slika 3.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Znakovi za označivanje širine na pokretnoj dizalici s oznakom EZ i motoriziranoj opremi mogu imati različite veličine od gore navedenih i mogu biti izrađeni kao naljepnice.</w:t>
      </w:r>
    </w:p>
    <w:p w14:paraId="6359184F" w14:textId="77777777" w:rsidR="00455BC3" w:rsidRPr="00F369BF" w:rsidRDefault="00455BC3" w:rsidP="00455BC3">
      <w:pPr>
        <w:pStyle w:val="Heading4"/>
      </w:pPr>
      <w:r>
        <w:t>Označavanje tankih jedinica tereta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P</w:t>
      </w:r>
      <w:r>
        <w:t>loče, građevinske ploče i druge slične tanke jedinice tereta, uz znakove za označivanje širine sprijeda i straga, imaju znak ili ekvivalent na onim dijelovima tereta koji dovode do prekoračenja širine. Imaju naizmjenično reflektirajuće crvenu i bijelu boju i vidljivu površinu od najmanje 250 centimetara²;</w:t>
      </w:r>
    </w:p>
    <w:p w14:paraId="5193F1E0" w14:textId="77777777" w:rsidR="00455BC3" w:rsidRPr="002A4B3D" w:rsidRDefault="00455BC3" w:rsidP="00455BC3">
      <w:pPr>
        <w:pStyle w:val="Styckemedindrag"/>
      </w:pPr>
      <w:r>
        <w:t>Prvi stavak ne primjenjuje se ako su oznake širine postavljene uz izbočeni teret. Značenje „uz izbočeni teret” prikazano je na slici 2. u Prilogu.</w:t>
      </w:r>
    </w:p>
    <w:p w14:paraId="33B2FFB5" w14:textId="77777777" w:rsidR="00455BC3" w:rsidRDefault="00455BC3" w:rsidP="00455BC3">
      <w:pPr>
        <w:pStyle w:val="Heading4"/>
      </w:pPr>
      <w:r>
        <w:lastRenderedPageBreak/>
        <w:t>Svjetiljke i katadiopteri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Kada putujete noću, u sumrak ili u zoru i ako to zahtijevaju vremenske prilike ili druge okolnosti, krajnji rub vozila ili tereta označen je svjetlima i reflektorima</w:t>
      </w:r>
      <w:r>
        <w:t>. Oznake se nalaze sprijeda i straga uz dva svjetla na svakoj strani. Sprijeda svjetla pokazuju bijelo svjetlo prema naprijed i s bijelim reflektorima. Na stražnjoj strani svjetla su crvena unatrag i s crvenim reflektorima.</w:t>
      </w:r>
    </w:p>
    <w:p w14:paraId="6624681F" w14:textId="77777777" w:rsidR="00455BC3" w:rsidRDefault="00455BC3" w:rsidP="00455BC3">
      <w:pPr>
        <w:pStyle w:val="Styckemedindrag"/>
      </w:pPr>
      <w:r>
        <w:t>Svjetla su smještena iznad i ispod oznake širine i što bliže vanjskom rubu. Imaju svjetlosnu jakost tako da se mogu jasno vidjeti na udaljenosti od 300 metara.</w:t>
      </w:r>
    </w:p>
    <w:p w14:paraId="1DBB6107" w14:textId="77777777" w:rsidR="00455BC3" w:rsidRDefault="00455BC3" w:rsidP="00455BC3">
      <w:pPr>
        <w:pStyle w:val="Styckemedindrag"/>
      </w:pPr>
      <w:r>
        <w:t>Pokretne dizalice s oznakom EZ i motorizirana oprema nisu opremljene svjetlima i reflektorima kako je navedeno u prvom stavku.</w:t>
      </w:r>
    </w:p>
    <w:p w14:paraId="3886155F" w14:textId="77777777" w:rsidR="00455BC3" w:rsidRDefault="00455BC3" w:rsidP="00455BC3">
      <w:pPr>
        <w:pStyle w:val="Heading4"/>
      </w:pPr>
      <w:r>
        <w:t>Znakovi upozorenja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V</w:t>
      </w:r>
      <w:r>
        <w:rPr>
          <w:rStyle w:val="Fparagrafbeteckning"/>
          <w:b w:val="0"/>
        </w:rPr>
        <w:t xml:space="preserve">ozilo ili kombinacija vozila </w:t>
      </w:r>
      <w:r>
        <w:t>opremljeni su znakovima upozorenja sprijeda i straga.</w:t>
      </w:r>
    </w:p>
    <w:p w14:paraId="01F45545" w14:textId="77777777" w:rsidR="00455BC3" w:rsidRDefault="00455BC3" w:rsidP="00455BC3">
      <w:pPr>
        <w:pStyle w:val="Styckemedindrag"/>
      </w:pPr>
      <w:r>
        <w:t>Znak okrenut prema naprijed mora biti postavljen ispod donjeg ruba vjetrobranskog stakla ili tako da donji rub znaka nije više od 2,0 metra iznad kolnika.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Znakovi imaju:</w:t>
      </w:r>
    </w:p>
    <w:p w14:paraId="33D64DB5" w14:textId="77777777" w:rsidR="00455BC3" w:rsidRPr="006800D8" w:rsidRDefault="00455BC3" w:rsidP="00455BC3">
      <w:pPr>
        <w:pStyle w:val="Styckemedindrag"/>
      </w:pPr>
      <w:r>
        <w:t>1. pozadinu žute boje koja je reflektirajuća;</w:t>
      </w:r>
    </w:p>
    <w:p w14:paraId="3F6FE63B" w14:textId="77777777" w:rsidR="00455BC3" w:rsidRPr="005C2570" w:rsidRDefault="00455BC3" w:rsidP="00455BC3">
      <w:pPr>
        <w:pStyle w:val="Styckemedindrag"/>
      </w:pPr>
      <w:r>
        <w:t>2. fluorescentno crveni rub širine 5,5 centimetara; i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tekst u fontu TratexSvart veličine 0,17 metara.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Znakovi dolaze u sljedećim veličinama.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1"/>
        <w:gridCol w:w="841"/>
        <w:gridCol w:w="3769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t>Znakovi s jednim redom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Slika 1.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S1 iznosi najmanje 1,2 metara, a S2 najmanje 0,4 metara. Omjer između širine i visine je 3:1.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Znakovi s dva reda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Slika 2.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S1 iznosi najmanje 0,6 metara, a S2 najmanje 0,5 metara.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Ako se poveća veličina znaka, veličina teksta i širina ruba također se povećavaju u skladu s tim.</w:t>
      </w:r>
    </w:p>
    <w:p w14:paraId="2A11C87E" w14:textId="52D4BCBE" w:rsidR="00455BC3" w:rsidRDefault="00455BC3" w:rsidP="00455BC3">
      <w:pPr>
        <w:pStyle w:val="Styckemedindrag"/>
      </w:pPr>
      <w:r>
        <w:t>Slika 1.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Pr="00D107C9" w:rsidRDefault="002F073C">
            <w:pPr>
              <w:pStyle w:val="Styckemedindrag"/>
              <w:ind w:firstLine="0"/>
            </w:pPr>
            <w:r w:rsidRPr="00D107C9"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Široki teret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Upozorne svjetiljke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Vozilo ili kombinacija vozila moraju biti opremljeni najmanje jednom upozornom svjetiljkom.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Upozorne svjetiljke uključuju se samo ako vozilo ili kombinacija vozila koriste više od jedne prometne trake odjednom.</w:t>
      </w:r>
    </w:p>
    <w:p w14:paraId="669ABBEE" w14:textId="77777777" w:rsidR="00455BC3" w:rsidRDefault="00455BC3" w:rsidP="00455BC3">
      <w:pPr>
        <w:pStyle w:val="Rubrik2kapitelelliknande"/>
      </w:pPr>
      <w:r>
        <w:t>Dodatni uvjeti za vožnju vozilima ili kombinacijama vozila dužim od 310 centimetara</w:t>
      </w:r>
    </w:p>
    <w:p w14:paraId="592879D1" w14:textId="77777777" w:rsidR="00455BC3" w:rsidRPr="00056A55" w:rsidRDefault="00455BC3" w:rsidP="00455BC3">
      <w:pPr>
        <w:pStyle w:val="Rubrik3utanluftfre"/>
      </w:pPr>
      <w:r>
        <w:t>Upozorne svjetiljke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Kada putujete noću, u sumrak ili u zoru </w:t>
      </w:r>
      <w:r>
        <w:rPr>
          <w:rFonts w:ascii="TimesNewRomanPSMT" w:hAnsi="TimesNewRomanPSMT"/>
        </w:rPr>
        <w:t xml:space="preserve">i na drugi način kada to zahtijevaju vremenski uvjeti ili druge okolnosti, </w:t>
      </w:r>
      <w:r>
        <w:t>upozorna svjetla, uz ona iz odredbe 25, uključena su.</w:t>
      </w:r>
    </w:p>
    <w:p w14:paraId="3517E9D2" w14:textId="77777777" w:rsidR="00455BC3" w:rsidRDefault="00455BC3" w:rsidP="00455BC3">
      <w:pPr>
        <w:pStyle w:val="Heading3"/>
      </w:pPr>
      <w:r>
        <w:t>Vozilo za upozoravanje na opasnost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Vozilo za upozoravanje na opasnost upozorava druge sudionike u prometu na široko vozilo ili skup vozila.</w:t>
      </w:r>
    </w:p>
    <w:p w14:paraId="3987A82A" w14:textId="77777777" w:rsidR="00455BC3" w:rsidRDefault="00455BC3" w:rsidP="00455BC3">
      <w:pPr>
        <w:pStyle w:val="Styckemedindrag"/>
      </w:pPr>
      <w:r>
        <w:t>Vozilo za upozoravanje na opasnost vozi iza vozila ili kombinacije vozila kada se vozi na cestama s prometnim trakama odvojenima razdjelnikom, središnjom zaprekom ili ekvivalentom. Ako nema fizičkog odvajanja traka, umjesto toga kreće se ispred vozila ili skupa vozila.</w:t>
      </w:r>
    </w:p>
    <w:p w14:paraId="244B3857" w14:textId="77777777" w:rsidR="00455BC3" w:rsidRPr="00740028" w:rsidRDefault="00455BC3" w:rsidP="00455BC3">
      <w:pPr>
        <w:pStyle w:val="Styckemedindrag"/>
      </w:pPr>
      <w:r>
        <w:t>Osim u naseljenim područjima, udaljenost između vozila koje upozorava na opasnost i prijevoza iznosi približno 200 metara. U naseljenim područjima udaljenost je kraća.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>Vozilo za upozoravanje na opasnost upozorava na najviše tri vozila ili kombinacije vozila.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V</w:t>
      </w:r>
      <w:r>
        <w:t>ozilo za upozoravanje na opasnost osobni je automobil ili kamion ukupne mase koja ne prelazi 4,5 tona. Vozilo nema spojeno vozilo.</w:t>
      </w:r>
    </w:p>
    <w:p w14:paraId="0D32A395" w14:textId="77777777" w:rsidR="00455BC3" w:rsidRPr="00877D1F" w:rsidRDefault="00455BC3" w:rsidP="00455BC3">
      <w:pPr>
        <w:pStyle w:val="Heading4"/>
      </w:pPr>
      <w:r>
        <w:lastRenderedPageBreak/>
        <w:t>Vozačka dozvola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Vozač vozila za upozoravanje na opasnost ima vozačku dozvolu C1 ili C kategorije.</w:t>
      </w:r>
    </w:p>
    <w:p w14:paraId="0642AF03" w14:textId="77777777" w:rsidR="00455BC3" w:rsidRPr="00877D1F" w:rsidRDefault="00455BC3" w:rsidP="00455BC3">
      <w:pPr>
        <w:pStyle w:val="Heading4"/>
      </w:pPr>
      <w:r>
        <w:t>Znakovi upozorenja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Vozilo za upozoravanje na opasnost označeno je znakovima upozorenja. Znakovi su smješteni iznad gornjeg ruba vjetrobranskog stakla i jasno su vidljivi sprijeda i straga. Znakovi su u takvom stanju da su vidljivi i razumljivi drugim sudionicima u prometu. </w:t>
      </w:r>
      <w:r>
        <w:rPr>
          <w:rStyle w:val="Fparagrafbeteckning"/>
          <w:b w:val="0"/>
        </w:rPr>
        <w:t xml:space="preserve">Kada putujete noću, u sumrak ili u zoru </w:t>
      </w:r>
      <w:r>
        <w:t>i na drugi način kada to zahtijevaju vremenski uvjeti ili druge okolnosti,</w:t>
      </w:r>
      <w:r>
        <w:rPr>
          <w:rStyle w:val="Fparagrafbeteckning"/>
          <w:b w:val="0"/>
        </w:rPr>
        <w:t xml:space="preserve"> znakovi upozorenja su osvijetljeni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Znakovi imaju:</w:t>
      </w:r>
    </w:p>
    <w:p w14:paraId="72E521BA" w14:textId="77777777" w:rsidR="00455BC3" w:rsidRPr="00EC3487" w:rsidRDefault="00455BC3" w:rsidP="00455BC3">
      <w:pPr>
        <w:pStyle w:val="Styckemedindrag"/>
      </w:pPr>
      <w:r>
        <w:t>1. pozadinu žute boje koja je reflektirajuća;</w:t>
      </w:r>
    </w:p>
    <w:p w14:paraId="5B4BC159" w14:textId="77777777" w:rsidR="00455BC3" w:rsidRPr="005C2570" w:rsidRDefault="00455BC3" w:rsidP="00455BC3">
      <w:pPr>
        <w:pStyle w:val="Styckemedindrag"/>
      </w:pPr>
      <w:r>
        <w:t>2. fluorescentno crveni rub širine 5,5 centimetara; i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tekst u fontu TratexSvart veličine 0,17 metara.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t>Znakovi su sljedeće veličine.</w:t>
      </w:r>
    </w:p>
    <w:p w14:paraId="5980FB25" w14:textId="77777777" w:rsidR="00455BC3" w:rsidRDefault="00455BC3" w:rsidP="00455BC3">
      <w:pPr>
        <w:pStyle w:val="Styckemedindrag"/>
      </w:pPr>
      <w:r>
        <w:t>S1 iznosi najmanje 1,2 metra, a S2 najmanje 0,4 metra (slika 1.). Omjer između širine i visine je 3:1.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Ako se poveća veličina znaka, veličina teksta i širina ruba također se povećavaju u skladu s tim.</w:t>
      </w:r>
    </w:p>
    <w:p w14:paraId="71BCCFCA" w14:textId="77777777" w:rsidR="00455BC3" w:rsidRDefault="00455BC3" w:rsidP="00455BC3">
      <w:pPr>
        <w:pStyle w:val="Styckemedindrag"/>
      </w:pPr>
      <w:r>
        <w:t>Slika 1.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Pr="00D107C9" w:rsidRDefault="002F073C">
            <w:pPr>
              <w:pStyle w:val="Styckemedindrag"/>
              <w:ind w:firstLine="0"/>
            </w:pPr>
            <w:r w:rsidRPr="00D107C9"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Znak upozorenja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Upozorna svjetiljka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Vozilo za upozoravanje na opasnost opremljeno je najmanje jednom upozornom svjetiljkom.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Kada se putuje danju, upozorna svjetiljka uključuje se samo kada široko vozilo ili skup vozila zadire u prometnu traku za nadolazeći promet.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Kada </w:t>
      </w:r>
      <w:r>
        <w:t>se putuje noću, u sumrak ili u zoru i na drugi način kada to zahtijevaju vremenske prilike ili druge okolnosti, upozoravajuća svjetiljka uvijek je uključena.</w:t>
      </w:r>
    </w:p>
    <w:p w14:paraId="75FAD085" w14:textId="77777777" w:rsidR="00455BC3" w:rsidRDefault="00455BC3" w:rsidP="00455BC3">
      <w:pPr>
        <w:pStyle w:val="Heading3"/>
      </w:pPr>
      <w:r>
        <w:lastRenderedPageBreak/>
        <w:t>Komunikacija između vozila koje upozorava na opasnost i širokog vozila ili kombinacije vozila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Vozači u vozilu koje upozorava na opasnost te u širokom vozilu ili kombinaciji vozila mogu međusobno komunicirati putem radijske ili mobilne telefonske veze. Vozači mogu međusobno komunicirati </w:t>
      </w:r>
      <w:r>
        <w:t xml:space="preserve">na jeziku koji obojica </w:t>
      </w:r>
      <w:r>
        <w:rPr>
          <w:rFonts w:ascii="TimesNewRomanPSMT" w:hAnsi="TimesNewRomanPSMT"/>
        </w:rPr>
        <w:t>razumiju.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Dodatni uvjeti za vožnju vozilima širima od 450 centimetara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Prijevoz prati upravitelj cestovnog prijevoza ili policijski službenik. Ako prijevoz treba pratiti policija, odluka bi trebala uključivati uputu da se sa Švedskom policijskom upravom stupi u kontakt najmanje tjedan dana prije planiranog prijevoza.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Vozač prijevoza osigurava uspostavu radijske ili telefonske veze s vozačem vozila za upozoravanje na opasnost, pratnjom u cestovnom prijevozu ili policijom. Međusobno komuniciraju na jeziku koji svi razumiju.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t>Ovim se općim savjetom zamjenjuju Opći savjet Švedske uprave za ceste (VVFS 2000:126) o izuzećima od odredaba Pravilnika o cestovnom prometu (1998:1276) o širini vozila i Opći savjet Švedske agencije za promet (TSFS 2009:64) o izuzećima za cestovni prijevoz za široka vozila.</w:t>
      </w:r>
    </w:p>
    <w:p w14:paraId="2595ABA4" w14:textId="77777777" w:rsidR="00FC5B2E" w:rsidRDefault="00FC5B2E" w:rsidP="00FC5B2E">
      <w:pPr>
        <w:pStyle w:val="Beslutandeochfredragande"/>
      </w:pPr>
      <w:r>
        <w:t>U ime Švedske agencije za promet</w:t>
      </w:r>
      <w:r>
        <w:br/>
        <w:t>JONAS BJELFVENSTAM</w:t>
      </w:r>
      <w:r>
        <w:br/>
        <w:t>Pär Ekström</w:t>
      </w:r>
      <w:r>
        <w:br/>
        <w:t>(Ceste i željeznice)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Objavljuje: Kristina Nilsson, Švedska prometna agencija, Norrköping ISSN 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0C85AC51" w14:textId="77777777" w:rsidR="00FC5B2E" w:rsidRDefault="00FC5B2E" w:rsidP="00FC5B2E">
      <w:pPr>
        <w:pStyle w:val="Styckemedindrag"/>
        <w:sectPr w:rsidR="00FC5B2E" w:rsidSect="000B024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7F304A6E" w14:textId="77777777" w:rsidR="00FC5B2E" w:rsidRDefault="00FC5B2E" w:rsidP="00FC5B2E">
      <w:pPr>
        <w:pStyle w:val="Heading3"/>
      </w:pPr>
      <w:r>
        <w:lastRenderedPageBreak/>
        <w:t>Prilog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1. Položaj oznake širine u vodoravnom smjeru.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Slika 2. Položaj znakova za označivanje širine u uzdužnom smjeru na teretu.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Pr="00D107C9" w:rsidRDefault="002F073C" w:rsidP="00E418B3">
            <w:pPr>
              <w:pStyle w:val="Styckemedindrag"/>
              <w:spacing w:line="240" w:lineRule="auto"/>
              <w:ind w:firstLine="0"/>
            </w:pPr>
            <w:r w:rsidRPr="00D107C9"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Široki teret</w:t>
            </w:r>
          </w:p>
        </w:tc>
      </w:tr>
      <w:tr w:rsidR="002F073C" w14:paraId="65DD1300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Pr="00D107C9" w:rsidRDefault="002F073C" w:rsidP="00E418B3">
            <w:pPr>
              <w:pStyle w:val="Styckemedindrag"/>
              <w:spacing w:line="240" w:lineRule="auto"/>
              <w:ind w:firstLine="0"/>
            </w:pPr>
            <w:r w:rsidRPr="00D107C9"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Prije tereta</w:t>
            </w:r>
          </w:p>
        </w:tc>
      </w:tr>
      <w:tr w:rsidR="002F073C" w14:paraId="1AEF6F99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Pr="00D107C9" w:rsidRDefault="002F073C" w:rsidP="00E418B3">
            <w:pPr>
              <w:pStyle w:val="Styckemedindrag"/>
              <w:spacing w:line="240" w:lineRule="auto"/>
              <w:ind w:firstLine="0"/>
            </w:pPr>
            <w:r w:rsidRPr="00D107C9"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Pored tereta</w:t>
            </w:r>
          </w:p>
        </w:tc>
      </w:tr>
      <w:tr w:rsidR="002F073C" w14:paraId="706C7415" w14:textId="77777777" w:rsidTr="002F073C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Pr="00D107C9" w:rsidRDefault="002F073C" w:rsidP="00E418B3">
            <w:pPr>
              <w:pStyle w:val="Styckemedindrag"/>
              <w:spacing w:line="240" w:lineRule="auto"/>
              <w:ind w:firstLine="0"/>
            </w:pPr>
            <w:r w:rsidRPr="00D107C9"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TERET NEDJELJIVE ŠIRINE</w:t>
            </w:r>
          </w:p>
        </w:tc>
      </w:tr>
    </w:tbl>
    <w:p w14:paraId="166B8A87" w14:textId="0B4DC28E" w:rsidR="00FC5B2E" w:rsidRPr="00E418B3" w:rsidRDefault="00FC5B2E" w:rsidP="00E418B3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31"/>
      <w:headerReference w:type="default" r:id="rId32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1FB9" w14:textId="77777777" w:rsidR="007B0C24" w:rsidRDefault="007B0C24">
      <w:r>
        <w:separator/>
      </w:r>
    </w:p>
    <w:p w14:paraId="377BD526" w14:textId="77777777" w:rsidR="007B0C24" w:rsidRDefault="007B0C24"/>
  </w:endnote>
  <w:endnote w:type="continuationSeparator" w:id="0">
    <w:p w14:paraId="16BD819C" w14:textId="77777777" w:rsidR="007B0C24" w:rsidRDefault="007B0C24">
      <w:r>
        <w:continuationSeparator/>
      </w:r>
    </w:p>
    <w:p w14:paraId="7F220766" w14:textId="77777777" w:rsidR="007B0C24" w:rsidRDefault="007B0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EF0B" w14:textId="6699A382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2</w:t>
    </w:r>
    <w:r>
      <w:rPr>
        <w:rStyle w:val="PageNumber"/>
      </w:rPr>
      <w:fldChar w:fldCharType="end"/>
    </w:r>
  </w:p>
  <w:p w14:paraId="4D05645E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5F51" w14:textId="12579C72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A34A" w14:textId="0F02ACB5" w:rsidR="00776CC0" w:rsidRDefault="00FC3427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D107C9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16CBA34A" w14:textId="0F02ACB5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D107C9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36539A">
      <w:rPr>
        <w:rStyle w:val="PageNumber"/>
      </w:rPr>
      <w:t>1</w:t>
    </w:r>
    <w:r w:rsidR="0036539A">
      <w:rPr>
        <w:rStyle w:val="PageNumber"/>
      </w:rPr>
      <w:t>1</w:t>
    </w:r>
    <w:r w:rsidR="00776CC0">
      <w:rPr>
        <w:rStyle w:val="PageNumber"/>
      </w:rPr>
      <w:fldChar w:fldCharType="end"/>
    </w:r>
  </w:p>
  <w:p w14:paraId="1D4412F8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5155" w14:textId="54404F57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1</w:t>
    </w:r>
    <w:r>
      <w:rPr>
        <w:rStyle w:val="PageNumber"/>
      </w:rPr>
      <w:fldChar w:fldCharType="end"/>
    </w:r>
  </w:p>
  <w:p w14:paraId="11051F12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31EB" w14:textId="77777777" w:rsidR="007B0C24" w:rsidRDefault="007B0C24"/>
  </w:footnote>
  <w:footnote w:type="continuationSeparator" w:id="0">
    <w:p w14:paraId="4F8B28D3" w14:textId="77777777" w:rsidR="007B0C24" w:rsidRDefault="007B0C24">
      <w:r>
        <w:continuationSeparator/>
      </w:r>
    </w:p>
    <w:p w14:paraId="28AA06A3" w14:textId="77777777" w:rsidR="007B0C24" w:rsidRDefault="007B0C24"/>
  </w:footnote>
  <w:footnote w:type="continuationNotice" w:id="1">
    <w:p w14:paraId="6C3BE0D6" w14:textId="77777777" w:rsidR="007B0C24" w:rsidRDefault="007B0C24"/>
    <w:p w14:paraId="502D5EB0" w14:textId="77777777" w:rsidR="007B0C24" w:rsidRDefault="007B0C24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Vidjeti Direktivu (EU) 2015/1535 Europskog parlamenta i Vijeća od 9. rujna 2015. o utvrđivanju postupka pružanja informacija u području tehničkih propisa i pravila o uslugama informacijskog društva.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EC2A" w14:textId="77777777" w:rsidR="00A41C32" w:rsidRPr="00A41C32" w:rsidRDefault="00000000" w:rsidP="00A41C32">
    <w:pPr>
      <w:pStyle w:val="FSnr-sidhuvud"/>
    </w:pPr>
    <w:sdt>
      <w:sdtPr>
        <w:alias w:val="Zbornik propisa"/>
        <w:id w:val="-668563778"/>
        <w:placeholder>
          <w:docPart w:val="B33F81CD5BBA4203B5D7E75BC4F9EB11"/>
        </w:placeholder>
        <w:text/>
      </w:sdtPr>
      <w:sdtContent>
        <w:r w:rsidR="00E807BC">
          <w:t>TSFS 20</w:t>
        </w:r>
      </w:sdtContent>
    </w:sdt>
    <w:sdt>
      <w:sdtPr>
        <w:alias w:val="Godina"/>
        <w:tag w:val="År"/>
        <w:id w:val="651943009"/>
        <w:placeholder>
          <w:docPart w:val="C825522A243547DBB27D308D6000E893"/>
        </w:placeholder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Br.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428AE930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6AB3" w14:textId="77777777" w:rsidR="00A41C32" w:rsidRPr="00A41C32" w:rsidRDefault="00000000" w:rsidP="00A41C32">
    <w:pPr>
      <w:pStyle w:val="FSnr-sidhuvud"/>
      <w:jc w:val="right"/>
    </w:pPr>
    <w:sdt>
      <w:sdtPr>
        <w:alias w:val="Zbornik propisa"/>
        <w:id w:val="1150257239"/>
        <w:text/>
      </w:sdtPr>
      <w:sdtContent>
        <w:r w:rsidR="00E807BC">
          <w:t>TSFS 20</w:t>
        </w:r>
      </w:sdtContent>
    </w:sdt>
    <w:sdt>
      <w:sdtPr>
        <w:alias w:val="Godina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Br.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3A8BFEFD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BE6B" w14:textId="77777777" w:rsidR="00776CC0" w:rsidRDefault="00776CC0">
    <w:pPr>
      <w:pStyle w:val="Header"/>
    </w:pPr>
  </w:p>
  <w:p w14:paraId="7F72C20B" w14:textId="77777777" w:rsidR="00A41C32" w:rsidRDefault="00A41C32">
    <w:pPr>
      <w:pStyle w:val="Header"/>
    </w:pPr>
  </w:p>
  <w:p w14:paraId="708B2285" w14:textId="77777777" w:rsidR="00776CC0" w:rsidRDefault="00776CC0">
    <w:pPr>
      <w:pStyle w:val="Header"/>
    </w:pPr>
  </w:p>
  <w:p w14:paraId="24B83258" w14:textId="77777777" w:rsidR="00776CC0" w:rsidRDefault="00776CC0">
    <w:pPr>
      <w:pStyle w:val="Header"/>
    </w:pPr>
  </w:p>
  <w:p w14:paraId="49700E58" w14:textId="77777777" w:rsidR="00776CC0" w:rsidRDefault="00776CC0">
    <w:pPr>
      <w:pStyle w:val="Header"/>
    </w:pPr>
  </w:p>
  <w:p w14:paraId="6AE31E88" w14:textId="77777777" w:rsidR="00776CC0" w:rsidRDefault="00776C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952" w14:textId="77777777" w:rsidR="00FC5B2E" w:rsidRPr="00A41C32" w:rsidRDefault="00000000" w:rsidP="00A41C32">
    <w:pPr>
      <w:pStyle w:val="FSnr-sidhuvud"/>
    </w:pPr>
    <w:sdt>
      <w:sdtPr>
        <w:alias w:val="Zbornik propisa"/>
        <w:id w:val="1143925454"/>
        <w:placeholder>
          <w:docPart w:val="C825522A243547DBB27D308D6000E893"/>
        </w:placeholder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Godina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Br.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Prilog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D9AF" w14:textId="77777777" w:rsidR="00FC5B2E" w:rsidRPr="00A41C32" w:rsidRDefault="00000000" w:rsidP="00A41C32">
    <w:pPr>
      <w:pStyle w:val="FSnr-sidhuvud"/>
      <w:jc w:val="right"/>
    </w:pPr>
    <w:sdt>
      <w:sdtPr>
        <w:alias w:val="Zbornik propisa"/>
        <w:id w:val="-1552379340"/>
        <w:text/>
      </w:sdtPr>
      <w:sdtContent>
        <w:r w:rsidR="00E807BC">
          <w:t xml:space="preserve">TSFS </w:t>
        </w:r>
        <w:r w:rsidR="00E807BC">
          <w:t>20</w:t>
        </w:r>
      </w:sdtContent>
    </w:sdt>
    <w:sdt>
      <w:sdtPr>
        <w:alias w:val="Godina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Content>
        <w:r w:rsidR="00E807BC">
          <w:t>24</w:t>
        </w:r>
      </w:sdtContent>
    </w:sdt>
    <w:r w:rsidR="00E807BC">
      <w:t>:</w:t>
    </w:r>
    <w:sdt>
      <w:sdtPr>
        <w:alias w:val="Br.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Prilog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302686471">
    <w:abstractNumId w:val="16"/>
  </w:num>
  <w:num w:numId="2" w16cid:durableId="1595017629">
    <w:abstractNumId w:val="3"/>
  </w:num>
  <w:num w:numId="3" w16cid:durableId="1792090397">
    <w:abstractNumId w:val="2"/>
  </w:num>
  <w:num w:numId="4" w16cid:durableId="84348023">
    <w:abstractNumId w:val="1"/>
  </w:num>
  <w:num w:numId="5" w16cid:durableId="527573572">
    <w:abstractNumId w:val="0"/>
  </w:num>
  <w:num w:numId="6" w16cid:durableId="2086874505">
    <w:abstractNumId w:val="9"/>
  </w:num>
  <w:num w:numId="7" w16cid:durableId="1288318265">
    <w:abstractNumId w:val="7"/>
  </w:num>
  <w:num w:numId="8" w16cid:durableId="1268654690">
    <w:abstractNumId w:val="6"/>
  </w:num>
  <w:num w:numId="9" w16cid:durableId="718089183">
    <w:abstractNumId w:val="5"/>
  </w:num>
  <w:num w:numId="10" w16cid:durableId="1349410186">
    <w:abstractNumId w:val="4"/>
  </w:num>
  <w:num w:numId="11" w16cid:durableId="1814519574">
    <w:abstractNumId w:val="19"/>
  </w:num>
  <w:num w:numId="12" w16cid:durableId="661079454">
    <w:abstractNumId w:val="10"/>
  </w:num>
  <w:num w:numId="13" w16cid:durableId="1937785659">
    <w:abstractNumId w:val="23"/>
  </w:num>
  <w:num w:numId="14" w16cid:durableId="1380785626">
    <w:abstractNumId w:val="20"/>
  </w:num>
  <w:num w:numId="15" w16cid:durableId="1128091256">
    <w:abstractNumId w:val="21"/>
  </w:num>
  <w:num w:numId="16" w16cid:durableId="1586303287">
    <w:abstractNumId w:val="14"/>
  </w:num>
  <w:num w:numId="17" w16cid:durableId="1089429453">
    <w:abstractNumId w:val="25"/>
  </w:num>
  <w:num w:numId="18" w16cid:durableId="750735887">
    <w:abstractNumId w:val="11"/>
  </w:num>
  <w:num w:numId="19" w16cid:durableId="653031324">
    <w:abstractNumId w:val="22"/>
  </w:num>
  <w:num w:numId="20" w16cid:durableId="205333444">
    <w:abstractNumId w:val="18"/>
  </w:num>
  <w:num w:numId="21" w16cid:durableId="1549222529">
    <w:abstractNumId w:val="8"/>
  </w:num>
  <w:num w:numId="22" w16cid:durableId="1577016041">
    <w:abstractNumId w:val="12"/>
  </w:num>
  <w:num w:numId="23" w16cid:durableId="112479673">
    <w:abstractNumId w:val="15"/>
  </w:num>
  <w:num w:numId="24" w16cid:durableId="1628245150">
    <w:abstractNumId w:val="13"/>
  </w:num>
  <w:num w:numId="25" w16cid:durableId="849875474">
    <w:abstractNumId w:val="17"/>
  </w:num>
  <w:num w:numId="26" w16cid:durableId="786510014">
    <w:abstractNumId w:val="24"/>
  </w:num>
  <w:num w:numId="27" w16cid:durableId="20252031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673A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0C24"/>
    <w:rsid w:val="007B1051"/>
    <w:rsid w:val="007B333A"/>
    <w:rsid w:val="007B7C55"/>
    <w:rsid w:val="007C403E"/>
    <w:rsid w:val="007D0225"/>
    <w:rsid w:val="007D3798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2EC3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37F4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07C9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r-HR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r-HR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28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1D6A1B"/>
    <w:rsid w:val="001F673A"/>
    <w:rsid w:val="002D73C2"/>
    <w:rsid w:val="003E7D8A"/>
    <w:rsid w:val="00A30C84"/>
    <w:rsid w:val="00A9171B"/>
    <w:rsid w:val="00AE7150"/>
    <w:rsid w:val="00D54311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consensis-fs">
  <fs-fields>
    <fs-no-prefix/>
    <fs-year>24</fs-year>
    <fs-no>16</fs-no>
    <fs-date>2024-04-19T00:00:00</fs-date>
    <fs-series>CESTOVNI PROMET</fs-series>
    <fs-subseries/>
    <fs-heading>izuzećima za cestovni prijevoz za široka vozila i vozila sa širokim nedjeljivim teretom;</fs-heading>
  </fs-fields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3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5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0</TotalTime>
  <Pages>11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Dimitris Dimitriadis</cp:lastModifiedBy>
  <cp:revision>3</cp:revision>
  <cp:lastPrinted>2008-12-18T15:33:00Z</cp:lastPrinted>
  <dcterms:created xsi:type="dcterms:W3CDTF">2024-07-05T11:13:00Z</dcterms:created>
  <dcterms:modified xsi:type="dcterms:W3CDTF">2024-07-16T11:37:00Z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