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80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701"/>
      </w:tblGrid>
      <w:tr w:rsidR="0073151C" w14:paraId="35AEE78C" w14:textId="77777777" w:rsidTr="00E8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6238F1A" w14:textId="1CE42953" w:rsidR="0073151C" w:rsidRPr="0073151C" w:rsidRDefault="0073151C" w:rsidP="0073151C">
            <w:pPr>
              <w:pStyle w:val="Titel"/>
              <w:spacing w:line="240" w:lineRule="auto"/>
              <w:rPr>
                <w:b/>
                <w:bCs w:val="0"/>
              </w:rPr>
            </w:pPr>
            <w:r>
              <w:rPr>
                <w:b/>
              </w:rPr>
              <w:t>Zbirka predpisov Švedske agencije za promet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3593F0" w14:textId="54AAA61D" w:rsidR="0073151C" w:rsidRDefault="0073151C" w:rsidP="00CA6BA0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B376EF" wp14:editId="48A3F4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053" cy="352474"/>
                  <wp:effectExtent l="0" t="0" r="0" b="9525"/>
                  <wp:wrapSquare wrapText="bothSides"/>
                  <wp:docPr id="1538038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882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B794092" w14:textId="45CA0890" w:rsidR="0073151C" w:rsidRDefault="0073151C" w:rsidP="0073151C">
            <w:r>
              <w:rPr>
                <w:caps/>
                <w:sz w:val="22"/>
              </w:rPr>
              <w:t>Švedska agencija za promet</w:t>
            </w:r>
          </w:p>
        </w:tc>
      </w:tr>
    </w:tbl>
    <w:p w14:paraId="2AF24316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7BAFC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2B045BCA" w14:textId="77777777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Splošna priporočila Švedske agencije za promet glede </w:t>
      </w:r>
      <w:sdt>
        <w:sdtPr>
          <w:alias w:val="Kliknite in vnesite besedilo"/>
          <w:tag w:val="Rub"/>
          <w:id w:val="1080104925"/>
          <w:placeholder>
            <w:docPart w:val="8D5603ED432440798B0CCACF9280ADE2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>izvzetij v zvezi z vožnjo širokih vozil in vozil s širokim nedeljivim tovorom;</w:t>
          </w:r>
        </w:sdtContent>
      </w:sdt>
    </w:p>
    <w:p w14:paraId="61422215" w14:textId="77777777" w:rsidR="004366FF" w:rsidRDefault="001D701C" w:rsidP="005146A9">
      <w:pPr>
        <w:pStyle w:val="Radmedbeslutsdatum"/>
        <w:tabs>
          <w:tab w:val="left" w:pos="4046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110A700B">
                <wp:simplePos x="0" y="0"/>
                <wp:positionH relativeFrom="page">
                  <wp:posOffset>4429125</wp:posOffset>
                </wp:positionH>
                <wp:positionV relativeFrom="page">
                  <wp:posOffset>2119630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075" w14:textId="77777777" w:rsidR="00A41C32" w:rsidRPr="0024789E" w:rsidRDefault="00000000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Leto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24</w:t>
                                </w:r>
                              </w:sdtContent>
                            </w:sdt>
                            <w:r w:rsidR="00E807BC">
                              <w:t>:</w:t>
                            </w:r>
                            <w:sdt>
                              <w:sdtPr>
                                <w:alias w:val="Št.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16</w:t>
                                </w:r>
                              </w:sdtContent>
                            </w:sdt>
                          </w:p>
                          <w:p w14:paraId="149A44EF" w14:textId="1276B88E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Objavljeno dne</w:t>
                            </w:r>
                            <w:r>
                              <w:br/>
                            </w:r>
                            <w:sdt>
                              <w:sdtPr>
                                <w:alias w:val="izberite datum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B556E">
                                  <w:t>19 april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Vnesite serijo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7D5342C9" w14:textId="77777777" w:rsidR="00A41C32" w:rsidRPr="001D6617" w:rsidRDefault="00455BC3" w:rsidP="00532FCA">
                                <w:pPr>
                                  <w:pStyle w:val="Serie"/>
                                </w:pPr>
                                <w:r>
                                  <w:t>CESTNI PROMET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8.75pt;margin-top:166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6T+AEAAM4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" filled="f" stroked="f">
                <v:textbox>
                  <w:txbxContent>
                    <w:p w14:paraId="31CCB075" w14:textId="77777777" w:rsidR="00A41C32" w:rsidRPr="0024789E" w:rsidRDefault="00000000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Leto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Content>
                          <w:r w:rsidR="00E807BC">
                            <w:t>24</w:t>
                          </w:r>
                        </w:sdtContent>
                      </w:sdt>
                      <w:r w:rsidR="00E807BC">
                        <w:t>:</w:t>
                      </w:r>
                      <w:sdt>
                        <w:sdtPr>
                          <w:alias w:val="Št.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Content>
                          <w:r w:rsidR="00E807BC">
                            <w:t>16</w:t>
                          </w:r>
                        </w:sdtContent>
                      </w:sdt>
                    </w:p>
                    <w:p w14:paraId="149A44EF" w14:textId="1276B88E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Objavljeno dne</w:t>
                      </w:r>
                      <w:r>
                        <w:br/>
                      </w:r>
                      <w:sdt>
                        <w:sdtPr>
                          <w:alias w:val="izberite datum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sl-SI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0B556E">
                            <w:t>19 april 2024</w:t>
                          </w:r>
                        </w:sdtContent>
                      </w:sdt>
                    </w:p>
                    <w:sdt>
                      <w:sdtPr>
                        <w:alias w:val="Vnesite serijo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Content>
                        <w:p w14:paraId="7D5342C9" w14:textId="77777777" w:rsidR="00A41C32" w:rsidRPr="001D6617" w:rsidRDefault="00455BC3" w:rsidP="00532FCA">
                          <w:pPr>
                            <w:pStyle w:val="Serie"/>
                          </w:pPr>
                          <w:r>
                            <w:t>CESTNI PROMET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sprejeti dne </w:t>
      </w:r>
      <w:sdt>
        <w:sdtPr>
          <w:rPr>
            <w:szCs w:val="22"/>
          </w:rPr>
          <w:alias w:val="izberite datum"/>
          <w:tag w:val="Välj ett datum"/>
          <w:id w:val="1438946608"/>
          <w:placeholder>
            <w:docPart w:val="B33F81CD5BBA4203B5D7E75BC4F9EB11"/>
          </w:placeholder>
          <w:date w:fullDate="2024-04-05T00:00:00Z">
            <w:dateFormat w:val="d MMMM yyyy"/>
            <w:lid w:val="sl-SI"/>
            <w:storeMappedDataAs w:val="dateTime"/>
            <w:calendar w:val="gregorian"/>
          </w:date>
        </w:sdtPr>
        <w:sdtContent>
          <w:r w:rsidR="005146A9">
            <w:rPr>
              <w:szCs w:val="22"/>
            </w:rPr>
            <w:t>5 april 2024</w:t>
          </w:r>
        </w:sdtContent>
      </w:sdt>
      <w:r>
        <w:t>.</w:t>
      </w:r>
    </w:p>
    <w:p w14:paraId="7E362189" w14:textId="77777777" w:rsidR="00E43EE1" w:rsidRDefault="008F31FC" w:rsidP="00B72887">
      <w:pPr>
        <w:pStyle w:val="Styckemedindrag"/>
      </w:pPr>
      <w:r>
        <w:t>Švedska agencija za promet je sprejela</w:t>
      </w:r>
      <w:r w:rsidR="00455BC3">
        <w:rPr>
          <w:rStyle w:val="FootnoteReference"/>
        </w:rPr>
        <w:footnoteReference w:id="2"/>
      </w:r>
      <w:r>
        <w:t xml:space="preserve"> naslednja splošna priporočila.</w:t>
      </w:r>
    </w:p>
    <w:p w14:paraId="5191BBF2" w14:textId="77777777" w:rsidR="00455BC3" w:rsidRDefault="00455BC3" w:rsidP="00455BC3">
      <w:pPr>
        <w:pStyle w:val="Rubrik2kapitelelliknande"/>
      </w:pPr>
      <w:r>
        <w:t>Splošno</w:t>
      </w:r>
    </w:p>
    <w:p w14:paraId="5EE4215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Ta splošna priporočila se nanašajo na proučitev vlog za izvzetja od določb o širini vozil ali skupin vozil iz oddelka 15 poglavja 4 Odloka o cestnem prometu (1998:1276) in iz lokalnih prometnih predpisov, izdanih na podlagi točke 20 drugega odstavka oddelka 1 poglavja 10 navedenega odloka.</w:t>
      </w:r>
    </w:p>
    <w:p w14:paraId="70E096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Oddelki 3–5 Odloka o cestnem prometu (1998:1276) v poglavju 13 vsebujejo določbe, ki organom dovoljujejo, da proučijo vloge za izvzetja od prometnih predpisov in pogoje, pod katerimi se lahko odobrijo izvzetja.</w:t>
      </w:r>
    </w:p>
    <w:p w14:paraId="72EFCD57" w14:textId="77777777" w:rsidR="00455BC3" w:rsidRPr="00F47D40" w:rsidRDefault="00455BC3" w:rsidP="00455BC3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Predpisi in splošna priporočila Švedske agencije za promet (TSFS 2023:36) za vožnjo s širokim nedeljivim tovorom vsebujejo določbe o izvzetjih za prevoz širokih nedeljivih tovorov s širino največ 350 centimetrov.</w:t>
      </w:r>
    </w:p>
    <w:p w14:paraId="74A56B21" w14:textId="77777777" w:rsidR="00455BC3" w:rsidRDefault="00455BC3" w:rsidP="00455BC3">
      <w:pPr>
        <w:pStyle w:val="Rubrik2kapitelelliknande"/>
      </w:pPr>
      <w:r>
        <w:t>Opredelitve pojmov</w:t>
      </w:r>
    </w:p>
    <w:p w14:paraId="090BB9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>Izrazi, uporabljeni v teh splošnih priporočilih, imajo enak pomen kot v Zakonu o vozniških dovoljenjih (1998:488), Zakonu o opredelitvah cestnega prometa (2001:559), Zakonu o certificiranju spremstva v cestnem prevozu (2004:1167), Odloku o cestnem prometu (1998:1276) in Odloku (2001:651) o opredelitvah cestnega prometa.</w:t>
      </w:r>
    </w:p>
    <w:p w14:paraId="21E43EE6" w14:textId="77777777" w:rsidR="00455BC3" w:rsidRPr="005D3C7F" w:rsidRDefault="00455BC3" w:rsidP="00455BC3">
      <w:pPr>
        <w:pStyle w:val="Rubrik2kapitelelliknande"/>
      </w:pPr>
      <w:r>
        <w:lastRenderedPageBreak/>
        <w:t>Pogoji za odobritev izvzetij</w:t>
      </w:r>
    </w:p>
    <w:p w14:paraId="4C4DCB54" w14:textId="77777777" w:rsidR="00455BC3" w:rsidRDefault="00455BC3" w:rsidP="00455BC3">
      <w:pPr>
        <w:pStyle w:val="Rubrik3utanluftfre"/>
      </w:pPr>
      <w:r>
        <w:t>Potrdilo o poti</w:t>
      </w:r>
    </w:p>
    <w:p w14:paraId="5F7E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Če širina vozila presega 450 centimetrov ali če širina presega 350 centimetrov in skupna višina presega 450 centimetrov, mora vložnik priložiti opis, ki omogoča preverjanje poti (potrdilo o poti). Pot in vse predvidljive ovire na cesti morajo biti jasno navedene v opisu.</w:t>
      </w:r>
    </w:p>
    <w:p w14:paraId="0A0AA3C8" w14:textId="77777777" w:rsidR="00455BC3" w:rsidRPr="00455BC3" w:rsidRDefault="00455BC3" w:rsidP="00455BC3">
      <w:pPr>
        <w:pStyle w:val="Heading3"/>
        <w:rPr>
          <w:rStyle w:val="Heading3Char1"/>
          <w:b/>
        </w:rPr>
      </w:pPr>
      <w:r>
        <w:rPr>
          <w:rStyle w:val="Heading3Char1"/>
          <w:b/>
        </w:rPr>
        <w:t>Široka vozila in prevoz širokega nedeljivega tovora</w:t>
      </w:r>
    </w:p>
    <w:p w14:paraId="5539E7ED" w14:textId="77777777" w:rsidR="00455BC3" w:rsidRDefault="00455BC3" w:rsidP="00455BC3">
      <w:pPr>
        <w:pStyle w:val="Stycke"/>
        <w:spacing w:before="120"/>
        <w:rPr>
          <w:szCs w:val="19"/>
        </w:rPr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Izvzetja se lahko odobrijo samo za vožnjo z vozili, ki:</w:t>
      </w:r>
    </w:p>
    <w:p w14:paraId="298358C0" w14:textId="77777777" w:rsidR="00455BC3" w:rsidRDefault="00455BC3" w:rsidP="00455BC3">
      <w:pPr>
        <w:pStyle w:val="Styckemedindrag"/>
      </w:pPr>
      <w:r>
        <w:t>– morajo biti zaradi svoje funkcije širša od 260 centimetrov; ali</w:t>
      </w:r>
    </w:p>
    <w:p w14:paraId="2EF07593" w14:textId="77777777" w:rsidR="00455BC3" w:rsidRDefault="00455BC3" w:rsidP="00455BC3">
      <w:pPr>
        <w:pStyle w:val="Styckemedindrag"/>
      </w:pPr>
      <w:r>
        <w:t>– opravljajo prevoz ali so posebej prilagojena za prevoz širokega nedeljivega tovora, zato morajo biti brez tovora širša od 260 cm.</w:t>
      </w:r>
    </w:p>
    <w:p w14:paraId="59DB483D" w14:textId="77777777" w:rsidR="00455BC3" w:rsidRDefault="00455BC3" w:rsidP="00455BC3">
      <w:pPr>
        <w:pStyle w:val="Heading3"/>
      </w:pPr>
      <w:r>
        <w:t>Posvetovanje</w:t>
      </w:r>
    </w:p>
    <w:p w14:paraId="4C6F4312" w14:textId="77777777" w:rsidR="00455BC3" w:rsidRDefault="00455BC3" w:rsidP="00455BC3">
      <w:pPr>
        <w:pStyle w:val="Rubrik4utanluftfre"/>
      </w:pPr>
      <w:r>
        <w:t>Organi za upravljanje cest</w:t>
      </w:r>
    </w:p>
    <w:p w14:paraId="636CED7E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Pred odločitvijo o izvzetju bi bilo treba drugim organom za upravljanje cest, na katere vpliva izvzetje, dati možnost, da predložijo pripombe v zvezi s tem.</w:t>
      </w:r>
    </w:p>
    <w:p w14:paraId="64DFE073" w14:textId="77777777" w:rsidR="00455BC3" w:rsidRDefault="00455BC3" w:rsidP="00455BC3">
      <w:pPr>
        <w:pStyle w:val="Heading4"/>
      </w:pPr>
      <w:r>
        <w:t>Švedski policijski organ</w:t>
      </w:r>
    </w:p>
    <w:p w14:paraId="7BB28845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Če širina vozila ali skupin vozil presega 450 centimetrov, bi bilo treba Švedskemu policijskemu organu omogočiti, da poda pripombe o tem, ali je mogoče odobriti izvzetja, ne da bi ogrozili varnost v cestnem prometu ali povzročili kakršne koli druge večje nevšečnosti.</w:t>
      </w:r>
    </w:p>
    <w:p w14:paraId="0B22BFDF" w14:textId="77777777" w:rsidR="00455BC3" w:rsidRDefault="00455BC3" w:rsidP="00455BC3">
      <w:pPr>
        <w:pStyle w:val="Heading4"/>
      </w:pPr>
      <w:r>
        <w:t>Organ, ki je izdal lokalne prometne predpise</w:t>
      </w:r>
    </w:p>
    <w:p w14:paraId="4F278AC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>Pred odobritvijo izvzetja od lokalnih prometnih predpisov s posebnimi prometnimi pravili, ki omejujejo širino ali dolžino motornih vozil, skupin vozil ali tovorov, ki niso dovoljeni v oddelkih 15, 17 ali 17a poglavja 4 Odloka o cestnem prometu (1998:1276), se je treba posvetovati z organom, ki je izdal predpise.</w:t>
      </w:r>
    </w:p>
    <w:p w14:paraId="3B03DA0C" w14:textId="77777777" w:rsidR="00455BC3" w:rsidRDefault="00455BC3" w:rsidP="00455BC3">
      <w:pPr>
        <w:pStyle w:val="Rubrik2kapitelelliknande"/>
      </w:pPr>
      <w:r>
        <w:t>Obdobje veljavnosti in trajanje prevoza</w:t>
      </w:r>
    </w:p>
    <w:p w14:paraId="1DD0CB77" w14:textId="77777777" w:rsidR="00455BC3" w:rsidRDefault="00455BC3" w:rsidP="00455BC3">
      <w:pPr>
        <w:pStyle w:val="Rubrik3utanluftfre"/>
      </w:pPr>
      <w:r>
        <w:t>Obdobje veljavnosti</w:t>
      </w:r>
    </w:p>
    <w:p w14:paraId="6E1A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Če se izjema odobri za eno vožnjo, bi bilo treba obdobje veljavnosti običajno določiti na način, ki omogoča, da se vožnja opravi v enem mesecu. </w:t>
      </w:r>
      <w:r>
        <w:t>Če se izjema nanaša na več voženj, obdobje veljavnosti ne bi smelo biti daljše od petih let.</w:t>
      </w:r>
    </w:p>
    <w:p w14:paraId="00B6A282" w14:textId="77777777" w:rsidR="00455BC3" w:rsidRDefault="00455BC3" w:rsidP="00455BC3">
      <w:pPr>
        <w:pStyle w:val="Heading3"/>
      </w:pPr>
      <w:r>
        <w:lastRenderedPageBreak/>
        <w:t>Trajanje prevoza</w:t>
      </w:r>
    </w:p>
    <w:p w14:paraId="79850A3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Če širina presega 310 centimetrov, se izvzetje iz oddelka 3 poglavja 13 Odloka o cestnem prometu (1998:1276) ne odobri:</w:t>
      </w:r>
    </w:p>
    <w:p w14:paraId="7FE53079" w14:textId="77777777" w:rsidR="00455BC3" w:rsidRDefault="00455BC3" w:rsidP="00455BC3">
      <w:pPr>
        <w:pStyle w:val="Styckemedindrag"/>
      </w:pPr>
      <w:r>
        <w:t>– kjer je mogoče pričakovati gost promet, na primer v času prometnih konic v večjih strnjenih naseljih in ob njih, med večjimi lokalnimi dogodki in v obdobjih, povezanih z večjimi prazniki, kot so velika noč, poletni solsticij in božič; ali</w:t>
      </w:r>
    </w:p>
    <w:p w14:paraId="1681978F" w14:textId="77777777" w:rsidR="00455BC3" w:rsidRDefault="00455BC3" w:rsidP="00455BC3">
      <w:pPr>
        <w:pStyle w:val="Styckemedindrag"/>
      </w:pPr>
      <w:r>
        <w:t>– za vožnje v temi od ponedeljka do petka, od 6. do 9. ure in od 15. do 20. ure.</w:t>
      </w:r>
    </w:p>
    <w:p w14:paraId="049FF755" w14:textId="77777777" w:rsidR="00455BC3" w:rsidRDefault="00455BC3" w:rsidP="00455BC3">
      <w:pPr>
        <w:pStyle w:val="Rubrik2kapitelelliknande"/>
      </w:pPr>
      <w:r>
        <w:t>Pogoji v odločbi</w:t>
      </w:r>
    </w:p>
    <w:p w14:paraId="07E03C11" w14:textId="77777777" w:rsidR="00455BC3" w:rsidRPr="00E7406A" w:rsidRDefault="00455BC3" w:rsidP="00455BC3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O</w:t>
      </w:r>
      <w:r>
        <w:t>dločbe morajo biti pogojne, na primer:</w:t>
      </w:r>
    </w:p>
    <w:p w14:paraId="406D16E4" w14:textId="77777777" w:rsidR="00455BC3" w:rsidRDefault="00455BC3" w:rsidP="00455BC3">
      <w:pPr>
        <w:pStyle w:val="Styckemedindrag"/>
      </w:pPr>
      <w:r>
        <w:t>– pred začetkom vožnje voznik preveri, ali je pot prehodna, pri čemer upošteva dela na cesti, vertikalne in bočne ovire ter druge podobne predvidljive okoliščine;</w:t>
      </w:r>
    </w:p>
    <w:p w14:paraId="341403F1" w14:textId="77777777" w:rsidR="00455BC3" w:rsidRDefault="00455BC3" w:rsidP="00455BC3">
      <w:pPr>
        <w:pStyle w:val="Styckemedindrag"/>
        <w:rPr>
          <w:rStyle w:val="CommentReference"/>
        </w:rPr>
      </w:pPr>
      <w:r>
        <w:t xml:space="preserve">– prevoz se ne izvede, kadar je vidljivost močno zmanjšana zaradi vremenskih razmer, kot so gosta megla, močno sneženje ali snežni vihar, in </w:t>
      </w:r>
    </w:p>
    <w:p w14:paraId="7EE80997" w14:textId="77777777" w:rsidR="00455BC3" w:rsidRDefault="00455BC3" w:rsidP="00455BC3">
      <w:pPr>
        <w:pStyle w:val="Styckemedindrag"/>
      </w:pPr>
      <w:r>
        <w:t>– skladnost z zahtevami za označevalne in opozorilne luči v skladu z oddelki 15–25.</w:t>
      </w:r>
    </w:p>
    <w:p w14:paraId="26C4EC4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t>Za vožnje z vozili, ki so širša od 310 cm, vendar ne širša od 450 centimetrov, bi bilo treba za odločbo poleg oddelka 12 upoštevati tudi pogoje v skladu z oddelki 26–37.</w:t>
      </w:r>
    </w:p>
    <w:p w14:paraId="6BA93489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Za vožnje z vozili, širšimi od 450 centimetrov, bi bilo treba za odločbo poleg oddelka 12 upoštevati tudi pogoje v skladu z oddelki 26–39.</w:t>
      </w:r>
    </w:p>
    <w:p w14:paraId="55515651" w14:textId="77777777" w:rsidR="00455BC3" w:rsidRPr="00455BC3" w:rsidRDefault="00455BC3" w:rsidP="00455BC3">
      <w:pPr>
        <w:pStyle w:val="Heading3"/>
      </w:pPr>
      <w:r>
        <w:rPr>
          <w:rStyle w:val="Heading3Char1"/>
          <w:b/>
        </w:rPr>
        <w:t>Označevanje</w:t>
      </w:r>
    </w:p>
    <w:p w14:paraId="2C6946A8" w14:textId="77777777" w:rsidR="00455BC3" w:rsidRPr="00514E1B" w:rsidRDefault="00455BC3" w:rsidP="00455BC3">
      <w:pPr>
        <w:pStyle w:val="Styckemedindrag"/>
        <w:ind w:firstLine="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t xml:space="preserve">Vozila ali skupine vozil, katerih širina presega 260 cm, so opremljena z opozorilnimi lučmi in označena z drugimi lučmi, znaki za označevanje širine, opozorilnimi znaki in odsevniki iz oddelkov 16, 19–21 in 24. </w:t>
      </w:r>
    </w:p>
    <w:p w14:paraId="5DC85DB7" w14:textId="77777777" w:rsidR="00455BC3" w:rsidRDefault="00455BC3" w:rsidP="00455BC3">
      <w:pPr>
        <w:pStyle w:val="Styckemedindrag"/>
      </w:pPr>
      <w:r>
        <w:t>Znaki, luči in odsevniki so v takem stanju, da so opazni in razumljivi za druge udeležence v prometu. Znaki za označevanje širine in opozorilni znaki so jasno vidni s sprednjega in zadnjega dela.</w:t>
      </w:r>
    </w:p>
    <w:p w14:paraId="6AC028A5" w14:textId="77777777" w:rsidR="00455BC3" w:rsidRDefault="00455BC3" w:rsidP="00455BC3">
      <w:pPr>
        <w:pStyle w:val="Styckemedindrag"/>
      </w:pPr>
      <w:r>
        <w:t>Opozorilni znaki so osvetljeni med vožnjo ponoči, v mraku ali ob zori in drugače, če to zahtevajo vremenske razmere ali druge okoliščine. Znaki za označevanje širine na premičnih žerjavih EC in motorizirani opremi niso osvetljeni.</w:t>
      </w:r>
    </w:p>
    <w:p w14:paraId="68E422BF" w14:textId="77777777" w:rsidR="00455BC3" w:rsidRDefault="00455BC3" w:rsidP="00455BC3">
      <w:pPr>
        <w:pStyle w:val="Styckemedindrag"/>
      </w:pPr>
      <w:r>
        <w:t>Slika 1 v prilogi prikazuje primere, kako je treba tovore, ki štrlijo bočno iz vozila, označiti, da so jasno vidni s sprednjega in zadnjega dela.</w:t>
      </w:r>
    </w:p>
    <w:p w14:paraId="1315ED4E" w14:textId="77777777" w:rsidR="00455BC3" w:rsidRPr="00FD46C8" w:rsidRDefault="00455BC3" w:rsidP="00455BC3">
      <w:pPr>
        <w:pStyle w:val="Heading4"/>
      </w:pPr>
      <w:r>
        <w:lastRenderedPageBreak/>
        <w:t>Znaki za označevanje širine</w:t>
      </w:r>
    </w:p>
    <w:p w14:paraId="4B3D7CBD" w14:textId="77777777" w:rsidR="00455BC3" w:rsidRDefault="00455BC3" w:rsidP="00455BC3">
      <w:pPr>
        <w:pStyle w:val="Styckemedindrag"/>
        <w:ind w:firstLine="0"/>
        <w:rPr>
          <w:rStyle w:val="Fparagrafbeteckning"/>
          <w:b w:val="0"/>
        </w:rPr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Na vozilih, ki so brez tovora širša od 260 centimetrov, so znaki za označevanje širine nameščeni na zunanjih robovih vozila.</w:t>
      </w:r>
    </w:p>
    <w:p w14:paraId="10E7295E" w14:textId="77777777" w:rsidR="00455BC3" w:rsidRDefault="00455BC3" w:rsidP="00455BC3">
      <w:pPr>
        <w:pStyle w:val="Styckemedindrag"/>
      </w:pPr>
      <w:r>
        <w:t>Pri vozilih s tovori, ki štrlijo bočno iz vozila, zunanji robovi znakov za označevanje širine v vodoravni smeri niso nameščeni znotraj skrajnega zunanjega roba tovora. V vzdolžni smeri tovora so znaki postavljeni pred ali na tisti del tovora, ki povzroči prekoračitev dovoljene širine.</w:t>
      </w:r>
    </w:p>
    <w:p w14:paraId="0F2AB24D" w14:textId="77777777" w:rsidR="00455BC3" w:rsidRDefault="00455BC3" w:rsidP="00455BC3">
      <w:pPr>
        <w:pStyle w:val="Styckemedindrag"/>
      </w:pPr>
      <w:r>
        <w:t>Znaki so običajno nameščeni največ 2,0 metra nad voziščem.</w:t>
      </w:r>
    </w:p>
    <w:p w14:paraId="7406DB75" w14:textId="77777777" w:rsidR="00455BC3" w:rsidRDefault="00455BC3" w:rsidP="00455BC3">
      <w:pPr>
        <w:pStyle w:val="Styckemedindrag"/>
      </w:pPr>
      <w:r>
        <w:t>Slika 1 v prilogi prikazuje primere ustreznega položaja znakov za označevanje širine v vodoravni smeri.</w:t>
      </w:r>
    </w:p>
    <w:p w14:paraId="461E0D24" w14:textId="77777777" w:rsidR="00455BC3" w:rsidRDefault="00455BC3" w:rsidP="00455BC3">
      <w:pPr>
        <w:pStyle w:val="Styckemedindrag"/>
      </w:pPr>
      <w:r>
        <w:t>Slika 2 v prilogi prikazuje primere ustreznega položaja znakov v vzdolžni smeri tovora.</w:t>
      </w:r>
    </w:p>
    <w:p w14:paraId="09EAFED0" w14:textId="77777777" w:rsidR="00455BC3" w:rsidRPr="00226228" w:rsidRDefault="00455BC3" w:rsidP="00455BC3">
      <w:pPr>
        <w:pStyle w:val="Stycke"/>
        <w:spacing w:before="120"/>
      </w:pPr>
      <w:r>
        <w:rPr>
          <w:rStyle w:val="Fparagrafbeteckning"/>
        </w:rPr>
        <w:t>17</w:t>
      </w:r>
      <w:r>
        <w:rPr>
          <w:rStyle w:val="Fparagrafbeteckning"/>
        </w:rPr>
        <w:t> </w:t>
      </w:r>
      <w:r>
        <w:t>Znaki</w:t>
      </w:r>
    </w:p>
    <w:p w14:paraId="173E3826" w14:textId="77777777" w:rsidR="00455BC3" w:rsidRDefault="00455BC3" w:rsidP="00455BC3">
      <w:pPr>
        <w:pStyle w:val="Styckemedindrag"/>
      </w:pPr>
      <w:r>
        <w:t>1. imajo izmenično rdeča in bela polja s kotom 45–60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in širino 7–10 centimetrov;</w:t>
      </w:r>
    </w:p>
    <w:p w14:paraId="48FCC154" w14:textId="77777777" w:rsidR="00455BC3" w:rsidRDefault="00455BC3" w:rsidP="00455BC3">
      <w:pPr>
        <w:pStyle w:val="Styckemedindrag"/>
      </w:pPr>
      <w:r>
        <w:t>2. imajo polja enake širine, razen najbolj oddaljenih polj;</w:t>
      </w:r>
    </w:p>
    <w:p w14:paraId="23917DD9" w14:textId="77777777" w:rsidR="00455BC3" w:rsidRDefault="00455BC3" w:rsidP="00455BC3">
      <w:pPr>
        <w:pStyle w:val="Styckemedindrag"/>
      </w:pPr>
      <w:r>
        <w:t>3. so označeni z E-oznako v skladu s Pravilnikom ECE 104 ali 150; in</w:t>
      </w:r>
    </w:p>
    <w:p w14:paraId="1F95A881" w14:textId="77777777" w:rsidR="00455BC3" w:rsidRDefault="00455BC3" w:rsidP="00455BC3">
      <w:pPr>
        <w:pStyle w:val="Styckemedindrag"/>
      </w:pPr>
      <w:r>
        <w:t>4. so nameščeni tako, da so polja poševno nagnjena navzven in navzdol od vozila ali tovora.</w:t>
      </w:r>
    </w:p>
    <w:p w14:paraId="4B6E18F5" w14:textId="77777777" w:rsidR="00455BC3" w:rsidRDefault="00455BC3" w:rsidP="00455BC3">
      <w:pPr>
        <w:pStyle w:val="Stycke"/>
        <w:spacing w:before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7F99B" wp14:editId="739F63E8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2181860" cy="1199515"/>
            <wp:effectExtent l="0" t="0" r="8890" b="63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Znaki imajo naslednje velikosti.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7"/>
        <w:gridCol w:w="856"/>
        <w:gridCol w:w="3758"/>
      </w:tblGrid>
      <w:tr w:rsidR="00455BC3" w:rsidRPr="007F7A4A" w14:paraId="56636629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59C03C67" w14:textId="77777777" w:rsidR="00455BC3" w:rsidRPr="00F53305" w:rsidRDefault="00455BC3" w:rsidP="00A649BC">
            <w:pPr>
              <w:pStyle w:val="Styckemedindrag"/>
              <w:ind w:firstLine="0"/>
            </w:pPr>
            <w:r>
              <w:t>Kvadratni znaki</w:t>
            </w:r>
          </w:p>
        </w:tc>
        <w:tc>
          <w:tcPr>
            <w:tcW w:w="864" w:type="dxa"/>
            <w:shd w:val="clear" w:color="auto" w:fill="auto"/>
          </w:tcPr>
          <w:p w14:paraId="3EDA2D9C" w14:textId="77777777" w:rsidR="00455BC3" w:rsidRPr="00F53305" w:rsidRDefault="00455BC3" w:rsidP="00A649BC">
            <w:pPr>
              <w:pStyle w:val="Styckemedindrag"/>
              <w:ind w:firstLine="0"/>
            </w:pPr>
            <w:r>
              <w:t>Slika 1</w:t>
            </w:r>
          </w:p>
        </w:tc>
        <w:tc>
          <w:tcPr>
            <w:tcW w:w="3964" w:type="dxa"/>
            <w:shd w:val="clear" w:color="auto" w:fill="auto"/>
          </w:tcPr>
          <w:p w14:paraId="53148C9E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je najmanj 0,42 metra. Razmerje med širino in višino je 1 : 1</w:t>
            </w:r>
          </w:p>
        </w:tc>
      </w:tr>
      <w:tr w:rsidR="00455BC3" w14:paraId="6506ADE3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3E5307CA" w14:textId="77777777" w:rsidR="00455BC3" w:rsidRDefault="00455BC3" w:rsidP="00A649BC">
            <w:pPr>
              <w:pStyle w:val="Styckemedindrag"/>
              <w:ind w:firstLine="0"/>
            </w:pPr>
            <w:r>
              <w:t>Pravokotni znaki</w:t>
            </w:r>
          </w:p>
        </w:tc>
        <w:tc>
          <w:tcPr>
            <w:tcW w:w="864" w:type="dxa"/>
            <w:shd w:val="clear" w:color="auto" w:fill="auto"/>
          </w:tcPr>
          <w:p w14:paraId="125EA282" w14:textId="77777777" w:rsidR="00455BC3" w:rsidRDefault="00455BC3" w:rsidP="00A649BC">
            <w:pPr>
              <w:pStyle w:val="Styckemedindrag"/>
              <w:ind w:firstLine="0"/>
            </w:pPr>
            <w:r>
              <w:t>Slika 2</w:t>
            </w:r>
          </w:p>
        </w:tc>
        <w:tc>
          <w:tcPr>
            <w:tcW w:w="3964" w:type="dxa"/>
            <w:shd w:val="clear" w:color="auto" w:fill="auto"/>
          </w:tcPr>
          <w:p w14:paraId="538D0BB3" w14:textId="77777777" w:rsidR="00455BC3" w:rsidRDefault="00455BC3" w:rsidP="00A649BC">
            <w:pPr>
              <w:pStyle w:val="Styckemedindrag"/>
              <w:ind w:firstLine="0"/>
            </w:pPr>
            <w:r>
              <w:t>S1 je najmanj 0,28 metra, S2 pa najmanj 0,56 metra. Razmerje med širino in višino je 1 : 2.</w:t>
            </w:r>
          </w:p>
        </w:tc>
      </w:tr>
      <w:tr w:rsidR="00455BC3" w14:paraId="37A3A7E7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4C49D1D4" w14:textId="77777777" w:rsidR="00455BC3" w:rsidRDefault="00455BC3" w:rsidP="00A649BC">
            <w:pPr>
              <w:pStyle w:val="Styckemedindrag"/>
              <w:ind w:firstLine="0"/>
            </w:pPr>
            <w:r>
              <w:t>Pravokotni znaki</w:t>
            </w:r>
          </w:p>
        </w:tc>
        <w:tc>
          <w:tcPr>
            <w:tcW w:w="864" w:type="dxa"/>
            <w:shd w:val="clear" w:color="auto" w:fill="auto"/>
          </w:tcPr>
          <w:p w14:paraId="47038F3A" w14:textId="77777777" w:rsidR="00455BC3" w:rsidRDefault="00455BC3" w:rsidP="00A649BC">
            <w:pPr>
              <w:pStyle w:val="Styckemedindrag"/>
              <w:ind w:firstLine="0"/>
            </w:pPr>
            <w:r>
              <w:t>Slika 3</w:t>
            </w:r>
          </w:p>
        </w:tc>
        <w:tc>
          <w:tcPr>
            <w:tcW w:w="3964" w:type="dxa"/>
            <w:shd w:val="clear" w:color="auto" w:fill="auto"/>
          </w:tcPr>
          <w:p w14:paraId="6E9A7C69" w14:textId="77777777" w:rsidR="00455BC3" w:rsidRDefault="00455BC3" w:rsidP="00A649BC">
            <w:pPr>
              <w:pStyle w:val="Styckemedindrag"/>
              <w:ind w:firstLine="0"/>
            </w:pPr>
            <w:r>
              <w:t>S1 je 0,14 metra, S2 pa 0,8 metra</w:t>
            </w:r>
          </w:p>
        </w:tc>
      </w:tr>
    </w:tbl>
    <w:p w14:paraId="1C6D2828" w14:textId="77777777" w:rsidR="00455BC3" w:rsidRDefault="00455BC3" w:rsidP="00455BC3">
      <w:pPr>
        <w:pStyle w:val="Styckemedindrag"/>
      </w:pPr>
      <w:r>
        <w:t>Slika 1</w:t>
      </w:r>
    </w:p>
    <w:p w14:paraId="22AA34D7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8A8C0" wp14:editId="60FEB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0" cy="1557655"/>
            <wp:effectExtent l="0" t="0" r="0" b="4445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ddmarkeringsskylt_280x5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2</w:t>
      </w:r>
    </w:p>
    <w:p w14:paraId="76B9D952" w14:textId="77777777" w:rsidR="00455BC3" w:rsidRDefault="00455BC3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69DC471" wp14:editId="0D85DC3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993775" cy="1926590"/>
            <wp:effectExtent l="0" t="0" r="0" b="0"/>
            <wp:wrapTopAndBottom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07FD" w14:textId="77777777" w:rsidR="00455BC3" w:rsidRDefault="00455BC3" w:rsidP="00455BC3">
      <w:pPr>
        <w:pStyle w:val="Styckemedindrag"/>
      </w:pPr>
      <w:r>
        <w:t>Slika 3</w:t>
      </w:r>
    </w:p>
    <w:p w14:paraId="04E64FA7" w14:textId="77777777" w:rsidR="00455BC3" w:rsidRDefault="00455BC3" w:rsidP="00455BC3">
      <w:pPr>
        <w:pStyle w:val="Styckemedindrag"/>
      </w:pPr>
    </w:p>
    <w:p w14:paraId="128A6BDF" w14:textId="77777777" w:rsidR="00455BC3" w:rsidRPr="00D45DC0" w:rsidRDefault="00455BC3" w:rsidP="00455BC3">
      <w:pPr>
        <w:pStyle w:val="Styckemedindrag"/>
      </w:pPr>
      <w:r>
        <w:t>Znaki za označevanje širine na premičnem žerjavu EC in motorizirani opremi imajo lahko drugačne velikosti, kot so navedene zgoraj, in so lahko izdelani kot nalepke.</w:t>
      </w:r>
    </w:p>
    <w:p w14:paraId="6359184F" w14:textId="77777777" w:rsidR="00455BC3" w:rsidRPr="00F369BF" w:rsidRDefault="00455BC3" w:rsidP="00455BC3">
      <w:pPr>
        <w:pStyle w:val="Heading4"/>
      </w:pPr>
      <w:r>
        <w:t>Označevanje tankih tovornih enot</w:t>
      </w:r>
    </w:p>
    <w:p w14:paraId="6C0687C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P</w:t>
      </w:r>
      <w:r>
        <w:t>lošče, deske, gradbene plošče in druge podobne tanke tovorne enote so poleg znakov za označevanje širine spredaj in zadaj opremljene z znakom ali enakovrednim opozorilom na tistih delih tovora, ki povzročajo preveliko širino. Znak ima izmenično odsevno rdečo in belo barvo ter vidno površino najmanj 250 centimetrov².</w:t>
      </w:r>
    </w:p>
    <w:p w14:paraId="5193F1E0" w14:textId="77777777" w:rsidR="00455BC3" w:rsidRPr="002A4B3D" w:rsidRDefault="00455BC3" w:rsidP="00455BC3">
      <w:pPr>
        <w:pStyle w:val="Styckemedindrag"/>
      </w:pPr>
      <w:r>
        <w:t>Prvi odstavek se ne uporablja, če so znaki za označevanje širine nameščeni poleg štrlečega tovora. Pomen izraza „poleg štrlečega tovora“ je prikazan na sliki 2 v prilogi.</w:t>
      </w:r>
    </w:p>
    <w:p w14:paraId="33B2FFB5" w14:textId="77777777" w:rsidR="00455BC3" w:rsidRDefault="00455BC3" w:rsidP="00455BC3">
      <w:pPr>
        <w:pStyle w:val="Heading4"/>
      </w:pPr>
      <w:r>
        <w:t>Svetilke in odsevniki</w:t>
      </w:r>
    </w:p>
    <w:p w14:paraId="75089AB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Med vožnjo ponoči, v mraku ali ob zori in drugače, kadar to zahtevajo vremenske razmere ali druge okoliščine, je skrajni zunanji rob vozila ali tovora označen s svetilkami in odsevniki</w:t>
      </w:r>
      <w:r>
        <w:t>. Označevanje je izvedeno spredaj in zadaj z dvema svetilkama na vsaki strani. Spredaj svetilke oddajajo belo svetlobo naprej in odsevniki so beli. Zadaj svetilke oddajajo rdečo svetlobo nazaj in odsevniki so rdeči.</w:t>
      </w:r>
    </w:p>
    <w:p w14:paraId="6624681F" w14:textId="77777777" w:rsidR="00455BC3" w:rsidRDefault="00455BC3" w:rsidP="00455BC3">
      <w:pPr>
        <w:pStyle w:val="Styckemedindrag"/>
      </w:pPr>
      <w:r>
        <w:t>Svetilke so nameščene nad in pod znaki za označevanje širine in čim bližje zunanjemu robu. Imajo takšno svetlobno intenzivnost, da jih je mogoče jasno videti na razdalji 300 metrov.</w:t>
      </w:r>
    </w:p>
    <w:p w14:paraId="1DBB6107" w14:textId="77777777" w:rsidR="00455BC3" w:rsidRDefault="00455BC3" w:rsidP="00455BC3">
      <w:pPr>
        <w:pStyle w:val="Styckemedindrag"/>
      </w:pPr>
      <w:r>
        <w:t>Premični žerjavi EC in motorna oprema niso opremljeni s svetilkami in odsevniki iz prvega odstavka.</w:t>
      </w:r>
    </w:p>
    <w:p w14:paraId="3886155F" w14:textId="77777777" w:rsidR="00455BC3" w:rsidRDefault="00455BC3" w:rsidP="00455BC3">
      <w:pPr>
        <w:pStyle w:val="Heading4"/>
      </w:pPr>
      <w:r>
        <w:lastRenderedPageBreak/>
        <w:t>Opozorilni znaki</w:t>
      </w:r>
    </w:p>
    <w:p w14:paraId="0AEEB076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Vozilo ali skupina vozil </w:t>
      </w:r>
      <w:r>
        <w:t>je opremljena z opozorilnimi znaki spredaj in zadaj.</w:t>
      </w:r>
    </w:p>
    <w:p w14:paraId="01F45545" w14:textId="77777777" w:rsidR="00455BC3" w:rsidRDefault="00455BC3" w:rsidP="00455BC3">
      <w:pPr>
        <w:pStyle w:val="Styckemedindrag"/>
      </w:pPr>
      <w:r>
        <w:t>Znak, obrnjen naprej, se namesti pod spodnjim robom vetrobranskega stekla oziroma tako, da njegov spodnji rob ni več kot 2,0 metra nad voziščem.</w:t>
      </w:r>
    </w:p>
    <w:p w14:paraId="1577E6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Znaki imajo:</w:t>
      </w:r>
    </w:p>
    <w:p w14:paraId="33D64DB5" w14:textId="77777777" w:rsidR="00455BC3" w:rsidRPr="006800D8" w:rsidRDefault="00455BC3" w:rsidP="00455BC3">
      <w:pPr>
        <w:pStyle w:val="Styckemedindrag"/>
      </w:pPr>
      <w:r>
        <w:t>1. rumeno osnovno barvo, ki je odsevna;</w:t>
      </w:r>
    </w:p>
    <w:p w14:paraId="3F6FE63B" w14:textId="77777777" w:rsidR="00455BC3" w:rsidRPr="005C2570" w:rsidRDefault="00455BC3" w:rsidP="00455BC3">
      <w:pPr>
        <w:pStyle w:val="Styckemedindrag"/>
      </w:pPr>
      <w:r>
        <w:t xml:space="preserve">2. fluorescentno rdečo obrobo s širino 5,5 cm in </w:t>
      </w:r>
    </w:p>
    <w:p w14:paraId="42E0383B" w14:textId="77777777" w:rsidR="00455BC3" w:rsidRPr="000C43A6" w:rsidRDefault="00455BC3" w:rsidP="00455BC3">
      <w:pPr>
        <w:pStyle w:val="Styckemedindrag"/>
        <w:rPr>
          <w:rFonts w:cstheme="minorHAnsi"/>
        </w:rPr>
      </w:pPr>
      <w:r>
        <w:t>3. besedilo v pisavi TratexSvart z velikostjo besedila 0,17 m.</w:t>
      </w:r>
    </w:p>
    <w:p w14:paraId="2ED9FE42" w14:textId="7E841DF1" w:rsidR="00455BC3" w:rsidRDefault="00455BC3" w:rsidP="00455BC3">
      <w:pPr>
        <w:pStyle w:val="Stycke"/>
        <w:spacing w:before="120"/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t>Znaki imajo naslednje velikosti.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1"/>
        <w:gridCol w:w="841"/>
        <w:gridCol w:w="3769"/>
      </w:tblGrid>
      <w:tr w:rsidR="00455BC3" w:rsidRPr="00F53305" w14:paraId="277B1F59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7BFC071C" w14:textId="77777777" w:rsidR="00455BC3" w:rsidRPr="00F53305" w:rsidRDefault="00455BC3" w:rsidP="00A649BC">
            <w:pPr>
              <w:pStyle w:val="Styckemedindrag"/>
              <w:ind w:firstLine="0"/>
            </w:pPr>
            <w:r>
              <w:t>Znaki z enovrstičnim besedilom</w:t>
            </w:r>
          </w:p>
        </w:tc>
        <w:tc>
          <w:tcPr>
            <w:tcW w:w="841" w:type="dxa"/>
            <w:shd w:val="clear" w:color="auto" w:fill="auto"/>
          </w:tcPr>
          <w:p w14:paraId="0EA9B4E9" w14:textId="77777777" w:rsidR="00455BC3" w:rsidRPr="00F53305" w:rsidRDefault="00455BC3" w:rsidP="00A649BC">
            <w:pPr>
              <w:pStyle w:val="Styckemedindrag"/>
              <w:ind w:firstLine="0"/>
            </w:pPr>
            <w:r>
              <w:t>Slika 1</w:t>
            </w:r>
          </w:p>
        </w:tc>
        <w:tc>
          <w:tcPr>
            <w:tcW w:w="3769" w:type="dxa"/>
            <w:shd w:val="clear" w:color="auto" w:fill="auto"/>
          </w:tcPr>
          <w:p w14:paraId="1F8E0C50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je najmanj 1,2 metra, S2 pa najmanj 0,4 metra. Razmerje med širino in višino je 3 : 1</w:t>
            </w:r>
          </w:p>
        </w:tc>
      </w:tr>
      <w:tr w:rsidR="00455BC3" w:rsidRPr="008C7092" w14:paraId="23C83AFB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396E5B58" w14:textId="1A5C7731" w:rsidR="00455BC3" w:rsidRPr="00F53305" w:rsidRDefault="00455BC3" w:rsidP="00A649BC">
            <w:pPr>
              <w:pStyle w:val="Styckemedindrag"/>
              <w:ind w:firstLine="0"/>
            </w:pPr>
            <w:r>
              <w:t>Znaki z dvovrstičnim besedilom</w:t>
            </w:r>
          </w:p>
        </w:tc>
        <w:tc>
          <w:tcPr>
            <w:tcW w:w="841" w:type="dxa"/>
            <w:shd w:val="clear" w:color="auto" w:fill="auto"/>
          </w:tcPr>
          <w:p w14:paraId="59B319C8" w14:textId="77777777" w:rsidR="00455BC3" w:rsidRPr="008C7092" w:rsidRDefault="00455BC3" w:rsidP="00A649BC">
            <w:pPr>
              <w:pStyle w:val="Styckemedindrag"/>
              <w:ind w:firstLine="0"/>
            </w:pPr>
            <w:r>
              <w:t>Slika 2</w:t>
            </w:r>
          </w:p>
        </w:tc>
        <w:tc>
          <w:tcPr>
            <w:tcW w:w="3769" w:type="dxa"/>
            <w:shd w:val="clear" w:color="auto" w:fill="auto"/>
          </w:tcPr>
          <w:p w14:paraId="46F0ED31" w14:textId="77777777" w:rsidR="00455BC3" w:rsidRPr="008C7092" w:rsidRDefault="00455BC3" w:rsidP="00A649BC">
            <w:pPr>
              <w:pStyle w:val="Styckemedindrag"/>
              <w:ind w:firstLine="0"/>
            </w:pPr>
            <w:r>
              <w:t>S1 je najmanj 0,6 metra, S2 pa najmanj 0,5 metra.</w:t>
            </w:r>
          </w:p>
        </w:tc>
      </w:tr>
    </w:tbl>
    <w:p w14:paraId="538B8247" w14:textId="7FD578DA" w:rsidR="00455BC3" w:rsidRPr="003B569A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5E40E2" wp14:editId="0B72E04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253615" cy="930275"/>
            <wp:effectExtent l="0" t="0" r="0" b="3175"/>
            <wp:wrapTopAndBottom/>
            <wp:docPr id="28" name="Bildobjekt 28" descr="C:\Users\paek01\AppData\Local\Microsoft\Windows\INetCache\Content.Word\Fordonsskylt - Bred last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ek01\AppData\Local\Microsoft\Windows\INetCache\Content.Word\Fordonsskylt - Bred last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Če se poveča velikost znaka, se ustrezno povečata tudi velikost besedila in širina obrobe.</w:t>
      </w:r>
    </w:p>
    <w:p w14:paraId="2A11C87E" w14:textId="52D4BCBE" w:rsidR="00455BC3" w:rsidRDefault="00455BC3" w:rsidP="00455BC3">
      <w:pPr>
        <w:pStyle w:val="Styckemedindrag"/>
      </w:pPr>
      <w:r>
        <w:t>Slika 1</w:t>
      </w:r>
    </w:p>
    <w:p w14:paraId="0745566E" w14:textId="46599978" w:rsidR="00455BC3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50B3A6" wp14:editId="334A1857">
            <wp:simplePos x="0" y="0"/>
            <wp:positionH relativeFrom="margin">
              <wp:posOffset>95250</wp:posOffset>
            </wp:positionH>
            <wp:positionV relativeFrom="paragraph">
              <wp:posOffset>118745</wp:posOffset>
            </wp:positionV>
            <wp:extent cx="1278255" cy="1109980"/>
            <wp:effectExtent l="0" t="0" r="0" b="0"/>
            <wp:wrapTopAndBottom/>
            <wp:docPr id="21" name="Bildobjekt 21" descr="C:\Users\paek01\AppData\Local\Microsoft\Windows\INetCache\Content.Word\Fordonsskylt - Bred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ek01\AppData\Local\Microsoft\Windows\INetCache\Content.Word\Fordonsskylt - Bred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2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0B2CFA3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096B4" w14:textId="1BA764DF" w:rsidR="002F073C" w:rsidRPr="00EF393E" w:rsidRDefault="002F073C">
            <w:pPr>
              <w:pStyle w:val="Styckemedindrag"/>
              <w:ind w:firstLine="0"/>
            </w:pPr>
            <w:r w:rsidRPr="00EF393E">
              <w:t>Bred last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254FA" w14:textId="77777777" w:rsidR="002F073C" w:rsidRDefault="002F073C">
            <w:pPr>
              <w:pStyle w:val="Styckemedindrag"/>
              <w:ind w:firstLine="0"/>
            </w:pPr>
            <w:r>
              <w:t>Širok tovor</w:t>
            </w:r>
          </w:p>
        </w:tc>
      </w:tr>
    </w:tbl>
    <w:p w14:paraId="0A116679" w14:textId="1CC37C74" w:rsidR="00455BC3" w:rsidRDefault="00455BC3" w:rsidP="00455BC3">
      <w:pPr>
        <w:pStyle w:val="Heading3"/>
      </w:pPr>
      <w:r>
        <w:t>Opozorilne svetilke</w:t>
      </w:r>
    </w:p>
    <w:p w14:paraId="5894DF63" w14:textId="4170E04A" w:rsidR="00455BC3" w:rsidRDefault="00455BC3" w:rsidP="00455BC3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Vozilo ali skupina vozil je opremljena z vsaj eno opozorilno svetilko.</w:t>
      </w:r>
    </w:p>
    <w:p w14:paraId="624AB1F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Opozorilne svetilke se vklopijo samo, kadar vozilo ali skupina vozil hkrati uporablja več kot en prometni pas.</w:t>
      </w:r>
    </w:p>
    <w:p w14:paraId="669ABBEE" w14:textId="77777777" w:rsidR="00455BC3" w:rsidRDefault="00455BC3" w:rsidP="00455BC3">
      <w:pPr>
        <w:pStyle w:val="Rubrik2kapitelelliknande"/>
      </w:pPr>
      <w:r>
        <w:lastRenderedPageBreak/>
        <w:t>Dodatni pogoji za vožnje z vozili ali skupinami vozil, daljšimi od 310 centimetrov</w:t>
      </w:r>
    </w:p>
    <w:p w14:paraId="592879D1" w14:textId="77777777" w:rsidR="00455BC3" w:rsidRPr="00056A55" w:rsidRDefault="00455BC3" w:rsidP="00455BC3">
      <w:pPr>
        <w:pStyle w:val="Rubrik3utanluftfre"/>
      </w:pPr>
      <w:r>
        <w:t>Opozorilne svetilke</w:t>
      </w:r>
    </w:p>
    <w:p w14:paraId="00D63766" w14:textId="77777777" w:rsidR="00455BC3" w:rsidRPr="00AF318A" w:rsidRDefault="00455BC3" w:rsidP="00455BC3">
      <w:pPr>
        <w:pStyle w:val="Stycke"/>
        <w:spacing w:before="120"/>
      </w:pPr>
      <w:r>
        <w:rPr>
          <w:rStyle w:val="Fparagrafbeteckning"/>
        </w:rPr>
        <w:t>26</w:t>
      </w:r>
      <w:r>
        <w:rPr>
          <w:rStyle w:val="Fparagrafbeteckning"/>
        </w:rPr>
        <w:t> </w:t>
      </w:r>
      <w:r>
        <w:t xml:space="preserve">Med vožnjo ponoči, v mraku ali ob zori </w:t>
      </w:r>
      <w:r>
        <w:rPr>
          <w:rFonts w:ascii="TimesNewRomanPSMT" w:hAnsi="TimesNewRomanPSMT"/>
        </w:rPr>
        <w:t xml:space="preserve">in drugače, če to zahtevajo vremenske razmere ali druge okoliščine, </w:t>
      </w:r>
      <w:r>
        <w:t>se poleg upoštevanja določb iz oddelka 25 vklopijo tudi opozorilne svetilke.</w:t>
      </w:r>
    </w:p>
    <w:p w14:paraId="3517E9D2" w14:textId="77777777" w:rsidR="00455BC3" w:rsidRDefault="00455BC3" w:rsidP="00455BC3">
      <w:pPr>
        <w:pStyle w:val="Heading3"/>
      </w:pPr>
      <w:r>
        <w:t>Vozilo za opozarjanje na nevarnost</w:t>
      </w:r>
    </w:p>
    <w:p w14:paraId="7171E5BE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Vozilo za opozarjanje na nevarnost opozarja druge udeležence v prometu o širokem vozilu ali skupini vozil.</w:t>
      </w:r>
    </w:p>
    <w:p w14:paraId="3987A82A" w14:textId="77777777" w:rsidR="00455BC3" w:rsidRDefault="00455BC3" w:rsidP="00455BC3">
      <w:pPr>
        <w:pStyle w:val="Styckemedindrag"/>
      </w:pPr>
      <w:r>
        <w:t>Vozilo za opozarjanje na nevarnost vozi za vozilom ali skupino vozil na cestah s pasovi, ločenimi z ločevalnikom, srednjo pregrado ali na enakovreden način. Če vozni pasovi niso fizično ločeni, vozi pred vozilom ali skupino vozil.</w:t>
      </w:r>
    </w:p>
    <w:p w14:paraId="244B3857" w14:textId="77777777" w:rsidR="00455BC3" w:rsidRPr="00740028" w:rsidRDefault="00455BC3" w:rsidP="00455BC3">
      <w:pPr>
        <w:pStyle w:val="Styckemedindrag"/>
      </w:pPr>
      <w:r>
        <w:t>Razen v naseljih je razdalja med vozilom za opozarjanje na nevarnost in prevozom približno 200 metrov. V naseljenih območjih je razdalja krajša.</w:t>
      </w:r>
    </w:p>
    <w:p w14:paraId="74BD165A" w14:textId="77777777" w:rsidR="00455BC3" w:rsidRPr="00C14419" w:rsidRDefault="00455BC3" w:rsidP="00455BC3">
      <w:pPr>
        <w:pStyle w:val="Stycke"/>
        <w:spacing w:before="120"/>
      </w:pPr>
      <w:r>
        <w:rPr>
          <w:rStyle w:val="Fparagrafbeteckning"/>
        </w:rPr>
        <w:t>28</w:t>
      </w:r>
      <w:r>
        <w:rPr>
          <w:rStyle w:val="Fparagrafbeteckning"/>
        </w:rPr>
        <w:t> </w:t>
      </w:r>
      <w:r>
        <w:t>Vozilo za opozarjanje na nevarnost opozarja na največ tri vozila ali skupine vozil.</w:t>
      </w:r>
    </w:p>
    <w:p w14:paraId="150F761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V</w:t>
      </w:r>
      <w:r>
        <w:t>ozilo za opozarjanje na nevarnost je osebni avtomobil ali tovornjak s skupno težo, ki ne presega 4,5 tone. Vozilo nima povezanega vozila.</w:t>
      </w:r>
    </w:p>
    <w:p w14:paraId="0D32A395" w14:textId="77777777" w:rsidR="00455BC3" w:rsidRPr="00877D1F" w:rsidRDefault="00455BC3" w:rsidP="00455BC3">
      <w:pPr>
        <w:pStyle w:val="Heading4"/>
      </w:pPr>
      <w:r>
        <w:t>Vozniško dovoljenje</w:t>
      </w:r>
    </w:p>
    <w:p w14:paraId="6ABA405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30</w:t>
      </w:r>
      <w:r>
        <w:rPr>
          <w:rStyle w:val="Fparagrafbeteckning"/>
        </w:rPr>
        <w:t> </w:t>
      </w:r>
      <w:r>
        <w:t>Voznik opozorilnega vozila ima vozniško dovoljenje C1 ali C.</w:t>
      </w:r>
    </w:p>
    <w:p w14:paraId="0642AF03" w14:textId="77777777" w:rsidR="00455BC3" w:rsidRPr="00877D1F" w:rsidRDefault="00455BC3" w:rsidP="00455BC3">
      <w:pPr>
        <w:pStyle w:val="Heading4"/>
      </w:pPr>
      <w:r>
        <w:t>Opozorilni znaki</w:t>
      </w:r>
    </w:p>
    <w:p w14:paraId="4740A70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 xml:space="preserve">Vozilo za opozarjanje na nevarnost je označeno z opozorilnimi znaki. Znaki so nameščeni višje od zgornjega roba vetrobranskega stekla in so jasno vidni od spredaj in zadaj. Znaki so v takem stanju, da so opazni in razumljivi za druge udeležence v prometu. </w:t>
      </w:r>
      <w:r>
        <w:rPr>
          <w:rStyle w:val="Fparagrafbeteckning"/>
          <w:b w:val="0"/>
        </w:rPr>
        <w:t>Opozorilni znaki so osvetljeni med vožnjo ponoči, v mraku ali ob zori</w:t>
      </w:r>
      <w:r>
        <w:t xml:space="preserve"> in drugače, če to zahtevajo vremenske razmere</w:t>
      </w:r>
      <w:r>
        <w:rPr>
          <w:rStyle w:val="Fparagrafbeteckning"/>
          <w:b w:val="0"/>
        </w:rPr>
        <w:t xml:space="preserve"> ali druge okoliščine</w:t>
      </w:r>
      <w:r>
        <w:t>.</w:t>
      </w:r>
    </w:p>
    <w:p w14:paraId="1655C14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Znaki imajo:</w:t>
      </w:r>
    </w:p>
    <w:p w14:paraId="72E521BA" w14:textId="77777777" w:rsidR="00455BC3" w:rsidRPr="00EC3487" w:rsidRDefault="00455BC3" w:rsidP="00455BC3">
      <w:pPr>
        <w:pStyle w:val="Styckemedindrag"/>
      </w:pPr>
      <w:r>
        <w:t>1. rumeno osnovno barvo, ki je odsevna;</w:t>
      </w:r>
    </w:p>
    <w:p w14:paraId="5B4BC159" w14:textId="77777777" w:rsidR="00455BC3" w:rsidRPr="005C2570" w:rsidRDefault="00455BC3" w:rsidP="00455BC3">
      <w:pPr>
        <w:pStyle w:val="Styckemedindrag"/>
      </w:pPr>
      <w:r>
        <w:t xml:space="preserve">2. fluorescentno rdečo obrobo s širino 5,5 cm in </w:t>
      </w:r>
    </w:p>
    <w:p w14:paraId="04455904" w14:textId="77777777" w:rsidR="00455BC3" w:rsidRDefault="00455BC3" w:rsidP="00455BC3">
      <w:pPr>
        <w:pStyle w:val="Styckemedindrag"/>
        <w:rPr>
          <w:rFonts w:cstheme="minorHAnsi"/>
        </w:rPr>
      </w:pPr>
      <w:r>
        <w:t>3. besedilo v pisavi TratexSvart z velikostjo besedila 0,17 m.</w:t>
      </w:r>
    </w:p>
    <w:p w14:paraId="73748E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Z</w:t>
      </w:r>
      <w:r>
        <w:t>naki imajo naslednjo velikost.</w:t>
      </w:r>
    </w:p>
    <w:p w14:paraId="5980FB25" w14:textId="77777777" w:rsidR="00455BC3" w:rsidRDefault="00455BC3" w:rsidP="00455BC3">
      <w:pPr>
        <w:pStyle w:val="Styckemedindrag"/>
      </w:pPr>
      <w:r>
        <w:t>S1 je vsaj 1,2 metra, S2 pa najmanj 0,4 metra (slika 1). Razmerje med širino in višino je 3 : 1.</w:t>
      </w:r>
    </w:p>
    <w:p w14:paraId="442F9D92" w14:textId="77777777" w:rsidR="00455BC3" w:rsidRDefault="00455BC3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0EC90E0" wp14:editId="4E7EB72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Če se poveča velikost znaka, se ustrezno povečata tudi velikost besedila in širina obrobe.</w:t>
      </w:r>
    </w:p>
    <w:p w14:paraId="71BCCFCA" w14:textId="77777777" w:rsidR="00455BC3" w:rsidRDefault="00455BC3" w:rsidP="00455BC3">
      <w:pPr>
        <w:pStyle w:val="Styckemedindrag"/>
      </w:pPr>
      <w:r>
        <w:t>Slika 1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1AFC3096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78D6E" w14:textId="77777777" w:rsidR="002F073C" w:rsidRPr="00EF393E" w:rsidRDefault="002F073C">
            <w:pPr>
              <w:pStyle w:val="Styckemedindrag"/>
              <w:ind w:firstLine="0"/>
            </w:pPr>
            <w:r w:rsidRPr="00EF393E">
              <w:t>Varning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96031" w14:textId="77777777" w:rsidR="002F073C" w:rsidRDefault="002F073C">
            <w:pPr>
              <w:pStyle w:val="Styckemedindrag"/>
              <w:ind w:firstLine="0"/>
            </w:pPr>
            <w:r>
              <w:t>Opozorilo</w:t>
            </w:r>
          </w:p>
        </w:tc>
      </w:tr>
    </w:tbl>
    <w:p w14:paraId="737C6BD8" w14:textId="77777777" w:rsidR="00455BC3" w:rsidRPr="005A5EC8" w:rsidRDefault="00455BC3" w:rsidP="00455BC3">
      <w:pPr>
        <w:pStyle w:val="Heading4"/>
      </w:pPr>
      <w:r>
        <w:t>Opozorilna svetilka</w:t>
      </w:r>
    </w:p>
    <w:p w14:paraId="07423A3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Vozilo za opozarjanje na nevarnost je opremljeno z vsaj eno opozorilno svetilko.</w:t>
      </w:r>
    </w:p>
    <w:p w14:paraId="12C087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Pri vožnji podnevi se opozorilna svetilka vklopi samo, ko široko vozilo ali skupina vozil vstopi na nasprotni vozni pas.</w:t>
      </w:r>
    </w:p>
    <w:p w14:paraId="7F0ECD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Med </w:t>
      </w:r>
      <w:r>
        <w:t>vožnjo ponoči, ob mraku ali ob zori in drugače, kadar to zahtevajo vremenske razmere ali druge okoliščine, je opozorilna svetilka vedno vklopljena.</w:t>
      </w:r>
    </w:p>
    <w:p w14:paraId="75FAD085" w14:textId="77777777" w:rsidR="00455BC3" w:rsidRDefault="00455BC3" w:rsidP="00455BC3">
      <w:pPr>
        <w:pStyle w:val="Heading3"/>
      </w:pPr>
      <w:r>
        <w:t>Komunikacija med vozilom za opozarjanje na nevarnost in širokim vozilom ali skupino vozil</w:t>
      </w:r>
    </w:p>
    <w:p w14:paraId="321E796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Voznika v vozilu za opozarjanje na nevarnost in v širokem vozilu ali skupini vozil lahko med seboj komunicirata prek radijske povezave ali povezave z mobilnim telefonom. Voznika med seboj komunicirata </w:t>
      </w:r>
      <w:r>
        <w:t xml:space="preserve">v jeziku, ki ga oba </w:t>
      </w:r>
      <w:r>
        <w:rPr>
          <w:rFonts w:ascii="TimesNewRomanPSMT" w:hAnsi="TimesNewRomanPSMT"/>
        </w:rPr>
        <w:t>razumeta.</w:t>
      </w:r>
    </w:p>
    <w:p w14:paraId="56250EDB" w14:textId="77777777" w:rsidR="00455BC3" w:rsidRPr="00846EBF" w:rsidRDefault="00455BC3" w:rsidP="00455BC3">
      <w:pPr>
        <w:pStyle w:val="Rubrik2kapitelelliknande"/>
        <w:rPr>
          <w:rStyle w:val="Fparagrafbeteckning"/>
          <w:rFonts w:asciiTheme="minorHAnsi" w:hAnsiTheme="minorHAnsi"/>
          <w:b/>
          <w:sz w:val="21"/>
        </w:rPr>
      </w:pPr>
      <w:r>
        <w:t>Dodatni pogoji za vožnje z vozili, širšimi od 450 centimetrov</w:t>
      </w:r>
    </w:p>
    <w:p w14:paraId="66B7D3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>Prevoz spremlja spremljevalec cestnega prevoza ali policist. Če naj bi prevoz spremljala policija, mora odločba vsebovati navodilo, da je treba s Švedskim policijskim organom vzpostaviti stik vsaj en teden pred načrtovanim prevozom.</w:t>
      </w:r>
    </w:p>
    <w:p w14:paraId="353DB84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Voznik prevoza zagotovi, da se vzpostavi radijska ali telefonska povezava z voznikom vozila za opozarjanje na nevarnost, spremljevalcem cestnega prevoza ali policijo. Med seboj komunicirajo v jeziku, ki ga vsi razumejo.</w:t>
      </w:r>
    </w:p>
    <w:p w14:paraId="1BD43765" w14:textId="77777777" w:rsidR="00455BC3" w:rsidRPr="007B0271" w:rsidRDefault="00455BC3" w:rsidP="00455BC3">
      <w:pPr>
        <w:pStyle w:val="Flinjeikrafttrdande"/>
        <w:rPr>
          <w:b/>
        </w:rPr>
      </w:pPr>
      <w:r>
        <w:t>___________</w:t>
      </w:r>
    </w:p>
    <w:p w14:paraId="375DD3DE" w14:textId="77777777" w:rsidR="00455BC3" w:rsidRDefault="00455BC3" w:rsidP="003A56C9">
      <w:pPr>
        <w:pStyle w:val="Styckemedindrag"/>
      </w:pPr>
      <w:r>
        <w:t xml:space="preserve">Ta splošna priporočila nadomeščajo Splošna priporočila Švedske uprave za ceste (VVFS 2000:126) glede izvzetij od določb Odloka o cestnem </w:t>
      </w:r>
      <w:r>
        <w:lastRenderedPageBreak/>
        <w:t>prometu (1998:1276) o širini vozil in Splošna priporočila Švedske agencije za promet (TSFS 2009:64) o izvzetjih v zvezi z vožnjo širokih vozil.</w:t>
      </w:r>
    </w:p>
    <w:p w14:paraId="2595ABA4" w14:textId="77777777" w:rsidR="00FC5B2E" w:rsidRDefault="00FC5B2E" w:rsidP="00FC5B2E">
      <w:pPr>
        <w:pStyle w:val="Beslutandeochfredragande"/>
      </w:pPr>
      <w:r>
        <w:t>V imenu Švedske agencije za promet</w:t>
      </w:r>
      <w:r>
        <w:br/>
        <w:t>JONAS BJELFVENSTAM</w:t>
      </w:r>
      <w:r>
        <w:br/>
        <w:t>Pär Ekström</w:t>
      </w:r>
      <w:r>
        <w:br/>
        <w:t>(Ceste in železnice)</w:t>
      </w:r>
    </w:p>
    <w:p w14:paraId="79E66AB2" w14:textId="77777777" w:rsidR="00FC5B2E" w:rsidRP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179830BE" w14:textId="77777777" w:rsid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</w:pPr>
      <w:r>
        <w:rPr>
          <w:sz w:val="17"/>
        </w:rPr>
        <w:t>Objavil: Kristina Nilsson, švedska agencija za promet, Norrköping   ISSN 2000-1975</w:t>
      </w:r>
    </w:p>
    <w:p w14:paraId="4492A916" w14:textId="77777777" w:rsidR="00455BC3" w:rsidRDefault="00455BC3" w:rsidP="00455BC3">
      <w:pPr>
        <w:pStyle w:val="Stycke"/>
      </w:pPr>
    </w:p>
    <w:p w14:paraId="496D9672" w14:textId="77777777" w:rsidR="00FC5B2E" w:rsidRDefault="00FC5B2E" w:rsidP="00FC5B2E">
      <w:pPr>
        <w:pStyle w:val="Styckemedindrag"/>
      </w:pPr>
    </w:p>
    <w:p w14:paraId="0C85AC51" w14:textId="77777777" w:rsidR="00FC5B2E" w:rsidRDefault="00FC5B2E" w:rsidP="00FC5B2E">
      <w:pPr>
        <w:pStyle w:val="Styckemedindrag"/>
        <w:sectPr w:rsidR="00FC5B2E" w:rsidSect="000B024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7F304A6E" w14:textId="77777777" w:rsidR="00FC5B2E" w:rsidRDefault="00FC5B2E" w:rsidP="00FC5B2E">
      <w:pPr>
        <w:pStyle w:val="Heading3"/>
      </w:pPr>
      <w:r>
        <w:lastRenderedPageBreak/>
        <w:t>Priloga</w:t>
      </w:r>
    </w:p>
    <w:p w14:paraId="7AA46833" w14:textId="77777777" w:rsidR="00FC5B2E" w:rsidRDefault="00FC5B2E" w:rsidP="00FC5B2E">
      <w:pPr>
        <w:pStyle w:val="Styck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46E5C1" wp14:editId="1AE903FE">
            <wp:simplePos x="0" y="0"/>
            <wp:positionH relativeFrom="column">
              <wp:posOffset>1998345</wp:posOffset>
            </wp:positionH>
            <wp:positionV relativeFrom="paragraph">
              <wp:posOffset>1778635</wp:posOffset>
            </wp:positionV>
            <wp:extent cx="1716405" cy="133667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4AE9CF" wp14:editId="6CF88F6D">
            <wp:simplePos x="0" y="0"/>
            <wp:positionH relativeFrom="column">
              <wp:posOffset>-30480</wp:posOffset>
            </wp:positionH>
            <wp:positionV relativeFrom="paragraph">
              <wp:posOffset>1762760</wp:posOffset>
            </wp:positionV>
            <wp:extent cx="1832610" cy="13525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331BA" wp14:editId="0DB75A0E">
            <wp:simplePos x="0" y="0"/>
            <wp:positionH relativeFrom="column">
              <wp:posOffset>-2540</wp:posOffset>
            </wp:positionH>
            <wp:positionV relativeFrom="paragraph">
              <wp:posOffset>356870</wp:posOffset>
            </wp:positionV>
            <wp:extent cx="1694180" cy="1284605"/>
            <wp:effectExtent l="0" t="0" r="127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068860" wp14:editId="6BAABB0A">
            <wp:simplePos x="0" y="0"/>
            <wp:positionH relativeFrom="column">
              <wp:posOffset>1772920</wp:posOffset>
            </wp:positionH>
            <wp:positionV relativeFrom="paragraph">
              <wp:posOffset>217170</wp:posOffset>
            </wp:positionV>
            <wp:extent cx="1845945" cy="1424940"/>
            <wp:effectExtent l="0" t="0" r="1905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 1. Položaj znakov za označevanje širine v vodoravni smeri.</w:t>
      </w:r>
    </w:p>
    <w:p w14:paraId="103E71AE" w14:textId="77777777" w:rsidR="00FC5B2E" w:rsidRPr="00E418B3" w:rsidRDefault="00FC5B2E" w:rsidP="00E418B3">
      <w:pPr>
        <w:pStyle w:val="Styckemedindrag"/>
        <w:spacing w:line="240" w:lineRule="auto"/>
        <w:ind w:firstLine="0"/>
        <w:rPr>
          <w:sz w:val="10"/>
          <w:szCs w:val="14"/>
        </w:rPr>
      </w:pPr>
    </w:p>
    <w:p w14:paraId="469BCB25" w14:textId="77777777" w:rsidR="00FC5B2E" w:rsidRPr="00E418B3" w:rsidRDefault="00FC5B2E" w:rsidP="00FC5B2E">
      <w:pPr>
        <w:pStyle w:val="Stycke"/>
        <w:rPr>
          <w:sz w:val="12"/>
          <w:szCs w:val="16"/>
        </w:rPr>
      </w:pPr>
    </w:p>
    <w:p w14:paraId="61CD275A" w14:textId="412D6A59" w:rsidR="00FC5B2E" w:rsidRPr="003B558A" w:rsidRDefault="002F073C" w:rsidP="0073151C">
      <w:pPr>
        <w:pStyle w:val="Stycke"/>
        <w:spacing w:line="240" w:lineRule="auto"/>
        <w:ind w:right="-82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D66B9E" wp14:editId="207FB3CB">
            <wp:simplePos x="0" y="0"/>
            <wp:positionH relativeFrom="margin">
              <wp:posOffset>-5715</wp:posOffset>
            </wp:positionH>
            <wp:positionV relativeFrom="paragraph">
              <wp:posOffset>247015</wp:posOffset>
            </wp:positionV>
            <wp:extent cx="3627120" cy="1895475"/>
            <wp:effectExtent l="0" t="0" r="0" b="9525"/>
            <wp:wrapTopAndBottom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2. Položaj oznak za označevanje širine v vzdolžni smeri tovora.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8F51971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D1560" w14:textId="77777777" w:rsidR="002F073C" w:rsidRPr="00EF393E" w:rsidRDefault="002F073C" w:rsidP="00E418B3">
            <w:pPr>
              <w:pStyle w:val="Styckemedindrag"/>
              <w:spacing w:line="240" w:lineRule="auto"/>
              <w:ind w:firstLine="0"/>
            </w:pPr>
            <w:r w:rsidRPr="00EF393E">
              <w:t>Bred last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9F83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 tovor</w:t>
            </w:r>
          </w:p>
        </w:tc>
      </w:tr>
      <w:tr w:rsidR="002F073C" w14:paraId="65DD1300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B8" w14:textId="77777777" w:rsidR="002F073C" w:rsidRPr="00EF393E" w:rsidRDefault="002F073C" w:rsidP="00E418B3">
            <w:pPr>
              <w:pStyle w:val="Styckemedindrag"/>
              <w:spacing w:line="240" w:lineRule="auto"/>
              <w:ind w:firstLine="0"/>
            </w:pPr>
            <w:r w:rsidRPr="00EF393E">
              <w:t>Före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D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Pred tovorom</w:t>
            </w:r>
          </w:p>
        </w:tc>
      </w:tr>
      <w:tr w:rsidR="002F073C" w14:paraId="1AEF6F99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79D" w14:textId="77777777" w:rsidR="002F073C" w:rsidRPr="00EF393E" w:rsidRDefault="002F073C" w:rsidP="00E418B3">
            <w:pPr>
              <w:pStyle w:val="Styckemedindrag"/>
              <w:spacing w:line="240" w:lineRule="auto"/>
              <w:ind w:firstLine="0"/>
            </w:pPr>
            <w:r w:rsidRPr="00EF393E">
              <w:t>Intill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7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Poleg tovora</w:t>
            </w:r>
          </w:p>
        </w:tc>
      </w:tr>
      <w:tr w:rsidR="002F073C" w14:paraId="706C7415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52E" w14:textId="77777777" w:rsidR="002F073C" w:rsidRPr="00EF393E" w:rsidRDefault="002F073C" w:rsidP="00E418B3">
            <w:pPr>
              <w:pStyle w:val="Styckemedindrag"/>
              <w:spacing w:line="240" w:lineRule="auto"/>
              <w:ind w:firstLine="0"/>
            </w:pPr>
            <w:r w:rsidRPr="00EF393E">
              <w:t>BRED ODELBAR LAST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32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 NEDELJIVI TOVOR</w:t>
            </w:r>
          </w:p>
        </w:tc>
      </w:tr>
    </w:tbl>
    <w:p w14:paraId="166B8A87" w14:textId="0B4DC28E" w:rsidR="00FC5B2E" w:rsidRPr="00E418B3" w:rsidRDefault="00FC5B2E" w:rsidP="00E418B3">
      <w:pPr>
        <w:pStyle w:val="Stycke"/>
        <w:rPr>
          <w:sz w:val="2"/>
          <w:szCs w:val="2"/>
        </w:rPr>
      </w:pPr>
    </w:p>
    <w:sectPr w:rsidR="00FC5B2E" w:rsidRPr="00E418B3" w:rsidSect="00FC5B2E">
      <w:headerReference w:type="even" r:id="rId31"/>
      <w:headerReference w:type="default" r:id="rId32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8AC2" w14:textId="77777777" w:rsidR="00AD3010" w:rsidRDefault="00AD3010">
      <w:r>
        <w:separator/>
      </w:r>
    </w:p>
    <w:p w14:paraId="68B1E3AE" w14:textId="77777777" w:rsidR="00AD3010" w:rsidRDefault="00AD3010"/>
  </w:endnote>
  <w:endnote w:type="continuationSeparator" w:id="0">
    <w:p w14:paraId="27213BB0" w14:textId="77777777" w:rsidR="00AD3010" w:rsidRDefault="00AD3010">
      <w:r>
        <w:continuationSeparator/>
      </w:r>
    </w:p>
    <w:p w14:paraId="40FB87CF" w14:textId="77777777" w:rsidR="00AD3010" w:rsidRDefault="00AD3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EF0B" w14:textId="6699A382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2</w:t>
    </w:r>
    <w:r>
      <w:rPr>
        <w:rStyle w:val="PageNumber"/>
      </w:rPr>
      <w:fldChar w:fldCharType="end"/>
    </w:r>
  </w:p>
  <w:p w14:paraId="4D05645E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5F51" w14:textId="12579C72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A34A" w14:textId="2489CD42" w:rsidR="00776CC0" w:rsidRDefault="00FC3427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EF393E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16CBA34A" w14:textId="2489CD42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EF393E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36539A">
      <w:rPr>
        <w:rStyle w:val="PageNumber"/>
      </w:rPr>
      <w:t>1</w:t>
    </w:r>
    <w:r w:rsidR="0036539A">
      <w:rPr>
        <w:rStyle w:val="PageNumber"/>
      </w:rPr>
      <w:t>1</w:t>
    </w:r>
    <w:r w:rsidR="00776CC0">
      <w:rPr>
        <w:rStyle w:val="PageNumber"/>
      </w:rPr>
      <w:fldChar w:fldCharType="end"/>
    </w:r>
  </w:p>
  <w:p w14:paraId="1D4412F8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5155" w14:textId="54404F57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1</w:t>
    </w:r>
    <w:r>
      <w:rPr>
        <w:rStyle w:val="PageNumber"/>
      </w:rPr>
      <w:fldChar w:fldCharType="end"/>
    </w:r>
  </w:p>
  <w:p w14:paraId="11051F12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A8F1" w14:textId="77777777" w:rsidR="00AD3010" w:rsidRDefault="00AD3010"/>
  </w:footnote>
  <w:footnote w:type="continuationSeparator" w:id="0">
    <w:p w14:paraId="6E7EBEA6" w14:textId="77777777" w:rsidR="00AD3010" w:rsidRDefault="00AD3010">
      <w:r>
        <w:continuationSeparator/>
      </w:r>
    </w:p>
    <w:p w14:paraId="0F64E2FD" w14:textId="77777777" w:rsidR="00AD3010" w:rsidRDefault="00AD3010"/>
  </w:footnote>
  <w:footnote w:type="continuationNotice" w:id="1">
    <w:p w14:paraId="304C1216" w14:textId="77777777" w:rsidR="00AD3010" w:rsidRDefault="00AD3010"/>
    <w:p w14:paraId="715E929B" w14:textId="77777777" w:rsidR="00AD3010" w:rsidRDefault="00AD3010"/>
  </w:footnote>
  <w:footnote w:id="2">
    <w:p w14:paraId="1BA699D7" w14:textId="77777777" w:rsidR="00455BC3" w:rsidRDefault="00455BC3">
      <w:pPr>
        <w:pStyle w:val="FootnoteText"/>
      </w:pPr>
      <w:r>
        <w:rPr>
          <w:rStyle w:val="FootnoteReference"/>
        </w:rPr>
        <w:footnoteRef/>
      </w:r>
      <w:r>
        <w:t xml:space="preserve"> Glej Direktivo (EU) 2015/1535 Evropskega parlamenta in Sveta z dne 9. septembra 2015 o določitvi postopka za zbiranje informacij na področju tehničnih predpisov in pravil za storitve informacijske družbe.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EC2A" w14:textId="77777777" w:rsidR="00A41C32" w:rsidRPr="00A41C32" w:rsidRDefault="00000000" w:rsidP="00A41C32">
    <w:pPr>
      <w:pStyle w:val="FSnr-sidhuvud"/>
    </w:pPr>
    <w:sdt>
      <w:sdtPr>
        <w:alias w:val="Zbirka predpisov"/>
        <w:id w:val="-668563778"/>
        <w:placeholder>
          <w:docPart w:val="B33F81CD5BBA4203B5D7E75BC4F9EB11"/>
        </w:placeholder>
        <w:text/>
      </w:sdtPr>
      <w:sdtContent>
        <w:r w:rsidR="00E807BC">
          <w:t>TSFS 20</w:t>
        </w:r>
      </w:sdtContent>
    </w:sdt>
    <w:sdt>
      <w:sdtPr>
        <w:alias w:val="Leto"/>
        <w:tag w:val="År"/>
        <w:id w:val="651943009"/>
        <w:placeholder>
          <w:docPart w:val="C825522A243547DBB27D308D6000E893"/>
        </w:placeholder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Št.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428AE930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6AB3" w14:textId="77777777" w:rsidR="00A41C32" w:rsidRPr="00A41C32" w:rsidRDefault="00000000" w:rsidP="00A41C32">
    <w:pPr>
      <w:pStyle w:val="FSnr-sidhuvud"/>
      <w:jc w:val="right"/>
    </w:pPr>
    <w:sdt>
      <w:sdtPr>
        <w:alias w:val="Zbirka predpisov"/>
        <w:id w:val="1150257239"/>
        <w:text/>
      </w:sdtPr>
      <w:sdtContent>
        <w:r w:rsidR="00E807BC">
          <w:t>TSFS 20</w:t>
        </w:r>
      </w:sdtContent>
    </w:sdt>
    <w:sdt>
      <w:sdtPr>
        <w:alias w:val="Leto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Št.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3A8BFEFD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BE6B" w14:textId="77777777" w:rsidR="00776CC0" w:rsidRDefault="00776CC0">
    <w:pPr>
      <w:pStyle w:val="Header"/>
    </w:pPr>
  </w:p>
  <w:p w14:paraId="7F72C20B" w14:textId="77777777" w:rsidR="00A41C32" w:rsidRDefault="00A41C32">
    <w:pPr>
      <w:pStyle w:val="Header"/>
    </w:pPr>
  </w:p>
  <w:p w14:paraId="708B2285" w14:textId="77777777" w:rsidR="00776CC0" w:rsidRDefault="00776CC0">
    <w:pPr>
      <w:pStyle w:val="Header"/>
    </w:pPr>
  </w:p>
  <w:p w14:paraId="24B83258" w14:textId="77777777" w:rsidR="00776CC0" w:rsidRDefault="00776CC0">
    <w:pPr>
      <w:pStyle w:val="Header"/>
    </w:pPr>
  </w:p>
  <w:p w14:paraId="49700E58" w14:textId="77777777" w:rsidR="00776CC0" w:rsidRDefault="00776CC0">
    <w:pPr>
      <w:pStyle w:val="Header"/>
    </w:pPr>
  </w:p>
  <w:p w14:paraId="6AE31E88" w14:textId="77777777" w:rsidR="00776CC0" w:rsidRDefault="00776C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0952" w14:textId="77777777" w:rsidR="00FC5B2E" w:rsidRPr="00A41C32" w:rsidRDefault="00000000" w:rsidP="00A41C32">
    <w:pPr>
      <w:pStyle w:val="FSnr-sidhuvud"/>
    </w:pPr>
    <w:sdt>
      <w:sdtPr>
        <w:alias w:val="Zbirka predpisov"/>
        <w:id w:val="1143925454"/>
        <w:placeholder>
          <w:docPart w:val="C825522A243547DBB27D308D6000E893"/>
        </w:placeholder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Leto"/>
        <w:tag w:val="År"/>
        <w:id w:val="1578247032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Št."/>
        <w:tag w:val="Nr"/>
        <w:id w:val="-284739210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7F2A639B" w14:textId="77777777" w:rsidR="00FC5B2E" w:rsidRPr="00B766D7" w:rsidRDefault="00FC5B2E" w:rsidP="008C1E59">
    <w:pPr>
      <w:pStyle w:val="Bilaga"/>
    </w:pPr>
    <w:r>
      <w:t xml:space="preserve">Priloga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D9AF" w14:textId="77777777" w:rsidR="00FC5B2E" w:rsidRPr="00A41C32" w:rsidRDefault="00000000" w:rsidP="00A41C32">
    <w:pPr>
      <w:pStyle w:val="FSnr-sidhuvud"/>
      <w:jc w:val="right"/>
    </w:pPr>
    <w:sdt>
      <w:sdtPr>
        <w:alias w:val="Zbirka predpisov"/>
        <w:id w:val="-1552379340"/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Leto"/>
        <w:tag w:val="År"/>
        <w:id w:val="640310247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Št."/>
        <w:tag w:val="Nr"/>
        <w:id w:val="-75673936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5F7BF107" w14:textId="77777777" w:rsidR="00FC5B2E" w:rsidRPr="00B766D7" w:rsidRDefault="00FC5B2E" w:rsidP="008C1E59">
    <w:pPr>
      <w:pStyle w:val="Bilaga"/>
      <w:jc w:val="right"/>
    </w:pPr>
    <w:r>
      <w:t xml:space="preserve">Priloga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670790561">
    <w:abstractNumId w:val="16"/>
  </w:num>
  <w:num w:numId="2" w16cid:durableId="831990143">
    <w:abstractNumId w:val="3"/>
  </w:num>
  <w:num w:numId="3" w16cid:durableId="1680740178">
    <w:abstractNumId w:val="2"/>
  </w:num>
  <w:num w:numId="4" w16cid:durableId="1037973881">
    <w:abstractNumId w:val="1"/>
  </w:num>
  <w:num w:numId="5" w16cid:durableId="1195385495">
    <w:abstractNumId w:val="0"/>
  </w:num>
  <w:num w:numId="6" w16cid:durableId="951978770">
    <w:abstractNumId w:val="9"/>
  </w:num>
  <w:num w:numId="7" w16cid:durableId="431776813">
    <w:abstractNumId w:val="7"/>
  </w:num>
  <w:num w:numId="8" w16cid:durableId="1466116409">
    <w:abstractNumId w:val="6"/>
  </w:num>
  <w:num w:numId="9" w16cid:durableId="1302536142">
    <w:abstractNumId w:val="5"/>
  </w:num>
  <w:num w:numId="10" w16cid:durableId="2027973361">
    <w:abstractNumId w:val="4"/>
  </w:num>
  <w:num w:numId="11" w16cid:durableId="725302424">
    <w:abstractNumId w:val="19"/>
  </w:num>
  <w:num w:numId="12" w16cid:durableId="1874153612">
    <w:abstractNumId w:val="10"/>
  </w:num>
  <w:num w:numId="13" w16cid:durableId="1172526544">
    <w:abstractNumId w:val="23"/>
  </w:num>
  <w:num w:numId="14" w16cid:durableId="868377490">
    <w:abstractNumId w:val="20"/>
  </w:num>
  <w:num w:numId="15" w16cid:durableId="1312098767">
    <w:abstractNumId w:val="21"/>
  </w:num>
  <w:num w:numId="16" w16cid:durableId="196746461">
    <w:abstractNumId w:val="14"/>
  </w:num>
  <w:num w:numId="17" w16cid:durableId="34811551">
    <w:abstractNumId w:val="25"/>
  </w:num>
  <w:num w:numId="18" w16cid:durableId="1158229962">
    <w:abstractNumId w:val="11"/>
  </w:num>
  <w:num w:numId="19" w16cid:durableId="1085608278">
    <w:abstractNumId w:val="22"/>
  </w:num>
  <w:num w:numId="20" w16cid:durableId="1664965646">
    <w:abstractNumId w:val="18"/>
  </w:num>
  <w:num w:numId="21" w16cid:durableId="831261422">
    <w:abstractNumId w:val="8"/>
  </w:num>
  <w:num w:numId="22" w16cid:durableId="348677486">
    <w:abstractNumId w:val="12"/>
  </w:num>
  <w:num w:numId="23" w16cid:durableId="1152911677">
    <w:abstractNumId w:val="15"/>
  </w:num>
  <w:num w:numId="24" w16cid:durableId="523594616">
    <w:abstractNumId w:val="13"/>
  </w:num>
  <w:num w:numId="25" w16cid:durableId="1295676355">
    <w:abstractNumId w:val="17"/>
  </w:num>
  <w:num w:numId="26" w16cid:durableId="68040688">
    <w:abstractNumId w:val="24"/>
  </w:num>
  <w:num w:numId="27" w16cid:durableId="1969659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455BC3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56E"/>
    <w:rsid w:val="000B5B7C"/>
    <w:rsid w:val="000B6C51"/>
    <w:rsid w:val="000C167E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073C"/>
    <w:rsid w:val="002F1E70"/>
    <w:rsid w:val="002F5F97"/>
    <w:rsid w:val="002F74E7"/>
    <w:rsid w:val="002F7782"/>
    <w:rsid w:val="00300E8A"/>
    <w:rsid w:val="00301D8A"/>
    <w:rsid w:val="003039C1"/>
    <w:rsid w:val="00304340"/>
    <w:rsid w:val="003070E7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39A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6C9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5BC3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211C"/>
    <w:rsid w:val="00513670"/>
    <w:rsid w:val="00513F9F"/>
    <w:rsid w:val="005146A9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5CF6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69E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151C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BB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1F61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010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E7150"/>
    <w:rsid w:val="00AF058C"/>
    <w:rsid w:val="00AF252A"/>
    <w:rsid w:val="00AF59A7"/>
    <w:rsid w:val="00B00593"/>
    <w:rsid w:val="00B00965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2277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4311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057"/>
    <w:rsid w:val="00D82A4C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18B3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07BC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93E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5B2E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6288"/>
  <w15:docId w15:val="{037FD003-324B-45FD-8FCB-F3E3D04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5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sl-SI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sl-SI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28" Type="http://schemas.openxmlformats.org/officeDocument/2006/relationships/image" Target="media/image10.png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5603ED432440798B0CCACF9280A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DA97-C4C5-4BC0-9652-1C2D9CCA921E}"/>
      </w:docPartPr>
      <w:docPartBody>
        <w:p w:rsidR="002D73C2" w:rsidRDefault="000A1FFF">
          <w:pPr>
            <w:pStyle w:val="8D5603ED432440798B0CCACF9280ADE2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B33F81CD5BBA4203B5D7E75BC4F9E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A03C-8C2A-41CA-9983-96BA21C4AE81}"/>
      </w:docPartPr>
      <w:docPartBody>
        <w:p w:rsidR="002D73C2" w:rsidRDefault="000A1FFF">
          <w:pPr>
            <w:pStyle w:val="B33F81CD5BBA4203B5D7E75BC4F9EB11"/>
          </w:pPr>
          <w:r>
            <w:rPr>
              <w:rStyle w:val="PlaceholderText"/>
            </w:rPr>
            <w:t>[Välj ett datum]</w:t>
          </w:r>
        </w:p>
      </w:docPartBody>
    </w:docPart>
    <w:docPart>
      <w:docPartPr>
        <w:name w:val="C825522A243547DBB27D308D6000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40AF-F62B-4BF8-BFE1-0AE1E9137E9E}"/>
      </w:docPartPr>
      <w:docPartBody>
        <w:p w:rsidR="002D73C2" w:rsidRDefault="000A1FFF" w:rsidP="000A1FFF">
          <w:pPr>
            <w:pStyle w:val="C825522A243547DBB27D308D6000E89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F"/>
    <w:rsid w:val="000A1FFF"/>
    <w:rsid w:val="001D6A1B"/>
    <w:rsid w:val="002D73C2"/>
    <w:rsid w:val="0083708E"/>
    <w:rsid w:val="00A9171B"/>
    <w:rsid w:val="00AE7150"/>
    <w:rsid w:val="00B00965"/>
    <w:rsid w:val="00C83543"/>
    <w:rsid w:val="00D54311"/>
    <w:rsid w:val="00D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1FFF"/>
    <w:rPr>
      <w:color w:val="FF0000"/>
    </w:rPr>
  </w:style>
  <w:style w:type="paragraph" w:customStyle="1" w:styleId="8D5603ED432440798B0CCACF9280ADE2">
    <w:name w:val="8D5603ED432440798B0CCACF9280ADE2"/>
  </w:style>
  <w:style w:type="paragraph" w:customStyle="1" w:styleId="B33F81CD5BBA4203B5D7E75BC4F9EB11">
    <w:name w:val="B33F81CD5BBA4203B5D7E75BC4F9EB11"/>
  </w:style>
  <w:style w:type="paragraph" w:customStyle="1" w:styleId="C825522A243547DBB27D308D6000E893">
    <w:name w:val="C825522A243547DBB27D308D6000E893"/>
    <w:rsid w:val="000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i54c14be9fac4ceaa7318aa49979445b xmlns="0ee54159-1393-45a9-8fb0-8d76f4105663">Föreskrift|7267dffe-52cb-4b77-9f2b-d0a3893b460e</i54c14be9fac4ceaa7318aa49979445b>
    <VersionField xmlns="0ee54159-1393-45a9-8fb0-8d76f4105663">1.0</VersionField>
    <_dlc_DocId xmlns="0ee54159-1393-45a9-8fb0-8d76f4105663">JEW6X6NVFUYJ-859036008-1498</_dlc_DocId>
    <_dlc_DocIdUrl xmlns="0ee54159-1393-45a9-8fb0-8d76f4105663">
      <Url>https://transporten.tsnet.se/sites/trycksakshandlaggare-juridik/_layouts/15/DocIdRedir.aspx?ID=JEW6X6NVFUYJ-859036008-1498</Url>
      <Description>JEW6X6NVFUYJ-859036008-1498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AccessRestrictionField xmlns="0ee54159-1393-45a9-8fb0-8d76f4105663">1 - Intern information</AccessRestrictionField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ApprovalDateField xmlns="0ee54159-1393-45a9-8fb0-8d76f4105663">2024-04-08T07:40:59+00:00</ApprovalDateField>
    <_dlc_DocIdPersistId xmlns="0ee54159-1393-45a9-8fb0-8d76f41056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root xmlns="consensis-fs">
  <fs-fields>
    <fs-no-prefix/>
    <fs-year>24</fs-year>
    <fs-no>16</fs-no>
    <fs-date>2024-04-19T00:00:00</fs-date>
    <fs-series>CESTNI PROMET</fs-series>
    <fs-subseries/>
    <fs-heading>izvzetij v zvezi z vožnjo širokih vozil in vozil s širokim nedeljivim tovorom;</fs-heading>
  </fs-fields>
</root>
</file>

<file path=customXml/itemProps1.xml><?xml version="1.0" encoding="utf-8"?>
<ds:datastoreItem xmlns:ds="http://schemas.openxmlformats.org/officeDocument/2006/customXml" ds:itemID="{E3DF6991-8DEC-426D-BCC3-11B5517FA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customXml/itemProps3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C92E5-4DBC-4A36-B45C-F8CC521006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E62494-EC4F-4C26-BE19-7A3EAE37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</TotalTime>
  <Pages>11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2024_16</vt:lpstr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2024_16</dc:title>
  <dc:subject/>
  <dc:creator>Skoglund Elsy</dc:creator>
  <cp:keywords>class='Internal'</cp:keywords>
  <dc:description>TS0011, v2.1, 2023-08-22</dc:description>
  <cp:lastModifiedBy>Dimitris Dimitriadis</cp:lastModifiedBy>
  <cp:revision>3</cp:revision>
  <cp:lastPrinted>2008-12-18T15:33:00Z</cp:lastPrinted>
  <dcterms:created xsi:type="dcterms:W3CDTF">2024-07-05T11:19:00Z</dcterms:created>
  <dcterms:modified xsi:type="dcterms:W3CDTF">2024-07-16T11:39:00Z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c1ffebec-bfc0-436e-96c1-b389d4192e01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PPCopyMoveSourceUrl">
    <vt:lpwstr>https://transporten.tsnet.se/sites/trycksakshandlaggare-juridik/Interna dokument/Inför trycklov/TSFS 2024_16.docx</vt:lpwstr>
  </property>
  <property fmtid="{D5CDD505-2E9C-101B-9397-08002B2CF9AE}" pid="34" name="SPPCopyMoveEvent">
    <vt:lpwstr>5</vt:lpwstr>
  </property>
</Properties>
</file>