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5AF6" w14:textId="77777777" w:rsidR="00D65517" w:rsidRDefault="00A0522B" w:rsidP="00A0522B">
      <w:pPr>
        <w:tabs>
          <w:tab w:val="center" w:pos="4513"/>
          <w:tab w:val="right" w:pos="9026"/>
        </w:tabs>
        <w:jc w:val="center"/>
        <w:rPr>
          <w:b/>
          <w:szCs w:val="24"/>
        </w:rPr>
      </w:pPr>
      <w:r>
        <w:object w:dxaOrig="734" w:dyaOrig="878" w14:anchorId="2132B2C8">
          <v:rect id="rectole0000000000" o:spid="_x0000_i1025" style="width:36pt;height:44.25pt" o:ole="" o:preferrelative="t" stroked="f">
            <v:imagedata r:id="rId6" o:title=""/>
          </v:rect>
          <o:OLEObject Type="Embed" ProgID="StaticMetafile" ShapeID="rectole0000000000" DrawAspect="Content" ObjectID="_1778653290" r:id="rId7"/>
        </w:object>
      </w:r>
    </w:p>
    <w:p w14:paraId="2226871B" w14:textId="77777777" w:rsidR="00D65517" w:rsidRDefault="00D65517">
      <w:pPr>
        <w:keepNext/>
        <w:spacing w:line="20" w:lineRule="atLeast"/>
        <w:jc w:val="center"/>
        <w:outlineLvl w:val="1"/>
        <w:rPr>
          <w:b/>
          <w:szCs w:val="24"/>
          <w:lang w:val="x-none"/>
        </w:rPr>
      </w:pPr>
    </w:p>
    <w:p w14:paraId="3B19D453" w14:textId="77777777" w:rsidR="00D65517" w:rsidRDefault="00A0522B">
      <w:pPr>
        <w:keepNext/>
        <w:spacing w:line="20" w:lineRule="atLeast"/>
        <w:jc w:val="center"/>
        <w:outlineLvl w:val="1"/>
        <w:rPr>
          <w:b/>
          <w:szCs w:val="24"/>
        </w:rPr>
      </w:pPr>
      <w:r>
        <w:rPr>
          <w:b/>
        </w:rPr>
        <w:t>ŘEDITEL ODDĚLENÍ HASIČSKÉ A ZÁCHRANNÉ SLUŽBY PŘI MINISTERSTVU VNITRA</w:t>
      </w:r>
    </w:p>
    <w:p w14:paraId="68F352DC" w14:textId="77777777" w:rsidR="00D65517" w:rsidRDefault="00D65517">
      <w:pPr>
        <w:spacing w:line="20" w:lineRule="atLeast"/>
        <w:jc w:val="center"/>
        <w:rPr>
          <w:b/>
          <w:szCs w:val="24"/>
        </w:rPr>
      </w:pPr>
    </w:p>
    <w:p w14:paraId="59BEB28A" w14:textId="77777777" w:rsidR="00D65517" w:rsidRDefault="00D65517">
      <w:pPr>
        <w:spacing w:line="20" w:lineRule="atLeast"/>
        <w:ind w:firstLine="62"/>
        <w:jc w:val="center"/>
        <w:rPr>
          <w:b/>
          <w:szCs w:val="24"/>
        </w:rPr>
      </w:pPr>
    </w:p>
    <w:p w14:paraId="03D43233" w14:textId="77777777" w:rsidR="00D65517" w:rsidRDefault="00D65517">
      <w:pPr>
        <w:spacing w:line="20" w:lineRule="atLeast"/>
        <w:jc w:val="center"/>
        <w:rPr>
          <w:szCs w:val="24"/>
        </w:rPr>
      </w:pPr>
    </w:p>
    <w:p w14:paraId="7E968EBD" w14:textId="77777777" w:rsidR="00D65517" w:rsidRDefault="00A0522B">
      <w:pPr>
        <w:jc w:val="center"/>
        <w:rPr>
          <w:b/>
        </w:rPr>
      </w:pPr>
      <w:r>
        <w:rPr>
          <w:b/>
        </w:rPr>
        <w:t>VYHLÁŠKA</w:t>
      </w:r>
    </w:p>
    <w:p w14:paraId="70EEDC0C" w14:textId="77777777" w:rsidR="00D65517" w:rsidRDefault="00A0522B">
      <w:pPr>
        <w:jc w:val="center"/>
        <w:rPr>
          <w:b/>
          <w:caps/>
          <w:szCs w:val="24"/>
        </w:rPr>
      </w:pPr>
      <w:r>
        <w:rPr>
          <w:b/>
        </w:rPr>
        <w:t>O Z MĚNĚ VYHLÁŠKY ŘEDITELE HASIČSKÉHO A ZÁCHRANNÉHO ODBORU MINISTERSTVA VNITRA Č. 1-1 ZE DNE 6. LEDNA 2016 O SCHVÁLENÍ PŘEDPISŮ PRO NÁVRH A INSTALACI STACIONÁRNÍCH HASICÍCH SYSTÉMŮ</w:t>
      </w:r>
    </w:p>
    <w:p w14:paraId="167CAE13" w14:textId="77777777" w:rsidR="00D65517" w:rsidRDefault="00D65517">
      <w:pPr>
        <w:spacing w:line="20" w:lineRule="atLeast"/>
        <w:rPr>
          <w:szCs w:val="24"/>
        </w:rPr>
      </w:pPr>
    </w:p>
    <w:p w14:paraId="482ED02A" w14:textId="77777777" w:rsidR="00D65517" w:rsidRDefault="00A0522B">
      <w:pPr>
        <w:ind w:firstLine="248"/>
        <w:jc w:val="center"/>
        <w:rPr>
          <w:szCs w:val="24"/>
        </w:rPr>
      </w:pPr>
      <w:r>
        <w:t>23. dubna 2024, č. 1-274/2024 (1.4 E)</w:t>
      </w:r>
    </w:p>
    <w:p w14:paraId="46F4BD1D" w14:textId="77777777" w:rsidR="00D65517" w:rsidRDefault="00A0522B">
      <w:pPr>
        <w:jc w:val="center"/>
        <w:rPr>
          <w:szCs w:val="24"/>
        </w:rPr>
      </w:pPr>
      <w:r>
        <w:t>Vilnius</w:t>
      </w:r>
    </w:p>
    <w:p w14:paraId="3607E3EB" w14:textId="77777777" w:rsidR="00D65517" w:rsidRDefault="00D65517">
      <w:pPr>
        <w:tabs>
          <w:tab w:val="left" w:pos="993"/>
        </w:tabs>
        <w:spacing w:line="276" w:lineRule="auto"/>
        <w:ind w:firstLine="720"/>
        <w:jc w:val="both"/>
        <w:rPr>
          <w:szCs w:val="24"/>
        </w:rPr>
      </w:pPr>
    </w:p>
    <w:p w14:paraId="67BF74CD" w14:textId="77777777" w:rsidR="00D65517" w:rsidRDefault="00A0522B">
      <w:pPr>
        <w:spacing w:line="276" w:lineRule="auto"/>
        <w:ind w:firstLine="567"/>
        <w:jc w:val="both"/>
        <w:rPr>
          <w:szCs w:val="24"/>
        </w:rPr>
      </w:pPr>
      <w:r>
        <w:t>Tímto měním předpisy pro návrh a instalaci stacionárních hasicích systémů, schválené vyhláškou ředitele oddělení hasičské a záchranné služby při Ministerstvu vnitra č. 1-1 ze dne 6. ledna 2016 „o schválení předpisů pro návrh a instalaci stacionárních hasicích systémů“ a měním tabulku 1 ustanovení 26 takto:</w:t>
      </w:r>
    </w:p>
    <w:p w14:paraId="36F0D2C9" w14:textId="77777777" w:rsidR="00D65517" w:rsidRDefault="00D65517">
      <w:pPr>
        <w:spacing w:line="276" w:lineRule="auto"/>
        <w:ind w:firstLine="567"/>
        <w:jc w:val="both"/>
        <w:rPr>
          <w:szCs w:val="24"/>
        </w:rPr>
      </w:pPr>
    </w:p>
    <w:p w14:paraId="4FD33B97" w14:textId="77777777" w:rsidR="00D65517" w:rsidRDefault="00A0522B">
      <w:pPr>
        <w:spacing w:line="276" w:lineRule="auto"/>
        <w:ind w:firstLine="567"/>
        <w:jc w:val="both"/>
        <w:rPr>
          <w:color w:val="000000"/>
          <w:szCs w:val="24"/>
        </w:rPr>
      </w:pPr>
      <w:r>
        <w:rPr>
          <w:color w:val="000000"/>
        </w:rPr>
        <w:t>„Tabulka 1. Technické konstrukce</w:t>
      </w: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777"/>
        <w:gridCol w:w="1350"/>
        <w:gridCol w:w="1170"/>
        <w:gridCol w:w="1080"/>
        <w:gridCol w:w="2253"/>
      </w:tblGrid>
      <w:tr w:rsidR="00D65517" w14:paraId="3242CD84" w14:textId="77777777">
        <w:trPr>
          <w:trHeight w:val="255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1F023" w14:textId="77777777" w:rsidR="00D65517" w:rsidRDefault="00A0522B">
            <w:pPr>
              <w:jc w:val="center"/>
              <w:rPr>
                <w:szCs w:val="24"/>
              </w:rPr>
            </w:pPr>
            <w:r>
              <w:t xml:space="preserve">Číslo položky 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5836" w14:textId="77777777" w:rsidR="00D65517" w:rsidRDefault="00A0522B">
            <w:pPr>
              <w:jc w:val="center"/>
              <w:rPr>
                <w:szCs w:val="24"/>
              </w:rPr>
            </w:pPr>
            <w:r>
              <w:t>Účel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3063B" w14:textId="77777777" w:rsidR="00D65517" w:rsidRDefault="00A0522B">
            <w:pPr>
              <w:jc w:val="center"/>
              <w:rPr>
                <w:szCs w:val="24"/>
              </w:rPr>
            </w:pPr>
            <w:r>
              <w:t xml:space="preserve">Ukazatele, při jejichž překročení je instalace systémů CNG povinná </w:t>
            </w:r>
            <w:r>
              <w:rPr>
                <w:color w:val="000000"/>
              </w:rPr>
              <w:t>(poznámka č. 1)</w:t>
            </w:r>
          </w:p>
        </w:tc>
      </w:tr>
      <w:tr w:rsidR="00D65517" w14:paraId="037AC667" w14:textId="77777777">
        <w:trPr>
          <w:trHeight w:val="6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310C0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680C0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07E9" w14:textId="77777777" w:rsidR="00D65517" w:rsidRDefault="00A0522B">
            <w:pPr>
              <w:jc w:val="center"/>
              <w:rPr>
                <w:szCs w:val="24"/>
              </w:rPr>
            </w:pPr>
            <w:r>
              <w:t xml:space="preserve">Oblast </w:t>
            </w:r>
          </w:p>
          <w:p w14:paraId="099A5E66" w14:textId="77777777" w:rsidR="00D65517" w:rsidRDefault="00A0522B">
            <w:pPr>
              <w:jc w:val="center"/>
              <w:rPr>
                <w:color w:val="000000"/>
                <w:szCs w:val="24"/>
              </w:rPr>
            </w:pPr>
            <w:r>
              <w:t>(m2)</w:t>
            </w:r>
            <w:r>
              <w:rPr>
                <w:color w:val="000000"/>
              </w:rPr>
              <w:t xml:space="preserve"> </w:t>
            </w:r>
          </w:p>
          <w:p w14:paraId="02241FFD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(poznámka č. 2)</w:t>
            </w:r>
          </w:p>
          <w:p w14:paraId="3EEBD17A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015F" w14:textId="77777777" w:rsidR="00D65517" w:rsidRDefault="00A0522B">
            <w:pPr>
              <w:jc w:val="center"/>
              <w:rPr>
                <w:szCs w:val="24"/>
              </w:rPr>
            </w:pPr>
            <w:r>
              <w:t>délka (m)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985F" w14:textId="77777777" w:rsidR="00D65517" w:rsidRDefault="00A0522B">
            <w:pPr>
              <w:jc w:val="center"/>
              <w:rPr>
                <w:szCs w:val="24"/>
              </w:rPr>
            </w:pPr>
            <w:r>
              <w:t>objem (m3)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F158E" w14:textId="77777777" w:rsidR="00D65517" w:rsidRDefault="00A0522B">
            <w:pPr>
              <w:jc w:val="center"/>
              <w:rPr>
                <w:szCs w:val="24"/>
              </w:rPr>
            </w:pPr>
            <w:r>
              <w:t>ostatní ukazatele</w:t>
            </w:r>
          </w:p>
        </w:tc>
      </w:tr>
      <w:tr w:rsidR="00D65517" w14:paraId="188CC6E9" w14:textId="77777777">
        <w:trPr>
          <w:trHeight w:val="31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116C" w14:textId="77777777" w:rsidR="00D65517" w:rsidRDefault="00A0522B">
            <w:pPr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904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B11F5" w14:textId="77777777" w:rsidR="00D65517" w:rsidRDefault="00A0522B">
            <w:pPr>
              <w:jc w:val="center"/>
              <w:rPr>
                <w:szCs w:val="24"/>
              </w:rPr>
            </w:pPr>
            <w:r>
              <w:t>Dopravní komunikace</w:t>
            </w:r>
          </w:p>
        </w:tc>
      </w:tr>
      <w:tr w:rsidR="00D65517" w14:paraId="494E8CA7" w14:textId="77777777">
        <w:trPr>
          <w:trHeight w:val="676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7A97D" w14:textId="77777777" w:rsidR="00D65517" w:rsidRDefault="00A0522B">
            <w:pPr>
              <w:jc w:val="center"/>
              <w:rPr>
                <w:szCs w:val="24"/>
              </w:rPr>
            </w:pPr>
            <w:r>
              <w:t>1.1.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E203C" w14:textId="77777777" w:rsidR="00D65517" w:rsidRDefault="00A0522B">
            <w:pPr>
              <w:jc w:val="center"/>
              <w:rPr>
                <w:szCs w:val="24"/>
              </w:rPr>
            </w:pPr>
            <w:r>
              <w:t>silnice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9980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BF81" w14:textId="77777777" w:rsidR="00D65517" w:rsidRDefault="00A0522B">
            <w:pPr>
              <w:jc w:val="center"/>
              <w:rPr>
                <w:szCs w:val="24"/>
              </w:rPr>
            </w:pPr>
            <w:r>
              <w:t>≥ 1 000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7A961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CF32" w14:textId="77777777" w:rsidR="00D65517" w:rsidRDefault="00A0522B">
            <w:pPr>
              <w:rPr>
                <w:szCs w:val="24"/>
              </w:rPr>
            </w:pPr>
            <w:r>
              <w:t>tunely</w:t>
            </w:r>
          </w:p>
        </w:tc>
      </w:tr>
      <w:tr w:rsidR="00D65517" w14:paraId="371FBFCC" w14:textId="77777777">
        <w:trPr>
          <w:trHeight w:val="55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B430" w14:textId="77777777" w:rsidR="00D65517" w:rsidRDefault="00A0522B">
            <w:pPr>
              <w:jc w:val="center"/>
              <w:rPr>
                <w:szCs w:val="24"/>
              </w:rPr>
            </w:pPr>
            <w:r>
              <w:t>1.2.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8742" w14:textId="77777777" w:rsidR="00D65517" w:rsidRDefault="00A0522B">
            <w:pPr>
              <w:jc w:val="center"/>
              <w:rPr>
                <w:szCs w:val="24"/>
              </w:rPr>
            </w:pPr>
            <w:r>
              <w:t>železnice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9F16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3B3A2" w14:textId="77777777" w:rsidR="00D65517" w:rsidRDefault="00A0522B">
            <w:pPr>
              <w:jc w:val="center"/>
              <w:rPr>
                <w:szCs w:val="24"/>
              </w:rPr>
            </w:pPr>
            <w:r>
              <w:t>≥ 1 000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20DF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EEBE" w14:textId="77777777" w:rsidR="00D65517" w:rsidRDefault="00A0522B">
            <w:pPr>
              <w:rPr>
                <w:szCs w:val="24"/>
              </w:rPr>
            </w:pPr>
            <w:r>
              <w:t>tunely</w:t>
            </w:r>
          </w:p>
        </w:tc>
      </w:tr>
      <w:tr w:rsidR="00D65517" w14:paraId="19CDE762" w14:textId="77777777">
        <w:trPr>
          <w:trHeight w:val="315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C79B" w14:textId="77777777" w:rsidR="00D65517" w:rsidRDefault="00A0522B">
            <w:pPr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5EA0" w14:textId="77777777" w:rsidR="00D65517" w:rsidRDefault="00A0522B">
            <w:pPr>
              <w:jc w:val="center"/>
              <w:rPr>
                <w:szCs w:val="24"/>
              </w:rPr>
            </w:pPr>
            <w:r>
              <w:t>Inženýrské sítě</w:t>
            </w:r>
          </w:p>
        </w:tc>
      </w:tr>
      <w:tr w:rsidR="00D65517" w14:paraId="5B4962D0" w14:textId="77777777">
        <w:trPr>
          <w:trHeight w:val="942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26A7B" w14:textId="77777777" w:rsidR="00D65517" w:rsidRDefault="00A0522B">
            <w:pPr>
              <w:jc w:val="center"/>
              <w:rPr>
                <w:szCs w:val="24"/>
              </w:rPr>
            </w:pPr>
            <w:r>
              <w:t>2.1.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95ED" w14:textId="77777777" w:rsidR="00D65517" w:rsidRDefault="00A0522B">
            <w:pPr>
              <w:jc w:val="center"/>
              <w:rPr>
                <w:szCs w:val="24"/>
              </w:rPr>
            </w:pPr>
            <w:r>
              <w:t>ropovody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6324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1ED8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F1DF" w14:textId="77777777" w:rsidR="00D65517" w:rsidRDefault="00A0522B">
            <w:pPr>
              <w:jc w:val="center"/>
              <w:rPr>
                <w:szCs w:val="24"/>
              </w:rPr>
            </w:pPr>
            <w:r>
              <w:t>≥ 20 000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FB11" w14:textId="77777777" w:rsidR="00D65517" w:rsidRDefault="00A0522B">
            <w:pPr>
              <w:rPr>
                <w:szCs w:val="24"/>
              </w:rPr>
            </w:pPr>
            <w:r>
              <w:t>v nadzemních nádržích v bodě vzplanutí 120 °C a vyšším</w:t>
            </w:r>
          </w:p>
        </w:tc>
      </w:tr>
      <w:tr w:rsidR="00D65517" w14:paraId="0DA36E9A" w14:textId="77777777">
        <w:trPr>
          <w:trHeight w:val="9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2C7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69BB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2909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D3315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D8D5D" w14:textId="77777777" w:rsidR="00D65517" w:rsidRDefault="00A0522B">
            <w:pPr>
              <w:jc w:val="center"/>
              <w:rPr>
                <w:szCs w:val="24"/>
              </w:rPr>
            </w:pPr>
            <w:r>
              <w:t>≥ 10 000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4EF5E" w14:textId="77777777" w:rsidR="00D65517" w:rsidRDefault="00A0522B">
            <w:pPr>
              <w:rPr>
                <w:szCs w:val="24"/>
              </w:rPr>
            </w:pPr>
            <w:r>
              <w:t xml:space="preserve">v nadzemních nádržích v bodě vzplanutí kapalin, které jsou v nich uloženy do 120 °C </w:t>
            </w:r>
          </w:p>
          <w:p w14:paraId="759FC708" w14:textId="77777777" w:rsidR="00D65517" w:rsidRDefault="00D65517">
            <w:pPr>
              <w:rPr>
                <w:szCs w:val="24"/>
              </w:rPr>
            </w:pPr>
          </w:p>
        </w:tc>
      </w:tr>
      <w:tr w:rsidR="00D65517" w14:paraId="4497569F" w14:textId="77777777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C49D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9D7E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3B82C" w14:textId="77777777" w:rsidR="00D65517" w:rsidRDefault="00A0522B">
            <w:pPr>
              <w:jc w:val="center"/>
              <w:rPr>
                <w:szCs w:val="24"/>
              </w:rPr>
            </w:pPr>
            <w:r>
              <w:t>≥ 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D622D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2B4B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B902" w14:textId="77777777" w:rsidR="00D65517" w:rsidRDefault="00A0522B">
            <w:pPr>
              <w:rPr>
                <w:szCs w:val="24"/>
              </w:rPr>
            </w:pPr>
            <w:r>
              <w:t>v čerpacích stanicích pro hořlavé a vysoce hořlavé kapaliny</w:t>
            </w:r>
          </w:p>
        </w:tc>
      </w:tr>
      <w:tr w:rsidR="00D65517" w14:paraId="5DB2B1BE" w14:textId="77777777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E2E3E1" w14:textId="77777777" w:rsidR="00D65517" w:rsidRDefault="00A0522B">
            <w:pPr>
              <w:jc w:val="center"/>
              <w:rPr>
                <w:szCs w:val="24"/>
              </w:rPr>
            </w:pPr>
            <w:r>
              <w:lastRenderedPageBreak/>
              <w:t>2.2.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74D31F1" w14:textId="77777777" w:rsidR="00D65517" w:rsidRDefault="00A0522B">
            <w:pPr>
              <w:jc w:val="center"/>
              <w:rPr>
                <w:szCs w:val="24"/>
              </w:rPr>
            </w:pPr>
            <w:r>
              <w:t>elektrické sítě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A020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8C099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604F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88F6A" w14:textId="77777777" w:rsidR="00D65517" w:rsidRDefault="00A0522B">
            <w:pPr>
              <w:rPr>
                <w:szCs w:val="24"/>
              </w:rPr>
            </w:pPr>
            <w:r>
              <w:t>ve svislých kabelových šachtách s napětím vyšším než 1 000 V a požárním zatížením vyšším než 1 200 MJ/m²</w:t>
            </w:r>
          </w:p>
        </w:tc>
      </w:tr>
      <w:tr w:rsidR="00D65517" w14:paraId="67EBDCED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9B6DE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BC92B41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D36D3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312A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0368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7CE1" w14:textId="77777777" w:rsidR="00D65517" w:rsidRDefault="00A0522B">
            <w:pPr>
              <w:rPr>
                <w:szCs w:val="24"/>
              </w:rPr>
            </w:pPr>
            <w:r>
              <w:t xml:space="preserve">ve vodorovných kabelových tunelech pro kabely s napětím vyšším než 1 000 V a požárním zatížením vyšším než 1 200 MJ/m² </w:t>
            </w:r>
          </w:p>
          <w:p w14:paraId="7D2AA43E" w14:textId="77777777" w:rsidR="00D65517" w:rsidRDefault="00A0522B">
            <w:pPr>
              <w:rPr>
                <w:szCs w:val="24"/>
              </w:rPr>
            </w:pPr>
            <w:r>
              <w:t xml:space="preserve"> </w:t>
            </w:r>
          </w:p>
        </w:tc>
      </w:tr>
      <w:tr w:rsidR="00D65517" w14:paraId="42A162AA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875A6B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9A4B169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CA43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A19E5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50D1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279C" w14:textId="77777777" w:rsidR="00D65517" w:rsidRDefault="00A0522B">
            <w:pPr>
              <w:rPr>
                <w:szCs w:val="24"/>
              </w:rPr>
            </w:pPr>
            <w:r>
              <w:t>pro hašení hydrogenerátorů a vzduchem chlazených synchronních kompenzátorů v automatizovaných vodních elektrárnách</w:t>
            </w:r>
          </w:p>
        </w:tc>
      </w:tr>
      <w:tr w:rsidR="00D65517" w14:paraId="0CF3077F" w14:textId="77777777">
        <w:trPr>
          <w:trHeight w:val="48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52E92D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C83FE2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A775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EBA0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34D7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DC2C" w14:textId="77777777" w:rsidR="00D65517" w:rsidRDefault="00A0522B">
            <w:pPr>
              <w:rPr>
                <w:szCs w:val="24"/>
              </w:rPr>
            </w:pPr>
            <w:r>
              <w:t>v prostorách v přízemí budov nad jedním podlažím, v nichž se nacházejí transformátory, trafostanice nebo instalace měničů naplněné olejem, pokud celkové množství oleje přesahuje 10 tun;</w:t>
            </w:r>
          </w:p>
          <w:p w14:paraId="37AD4313" w14:textId="77777777" w:rsidR="00D65517" w:rsidRDefault="00A0522B">
            <w:pPr>
              <w:rPr>
                <w:szCs w:val="24"/>
              </w:rPr>
            </w:pPr>
            <w:r>
              <w:t>v prostorách pod úrovní přízemí, které obsahují transformátor, trafostanici nebo instalace měničů naplněné olejem, s ostatními prostory nad nimi, kde celkový obsah oleje přesahuje 0,6 t.</w:t>
            </w:r>
          </w:p>
        </w:tc>
      </w:tr>
      <w:tr w:rsidR="00D65517" w14:paraId="0331763B" w14:textId="77777777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393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055" w14:textId="77777777" w:rsidR="00D65517" w:rsidRDefault="00A0522B">
            <w:pPr>
              <w:jc w:val="center"/>
              <w:rPr>
                <w:szCs w:val="24"/>
              </w:rPr>
            </w:pPr>
            <w:r>
              <w:t>Ostatní inženýrské stavby</w:t>
            </w:r>
          </w:p>
        </w:tc>
      </w:tr>
      <w:tr w:rsidR="00D65517" w14:paraId="66313D76" w14:textId="77777777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9177E6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6B16A74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4F4DC1F3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75167100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78F9F226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27CBA467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4A6EBBFD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152EB812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3C58583E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243E03DD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7A26F7BE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43FB38A6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17B8FF44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2F2587B4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konstrukce s automatizovaným skladovacím systémem (poznámka č. 3)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E07A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54578B3A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3D8500EB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328110D6" w14:textId="77777777" w:rsidR="00D65517" w:rsidRDefault="00D65517">
            <w:pPr>
              <w:jc w:val="center"/>
              <w:rPr>
                <w:color w:val="000000"/>
                <w:szCs w:val="24"/>
              </w:rPr>
            </w:pPr>
          </w:p>
          <w:p w14:paraId="1C6FB6F0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≥ 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9DCD3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930A4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E0F0" w14:textId="77777777" w:rsidR="00D65517" w:rsidRDefault="00A05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konstrukce klasifikované v kategoriích Asg a </w:t>
            </w:r>
            <w:r>
              <w:rPr>
                <w:color w:val="000000"/>
              </w:rPr>
              <w:lastRenderedPageBreak/>
              <w:t>Bsg podle rizika výbuchu nebo požáru</w:t>
            </w:r>
          </w:p>
        </w:tc>
      </w:tr>
      <w:tr w:rsidR="00D65517" w14:paraId="33DC1D3E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0FD5D3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C8AC018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44A" w14:textId="77777777" w:rsidR="00D65517" w:rsidRDefault="00D6551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1DDE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9B653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5E8D" w14:textId="77777777" w:rsidR="00D65517" w:rsidRDefault="00A05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ukládání a skladování kaučuku, pryže nebo výrobků z nich, léčiv a činidel, ropy a ropných produktů v nádobách, zejména hořlavých, vysoce vznětlivých a hořlavých kapalin.</w:t>
            </w:r>
          </w:p>
        </w:tc>
      </w:tr>
      <w:tr w:rsidR="00D65517" w14:paraId="2D1360A4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5A9B15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4FC3A04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A6693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≥ 2 000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DD4F1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FC97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FAED" w14:textId="77777777" w:rsidR="00D65517" w:rsidRDefault="00A05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konstrukce jsou zařazeny do kategorie Cg podle nebezpečí výbuchu nebo požáru.</w:t>
            </w:r>
          </w:p>
        </w:tc>
      </w:tr>
      <w:tr w:rsidR="00D65517" w14:paraId="4733F9C4" w14:textId="77777777">
        <w:trPr>
          <w:trHeight w:val="63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F47DF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51D1D" w14:textId="77777777" w:rsidR="00D65517" w:rsidRDefault="00D65517">
            <w:pPr>
              <w:rPr>
                <w:szCs w:val="24"/>
                <w:lang w:eastAsia="lt-LT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B8FA" w14:textId="77777777" w:rsidR="00D65517" w:rsidRDefault="00A0522B">
            <w:pPr>
              <w:jc w:val="center"/>
              <w:rPr>
                <w:szCs w:val="24"/>
              </w:rPr>
            </w:pPr>
            <w:r>
              <w:rPr>
                <w:color w:val="000000"/>
              </w:rPr>
              <w:t>≥ 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27AF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A4EC0" w14:textId="77777777" w:rsidR="00D65517" w:rsidRDefault="00D65517">
            <w:pPr>
              <w:ind w:firstLine="6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DE10" w14:textId="77777777" w:rsidR="00D65517" w:rsidRDefault="00A0522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konstrukce jsou zařazeny do kategorie Asg, Bsg a Cg podle nebezpečí výbuchu nebo požáru a výroba a materiály jsou uloženy v regálech (policích) s výškou uložení od podlahy větší než 5,5 m. </w:t>
            </w:r>
          </w:p>
          <w:p w14:paraId="7132DC22" w14:textId="77777777" w:rsidR="00D65517" w:rsidRDefault="00D65517">
            <w:pPr>
              <w:rPr>
                <w:color w:val="000000"/>
                <w:szCs w:val="24"/>
              </w:rPr>
            </w:pPr>
          </w:p>
        </w:tc>
      </w:tr>
    </w:tbl>
    <w:p w14:paraId="30019FF5" w14:textId="77777777" w:rsidR="00D65517" w:rsidRDefault="00D65517"/>
    <w:p w14:paraId="496245FB" w14:textId="77777777" w:rsidR="00D65517" w:rsidRDefault="00A0522B">
      <w:pPr>
        <w:spacing w:line="276" w:lineRule="auto"/>
        <w:ind w:firstLine="744"/>
        <w:jc w:val="both"/>
        <w:rPr>
          <w:b/>
          <w:bCs/>
          <w:color w:val="000000"/>
          <w:szCs w:val="24"/>
        </w:rPr>
      </w:pPr>
      <w:r>
        <w:rPr>
          <w:b/>
          <w:color w:val="000000"/>
        </w:rPr>
        <w:t>Poznámky:</w:t>
      </w:r>
    </w:p>
    <w:p w14:paraId="5A238F11" w14:textId="77777777" w:rsidR="00D65517" w:rsidRDefault="00A0522B">
      <w:pPr>
        <w:spacing w:line="276" w:lineRule="auto"/>
        <w:ind w:right="15" w:firstLine="720"/>
        <w:jc w:val="both"/>
        <w:rPr>
          <w:color w:val="000000"/>
          <w:szCs w:val="24"/>
        </w:rPr>
      </w:pPr>
      <w:r>
        <w:rPr>
          <w:color w:val="000000"/>
        </w:rPr>
        <w:t>1. Při určování potřeby systému CNG je třeba vzít v úvahu všechny ukazatele v jednom řádku.</w:t>
      </w:r>
    </w:p>
    <w:p w14:paraId="213453B2" w14:textId="77777777" w:rsidR="00D65517" w:rsidRDefault="00A0522B">
      <w:pPr>
        <w:spacing w:line="276" w:lineRule="auto"/>
        <w:ind w:right="15" w:firstLine="720"/>
        <w:jc w:val="both"/>
        <w:rPr>
          <w:color w:val="000000"/>
          <w:szCs w:val="24"/>
        </w:rPr>
      </w:pPr>
      <w:r>
        <w:rPr>
          <w:color w:val="000000"/>
        </w:rPr>
        <w:t xml:space="preserve">2. </w:t>
      </w:r>
      <w:r>
        <w:t>Plocha se měří jako plocha zastavěné plochy nebo plocha průmětu střechy na zemský povrch.</w:t>
      </w:r>
    </w:p>
    <w:p w14:paraId="6F7BA94E" w14:textId="77777777" w:rsidR="00D65517" w:rsidRDefault="00A0522B">
      <w:pPr>
        <w:spacing w:line="276" w:lineRule="auto"/>
        <w:ind w:right="15" w:firstLine="720"/>
        <w:jc w:val="both"/>
        <w:rPr>
          <w:color w:val="000000"/>
          <w:szCs w:val="24"/>
        </w:rPr>
      </w:pPr>
      <w:r>
        <w:rPr>
          <w:color w:val="000000"/>
        </w:rPr>
        <w:t xml:space="preserve">3. </w:t>
      </w:r>
      <w:r>
        <w:t>U ocelových nosných konstrukcí budov pro automatizované skladovací systémy a v případech, kdy je skladování výrobků a materiálů zajištěno v ocelových regálech (policích), jejichž konstrukce jsou použity jako nosné konstrukce budovy, jsou požadavky na požární odolnost stanoveny v Základních požadavcích na požární bezpečnost [15]. 6] nejsou povinné, pokud jsou v souladu s řadou LST EN 12845 mezi regály (policemi) instalována stacionární hasicí zařízení a je zajištěna dodatečná ochrana automatickými sprinklery v souladu s jedním z uvedených požadavků:</w:t>
      </w:r>
    </w:p>
    <w:p w14:paraId="761B06C6" w14:textId="77777777" w:rsidR="00D65517" w:rsidRDefault="00A0522B">
      <w:pPr>
        <w:spacing w:line="276" w:lineRule="auto"/>
        <w:ind w:right="15" w:firstLine="720"/>
        <w:jc w:val="both"/>
        <w:rPr>
          <w:color w:val="000000"/>
          <w:szCs w:val="24"/>
        </w:rPr>
      </w:pPr>
      <w:r>
        <w:t>a. boční postřikovače, které mají být instalovány, musí směřovat alespoň na jednu stranu konstrukce a musí být rozmístěny rovnoměrně po celé výšce konstrukce v odstupech nejméně 4,6 m od podlahy.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V tomto případě jsou boční sprinklery povoleny k ochraně ocelových nosných konstrukcí budov s neomezenou výškou pro automatizované skladovací systémy; </w:t>
      </w:r>
    </w:p>
    <w:p w14:paraId="05DFDA70" w14:textId="77777777" w:rsidR="00D65517" w:rsidRDefault="00A0522B">
      <w:pPr>
        <w:spacing w:line="276" w:lineRule="auto"/>
        <w:ind w:right="15" w:firstLine="720"/>
        <w:jc w:val="both"/>
        <w:rPr>
          <w:color w:val="000000"/>
        </w:rPr>
      </w:pPr>
      <w:r>
        <w:t xml:space="preserve">b. stacionární hasicí zařízení musí být stropní se sprinklery s jmenovitou teplotní třídou 68 ºC nebo 79 ºC a s minimální konstrukční hasicí plochou 260 m2. Pokud je výška skladu materiálů, </w:t>
      </w:r>
      <w:r>
        <w:lastRenderedPageBreak/>
        <w:t>počítáno od podlahy, v rozmezí 4,6 m až 6,1 m, mohou být tyto sprinklery vybaveny jmenovitou teplotní třídou vyšší než 141 ºC, vypočtenou v souladu s návrhovými parametry uvedenými v bodě 7.2 normy LST EN 12845:2015+A1:2020;</w:t>
      </w:r>
    </w:p>
    <w:p w14:paraId="77CB9B94" w14:textId="77777777" w:rsidR="00D65517" w:rsidRDefault="00A0522B" w:rsidP="00A0522B">
      <w:pPr>
        <w:spacing w:line="276" w:lineRule="auto"/>
        <w:ind w:right="15" w:firstLine="720"/>
        <w:jc w:val="both"/>
      </w:pPr>
      <w:r>
        <w:rPr>
          <w:color w:val="000000"/>
        </w:rPr>
        <w:t>c. stropní montáž sprinklerových systémů typu ESFR (Early Suppression Fast Response) nebo CMSA (Control Mode Specific Application)</w:t>
      </w:r>
      <w:r>
        <w:rPr>
          <w:i/>
          <w:color w:val="000000"/>
        </w:rPr>
        <w:t xml:space="preserve">  </w:t>
      </w:r>
    </w:p>
    <w:p w14:paraId="591C7300" w14:textId="77777777" w:rsidR="00A0522B" w:rsidRDefault="00A0522B">
      <w:pPr>
        <w:tabs>
          <w:tab w:val="right" w:pos="9808"/>
        </w:tabs>
        <w:spacing w:line="20" w:lineRule="atLeast"/>
      </w:pPr>
    </w:p>
    <w:p w14:paraId="3374B91E" w14:textId="77777777" w:rsidR="00A0522B" w:rsidRDefault="00A0522B">
      <w:pPr>
        <w:tabs>
          <w:tab w:val="right" w:pos="9808"/>
        </w:tabs>
        <w:spacing w:line="20" w:lineRule="atLeast"/>
      </w:pPr>
    </w:p>
    <w:p w14:paraId="1FEE7FE1" w14:textId="77777777" w:rsidR="00A0522B" w:rsidRDefault="00A0522B">
      <w:pPr>
        <w:tabs>
          <w:tab w:val="right" w:pos="9808"/>
        </w:tabs>
        <w:spacing w:line="20" w:lineRule="atLeast"/>
      </w:pPr>
    </w:p>
    <w:p w14:paraId="1BAC9543" w14:textId="77777777" w:rsidR="00D65517" w:rsidRDefault="00A0522B">
      <w:pPr>
        <w:tabs>
          <w:tab w:val="right" w:pos="9808"/>
        </w:tabs>
        <w:spacing w:line="20" w:lineRule="atLeast"/>
        <w:rPr>
          <w:szCs w:val="24"/>
        </w:rPr>
      </w:pPr>
      <w:r>
        <w:t>generální</w:t>
      </w:r>
    </w:p>
    <w:p w14:paraId="46E6D97F" w14:textId="77777777" w:rsidR="00D65517" w:rsidRDefault="00A0522B" w:rsidP="00A0522B">
      <w:pPr>
        <w:tabs>
          <w:tab w:val="left" w:pos="7088"/>
          <w:tab w:val="left" w:pos="7513"/>
          <w:tab w:val="right" w:pos="9639"/>
        </w:tabs>
        <w:spacing w:line="20" w:lineRule="atLeast"/>
        <w:rPr>
          <w:b/>
          <w:bCs/>
          <w:color w:val="000000"/>
          <w:szCs w:val="24"/>
        </w:rPr>
      </w:pPr>
      <w:r>
        <w:t>ředitel vnitřních služeb</w:t>
      </w:r>
      <w:r>
        <w:tab/>
      </w:r>
      <w:r>
        <w:tab/>
      </w:r>
      <w:r>
        <w:tab/>
        <w:t>Saulius Greičius</w:t>
      </w:r>
    </w:p>
    <w:sectPr w:rsidR="00D65517" w:rsidSect="00D314D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560" w:right="562" w:bottom="1440" w:left="1699" w:header="283" w:footer="562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9E204" w14:textId="77777777" w:rsidR="00931222" w:rsidRDefault="00931222">
      <w:r>
        <w:separator/>
      </w:r>
    </w:p>
  </w:endnote>
  <w:endnote w:type="continuationSeparator" w:id="0">
    <w:p w14:paraId="532A2BDF" w14:textId="77777777" w:rsidR="00931222" w:rsidRDefault="00931222">
      <w:r>
        <w:continuationSeparator/>
      </w:r>
    </w:p>
  </w:endnote>
  <w:endnote w:type="continuationNotice" w:id="1">
    <w:p w14:paraId="5B147DB2" w14:textId="77777777" w:rsidR="00931222" w:rsidRDefault="00931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C749" w14:textId="77777777" w:rsidR="00D65517" w:rsidRDefault="00D65517">
    <w:pPr>
      <w:tabs>
        <w:tab w:val="center" w:pos="4513"/>
        <w:tab w:val="right" w:pos="902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E2F3" w14:textId="77777777" w:rsidR="00D65517" w:rsidRDefault="00D65517">
    <w:pPr>
      <w:tabs>
        <w:tab w:val="center" w:pos="4513"/>
        <w:tab w:val="right" w:pos="902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EBA7" w14:textId="77777777" w:rsidR="00D65517" w:rsidRDefault="00D65517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E86C" w14:textId="77777777" w:rsidR="00931222" w:rsidRDefault="00931222">
      <w:r>
        <w:separator/>
      </w:r>
    </w:p>
  </w:footnote>
  <w:footnote w:type="continuationSeparator" w:id="0">
    <w:p w14:paraId="6541B941" w14:textId="77777777" w:rsidR="00931222" w:rsidRDefault="00931222">
      <w:r>
        <w:continuationSeparator/>
      </w:r>
    </w:p>
  </w:footnote>
  <w:footnote w:type="continuationNotice" w:id="1">
    <w:p w14:paraId="5C257634" w14:textId="77777777" w:rsidR="00931222" w:rsidRDefault="00931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B2A6" w14:textId="77777777" w:rsidR="00D65517" w:rsidRDefault="00D65517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2E87" w14:textId="77777777" w:rsidR="00D65517" w:rsidRDefault="00A0522B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3C4AD3">
      <w:t>4</w:t>
    </w:r>
    <w:r>
      <w:fldChar w:fldCharType="end"/>
    </w:r>
  </w:p>
  <w:p w14:paraId="3648C4BD" w14:textId="77777777" w:rsidR="00D65517" w:rsidRDefault="00D65517">
    <w:pPr>
      <w:tabs>
        <w:tab w:val="center" w:pos="4513"/>
        <w:tab w:val="right" w:pos="90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17"/>
    <w:rsid w:val="003C4AD3"/>
    <w:rsid w:val="006A2C17"/>
    <w:rsid w:val="00742DB3"/>
    <w:rsid w:val="007D4867"/>
    <w:rsid w:val="00861915"/>
    <w:rsid w:val="00931222"/>
    <w:rsid w:val="00A0522B"/>
    <w:rsid w:val="00D314D7"/>
    <w:rsid w:val="00D6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508"/>
  <w15:docId w15:val="{2B4989BA-D8A9-4074-AC1D-2EE74350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A0522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A0522B"/>
  </w:style>
  <w:style w:type="character" w:styleId="PlaceholderText">
    <w:name w:val="Placeholder Text"/>
    <w:basedOn w:val="DefaultParagraphFont"/>
    <w:rsid w:val="00A05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3578</Characters>
  <Application>Microsoft Office Word</Application>
  <DocSecurity>0</DocSecurity>
  <Lines>247</Lines>
  <Paragraphs>62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Aurimas Gudžiauskas</dc:creator>
  <cp:keywords>class='Internal'</cp:keywords>
  <cp:lastModifiedBy>Ragnhild Efraimsson</cp:lastModifiedBy>
  <cp:revision>2</cp:revision>
  <dcterms:created xsi:type="dcterms:W3CDTF">2024-05-31T07:35:00Z</dcterms:created>
  <dcterms:modified xsi:type="dcterms:W3CDTF">2024-05-31T07:35:00Z</dcterms:modified>
</cp:coreProperties>
</file>