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Ġbir ta’ liġijiet u trattati internazzjonali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rFonts w:ascii="Courier New" w:hAnsi="Courier New"/>
          <w:b w:val="0"/>
          <w:sz w:val="34"/>
        </w:rPr>
        <w:t>IR-REPUBBLIKA ĊEKA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Disponibbli fil-5 ta’ Marzu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Ir-Regolament tal-Gvern Nru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Ir-Regolament tal-Gvern li jemenda r-Regolament tal-Gvern</w:t>
      </w:r>
      <w:r>
        <w:br/>
        <w:t>Nru 463/2013 dwar l-iskedi ta’ sustanzi li joħolqu dipendenza,</w:t>
      </w:r>
      <w:r>
        <w:br/>
        <w:t>kif emendat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REGOLAMENT TAL-GVERN</w:t>
      </w:r>
      <w:r>
        <w:br/>
        <w:t>tal-14 ta’ Frar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li jemenda r-Regolament tal-Gvern Nru 463/2013 Coll. dwar l-iskedi ta’ sustanzi li joħolqu dipendenza, kif emendat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Skont it-Taqsima 44c(1) u (2) tal-Att Nru 167/1998 Coll., dwar is-Sustanzi li Joħolqu Dipendenza u dwar l-Emendi għal Ċerti Atti Oħra, kif emendat bl-Att Nru 273/2013 Coll. u l-Att Nru 366/2021 Coll., il-Gvern b’dan jordna: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Artikolu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Ir-Regolament tal-Gvern Nru 463/2013 dwar l-iskedi ta’ sustanzi ta’ dipendenza, kif emendat bir-Regolament tal-Gvern Nru 243/2015, ir-Regolament tal-Gvern Nru 46/2017, ir-Regolament tal-Gvern Nru 30/2018, ir-Regolament tal-Gvern Nru 242/2018, ir-Regolament tal-Gvern Nru 184/2021, ir-Regolament tal-Gvern Nru 159/2022 u r-Regolament tal-Gvern Nru 228/2023, huwa emendat kif ġej: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Fit-tabella fl-Anness 4, tiddaħħal ringiela ġdida taħt ir-ringiela li fiha t-test “FUB-PB-22” jidher fil-kolonna bit-titolu “Isem internazzjonali mhux proprjetarju (INN) ieħor”, li fil-kolonna bit-titolu “Isem internazzjonali mhux proprjetarju (INN) ieħor bil-lingwa Ċeka/isem komuni” fiha l-kelma “Eżaidrokannabinol”, fil-kolonna bit-titolu “Isem internazzjonali mhux proprjetarju ieħor jew isem komuni ieħor” fiha t-test “HHC”, fil-kolonna bitt-titolu “Isem kimiku IUPAC” fiha l-kelma “(6aR,10aR)-6,6,9-trimetil-3-pentil-6a,7,8,9,10,10a-eżaidrobenżo[c]kromu-1-ol” u fil-kolonna bit-titolu “Nota” fiha l-frażijiet “Għajr għall-HHC jekk ikun jinsab f’impjant tekniku tal-qanneb, qanneb tekniku, estratt tal-qanneb u tintura u preparazzjoni teknika tal-qanneb fi kwantitajiet ta’ anqas minn 0.3 %. Din l-eżenzjoni ma għandhiex tapplika għall-oġġetti tal-ikel.”.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Fit-tabella fl-Anness 4, tiddaħħal ringiela ġdida fuq ir-ringiela li fiha l-kolonna bit-titolu “Isem internazzjonali mhux proprjetarju (INN) bil-lingwa Ċeka/isem komuni” fiha l-kelma “Exedrone”, li fil-kolonna bit-titolu “Isem internazzjonali mhux proprjetarju (INN) bil-lingwa Ċeka/isem komuni” fiha l-kelma “eżaidrokannabinol-O-aċetat”, il-kolonna bit-titolu “Isem internazzjonali mhux proprjetarju ieħor jew isem komuni ieħor” fiha l-kliem “HHC-aċetat, HHC-O”, il-kolonna bit-titolu “Isem kimiku IUPAC” fiha l-kelma “[6aR,10aR)-6,9-trimetil-3-pentil-6a,7,8,9,10,10a-eżaidrobenżo[c]kromu-1-il] aċetat”.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Fit-tabella fl-Anness 4, tiddaħħal ringiela ġdida fuq ir-ringiela li fiha l-kolonna bit-titolu “Isem internazzjonali mhux proprjetarju (INN) bil-lingwa Ċeka/isem komuni” fiha l-kelma “Tetraidrokannabinol”, li fiha l-kolonna bit-titolu “Isem internazzjonali mhux proprjetarju (INN) bil-lingwa Ċeka/isem komuni” fiha l-kelma “Tetraidrokannabiforol”, il-kolonna bit-titolu “Isem internazzjonali mhux proprjetarju (INN) ieħor jew isem komuni ieħor” fiha l-kelma “THCP”, il-kolonna bit-titolu “Isem kimiku IUPAC” fiha l-kelma “(6aR,10aR)-3-eptil-6,6,9-trimetil-6a,7,8,10a-tetraidrobenżo[c]kromu-1-ol”, u l-kolonna bit-titolu “Nota” fiha l-frażijiet “Għajr għat-THCP jekk ikun jinsab f’impjant tekniku tal-qanneb, il-qanneb tekniku, l-estratt u t-tintura tal-qanneb u l-preparazzjoni teknika tal-qanneb fi kwantitajiet ta’ anqas minn 0.3 %. Din l-eżenzjoni ma għandhiex tapplika għall-oġġetti tal-ikel.”.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Fit-Tabella fl-Anness 4, jitħassru l-linji li fihom il-kelma “Eżaidrokannabinol”, “Eżaidrokannabinol-O-aċetat” u l-kelma “Tetraidrokannabiforol” fil-kolonna intitolata “Isem internazzjonali komuni (INN) fil-lingwa Ċeka/isem komuni”.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Artikolu 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Regolament tekniku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Dan ir-Regolament ġie nnotifikat f’konformità mad-Direttiva (UE) 2015/1535 tal-Parlament Ewropew u tal-Kunsill tad-9 ta’ Settembru 2015 li tistabbilixxi proċedura għall-għoti ta’ informazzjoni fil-qasam tar-regolamenti tekniċi u tar-regoli dwar is-servizzi tas-Soċjetà tal-Informatika.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Artikolu 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Validità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Dan ir-Regolament tal-Gvern jidħol fis-seħħ fil-jum ta’ wara d-data tal-promulgazzjoni tiegħu, ħlief għad-dispożizzjonijiet tal-Artikolu I, punt 4, li jidħol fis-seħħ fl-1 ta’ Jannar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Prim Ministru: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prof. PhDr. Fiala, PhD,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Viċi Prim Ministru u Ministru tas-Saħħa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prof. Dr. Válek, CSc,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Ippubblikat minn: Il-Ministeru tal-Intern, Nad Štolou 3, PO Box 21, 170 34 Praga 7• </w:t>
      </w:r>
      <w:r>
        <w:rPr>
          <w:b/>
        </w:rPr>
        <w:t>Uffiċċju editorjali tal-Ġbir tal-Liġijiet u t-Trattati Internazzjonali</w:t>
      </w:r>
      <w:r>
        <w:t>: Il-Ministeru għall-Intern, nám. Hrdinů 1634/3, PO Box 155/SB, 140 21 Praga 4, telefown: 974 817 289, email:</w:t>
      </w:r>
      <w:hyperlink r:id="rId10" w:history="1">
        <w:r>
          <w:t xml:space="preserve"> sbirka@mvcr.cz</w:t>
        </w:r>
      </w:hyperlink>
      <w:r>
        <w:t xml:space="preserve"> • L-issettjar tat-tipa: Tiskárna Ministerstva vnitra [Printer tal-Ministeru tal-Intern], Bartyňkova 1159/4, kaxxa postali 10, 149 00 Praga 11-Chodov• </w:t>
      </w:r>
      <w:r>
        <w:rPr>
          <w:b/>
        </w:rPr>
        <w:t xml:space="preserve">Il-verżjoni elettronika legalment vinkolanti tal-Kollezzjoni tal-Liġijiet u tat-Trattati Internazzjonali hija disponibbli fuq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Verżjoni stampata ta’ parti mill-Kollezzjoni tal-Liġijiet u l-Ftehimiet Internazzjonali tista’ tiġi ordnata mill-Printer tal-Ministeru tal-Intern, telefown: 974 887 312, email: </w:t>
      </w:r>
      <w:hyperlink r:id="rId12" w:history="1">
        <w:r>
          <w:t>info@tmv.cz</w:t>
        </w:r>
      </w:hyperlink>
      <w:r>
        <w:t xml:space="preserve"> </w:t>
      </w:r>
      <w:hyperlink r:id="rId13" w:history="1">
        <w:r>
          <w:t>www.tmv.cz</w:t>
        </w:r>
      </w:hyperlink>
      <w:r>
        <w:t xml:space="preserve"> • L-abbonamenti jintemmu mill-1.1.2024.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5D8F" w14:textId="77777777" w:rsidR="00522E8F" w:rsidRDefault="00522E8F">
      <w:r>
        <w:separator/>
      </w:r>
    </w:p>
  </w:endnote>
  <w:endnote w:type="continuationSeparator" w:id="0">
    <w:p w14:paraId="07F39851" w14:textId="77777777" w:rsidR="00522E8F" w:rsidRDefault="005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E405" w14:textId="77777777" w:rsidR="00522E8F" w:rsidRDefault="00522E8F"/>
  </w:footnote>
  <w:footnote w:type="continuationSeparator" w:id="0">
    <w:p w14:paraId="2C399BF5" w14:textId="77777777" w:rsidR="00522E8F" w:rsidRDefault="00522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Paġna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L-Att Nru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Paġna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L-Att Nru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L-Att </w:t>
                          </w:r>
                          <w:r>
                            <w:rPr>
                              <w:i/>
                            </w:rPr>
                            <w:t>Nru 52 / 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Paġna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L-Att Nru 52 / 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Paġna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362082"/>
    <w:rsid w:val="00522E8F"/>
    <w:rsid w:val="009C0046"/>
    <w:rsid w:val="00A4367D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mt-MT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4655</Characters>
  <Application>Microsoft Office Word</Application>
  <DocSecurity>0</DocSecurity>
  <Lines>72</Lines>
  <Paragraphs>31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2024-05-16T11:52:00Z</dcterms:created>
  <dcterms:modified xsi:type="dcterms:W3CDTF">2024-05-16T11:52:00Z</dcterms:modified>
</cp:coreProperties>
</file>