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2DA59E" w14:textId="77777777" w:rsidR="00CD3059" w:rsidRDefault="009C0046">
      <w:pPr>
        <w:jc w:val="center"/>
        <w:rPr>
          <w:sz w:val="2"/>
          <w:szCs w:val="2"/>
        </w:rPr>
      </w:pPr>
      <w:r>
        <w:rPr>
          <w:noProof/>
        </w:rPr>
        <w:drawing>
          <wp:inline distT="0" distB="0" distL="0" distR="0" wp14:anchorId="237C40AC" wp14:editId="70C9C319">
            <wp:extent cx="902335" cy="1078865"/>
            <wp:effectExtent l="0" t="0" r="0" b="0"/>
            <wp:docPr id="1" name="Picut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stretch/>
                  </pic:blipFill>
                  <pic:spPr>
                    <a:xfrm>
                      <a:off x="0" y="0"/>
                      <a:ext cx="902335" cy="1078865"/>
                    </a:xfrm>
                    <a:prstGeom prst="rect">
                      <a:avLst/>
                    </a:prstGeom>
                  </pic:spPr>
                </pic:pic>
              </a:graphicData>
            </a:graphic>
          </wp:inline>
        </w:drawing>
      </w:r>
    </w:p>
    <w:p w14:paraId="03378847" w14:textId="77777777" w:rsidR="00CD3059" w:rsidRDefault="00CD3059">
      <w:pPr>
        <w:spacing w:after="719" w:line="1" w:lineRule="exact"/>
      </w:pPr>
    </w:p>
    <w:p w14:paraId="0473B229" w14:textId="77777777" w:rsidR="00CD3059" w:rsidRDefault="009C0046">
      <w:pPr>
        <w:pStyle w:val="Nadpis10"/>
        <w:keepNext/>
        <w:keepLines/>
        <w:spacing w:after="180"/>
      </w:pPr>
      <w:bookmarkStart w:id="0" w:name="bookmark0"/>
      <w:r>
        <w:t>Verzameling van wetten en internationale verdragen</w:t>
      </w:r>
      <w:bookmarkEnd w:id="0"/>
    </w:p>
    <w:p w14:paraId="6586825F" w14:textId="77777777" w:rsidR="00CD3059" w:rsidRDefault="009C0046">
      <w:pPr>
        <w:pStyle w:val="Nadpis10"/>
        <w:keepNext/>
        <w:keepLines/>
        <w:pBdr>
          <w:bottom w:val="single" w:sz="4" w:space="0" w:color="auto"/>
        </w:pBdr>
        <w:spacing w:after="400"/>
        <w:rPr>
          <w:sz w:val="34"/>
          <w:szCs w:val="34"/>
        </w:rPr>
      </w:pPr>
      <w:bookmarkStart w:id="1" w:name="bookmark2"/>
      <w:r>
        <w:rPr>
          <w:b w:val="0"/>
          <w:sz w:val="32"/>
        </w:rPr>
        <w:t>T</w:t>
      </w:r>
      <w:r>
        <w:rPr>
          <w:rFonts w:ascii="Courier New" w:hAnsi="Courier New"/>
          <w:b w:val="0"/>
          <w:sz w:val="34"/>
        </w:rPr>
        <w:t>JECHISCHE REPUBLIEK</w:t>
      </w:r>
      <w:bookmarkEnd w:id="1"/>
    </w:p>
    <w:p w14:paraId="74445F2D" w14:textId="77777777" w:rsidR="00CD3059" w:rsidRDefault="009C0046">
      <w:pPr>
        <w:pStyle w:val="Zkladntext0"/>
        <w:spacing w:after="940" w:line="240" w:lineRule="auto"/>
        <w:jc w:val="right"/>
        <w:rPr>
          <w:sz w:val="22"/>
          <w:szCs w:val="22"/>
        </w:rPr>
      </w:pPr>
      <w:r>
        <w:rPr>
          <w:sz w:val="22"/>
        </w:rPr>
        <w:t>Beschikbaar gesteld op 5 maart 2024</w:t>
      </w:r>
    </w:p>
    <w:p w14:paraId="7E0428BF" w14:textId="77777777" w:rsidR="00CD3059" w:rsidRDefault="009C0046">
      <w:pPr>
        <w:pStyle w:val="Nadpis20"/>
        <w:keepNext/>
        <w:keepLines/>
        <w:spacing w:after="400" w:line="240" w:lineRule="auto"/>
      </w:pPr>
      <w:bookmarkStart w:id="2" w:name="bookmark4"/>
      <w:r>
        <w:t>Regeringsverordening nr. 52/2024</w:t>
      </w:r>
      <w:bookmarkEnd w:id="2"/>
    </w:p>
    <w:p w14:paraId="009C1AB5" w14:textId="77777777" w:rsidR="00CD3059" w:rsidRDefault="009C0046">
      <w:pPr>
        <w:pStyle w:val="Nadpis20"/>
        <w:keepNext/>
        <w:keepLines/>
        <w:sectPr w:rsidR="00CD3059" w:rsidSect="00D855F0">
          <w:pgSz w:w="11900" w:h="16840"/>
          <w:pgMar w:top="2550" w:right="1156" w:bottom="2550" w:left="1158" w:header="2122" w:footer="2122" w:gutter="0"/>
          <w:pgNumType w:start="1"/>
          <w:cols w:space="720"/>
          <w:noEndnote/>
          <w:docGrid w:linePitch="360"/>
        </w:sectPr>
      </w:pPr>
      <w:bookmarkStart w:id="3" w:name="bookmark6"/>
      <w:r>
        <w:t>Regeringsverordening tot wijziging van Regeringsverordening</w:t>
      </w:r>
      <w:r>
        <w:br/>
        <w:t>nr. 463/2013 betreffende lijsten van verslavende stoffen,</w:t>
      </w:r>
      <w:r>
        <w:br/>
        <w:t>zoals gewijzigd</w:t>
      </w:r>
      <w:bookmarkEnd w:id="3"/>
    </w:p>
    <w:p w14:paraId="7FB933D8" w14:textId="77777777" w:rsidR="00CD3059" w:rsidRDefault="009C0046">
      <w:pPr>
        <w:pStyle w:val="Nadpis30"/>
        <w:keepNext/>
        <w:keepLines/>
        <w:spacing w:after="80" w:line="290" w:lineRule="auto"/>
        <w:rPr>
          <w:sz w:val="28"/>
          <w:szCs w:val="28"/>
        </w:rPr>
      </w:pPr>
      <w:bookmarkStart w:id="4" w:name="bookmark8"/>
      <w:r>
        <w:rPr>
          <w:b/>
          <w:sz w:val="28"/>
        </w:rPr>
        <w:lastRenderedPageBreak/>
        <w:t>52</w:t>
      </w:r>
      <w:bookmarkEnd w:id="4"/>
    </w:p>
    <w:p w14:paraId="7F06D81B" w14:textId="77777777" w:rsidR="00CD3059" w:rsidRDefault="009C0046">
      <w:pPr>
        <w:pStyle w:val="Zkladntext20"/>
      </w:pPr>
      <w:r>
        <w:t>REGERINGSVERORDENING</w:t>
      </w:r>
      <w:r>
        <w:br/>
        <w:t>van 14 februari 2024</w:t>
      </w:r>
    </w:p>
    <w:p w14:paraId="449D8C1A" w14:textId="77777777" w:rsidR="00CD3059" w:rsidRDefault="009C0046">
      <w:pPr>
        <w:pStyle w:val="Nadpis30"/>
        <w:keepNext/>
        <w:keepLines/>
        <w:spacing w:after="240" w:line="254" w:lineRule="auto"/>
        <w:rPr>
          <w:sz w:val="28"/>
          <w:szCs w:val="28"/>
        </w:rPr>
      </w:pPr>
      <w:bookmarkStart w:id="5" w:name="bookmark11"/>
      <w:r>
        <w:rPr>
          <w:b/>
          <w:sz w:val="28"/>
        </w:rPr>
        <w:t>tot wijziging van de Regeringsverordening nr. 463/2013 Coll. betreffende lijsten van verslavende stoffen, zoals gewijzigd</w:t>
      </w:r>
      <w:bookmarkEnd w:id="5"/>
    </w:p>
    <w:p w14:paraId="6B14AADE" w14:textId="77777777" w:rsidR="00CD3059" w:rsidRDefault="009C0046">
      <w:pPr>
        <w:pStyle w:val="Nadpis30"/>
        <w:keepNext/>
        <w:keepLines/>
        <w:spacing w:after="240"/>
        <w:jc w:val="both"/>
      </w:pPr>
      <w:bookmarkStart w:id="6" w:name="bookmark13"/>
      <w:r>
        <w:t>Overeenkomstig artikel 44c, leden 1 en 2, van wet nr. 167/1998 Coll., betreffende verslavende stoffen en betreffende wijzigingen van bepaalde andere wetten, zoals gewijzigd bij wet nr. 273/2013 Coll. en wet nr. 366/2021 Coll., besluit de regering hierbij:</w:t>
      </w:r>
      <w:bookmarkEnd w:id="6"/>
    </w:p>
    <w:p w14:paraId="12EBF64B" w14:textId="77777777" w:rsidR="00CD3059" w:rsidRDefault="009C0046">
      <w:pPr>
        <w:pStyle w:val="Nadpis30"/>
        <w:keepNext/>
        <w:keepLines/>
        <w:spacing w:after="80" w:line="290" w:lineRule="auto"/>
        <w:rPr>
          <w:sz w:val="28"/>
          <w:szCs w:val="28"/>
        </w:rPr>
      </w:pPr>
      <w:bookmarkStart w:id="7" w:name="bookmark15"/>
      <w:r>
        <w:rPr>
          <w:sz w:val="28"/>
        </w:rPr>
        <w:t>Artikel I</w:t>
      </w:r>
      <w:bookmarkEnd w:id="7"/>
    </w:p>
    <w:p w14:paraId="0154679A" w14:textId="77777777" w:rsidR="00CD3059" w:rsidRDefault="009C0046">
      <w:pPr>
        <w:pStyle w:val="Zkladntext0"/>
        <w:jc w:val="both"/>
      </w:pPr>
      <w:r>
        <w:t>Regeringsverordening nr. 463/2013 betreffende lijsten van verslavende stoffen, zoals gewijzigd bij Regeringsverordening nr. 243/2015, Regeringsverordening nr. 46/2017, Regeringsverordening nr. 30/2018, Regeringsverordening nr. 242/2018 Regeringsverordening nr. 184/2021, Regeringsverordening nr. 159/2022 en Regeringsverordening nr. 228/2023, worden als volgt gewijzigd:</w:t>
      </w:r>
    </w:p>
    <w:p w14:paraId="1E1735F2" w14:textId="69ECB722" w:rsidR="00CD3059" w:rsidRDefault="009C0046">
      <w:pPr>
        <w:pStyle w:val="Zkladntext0"/>
        <w:numPr>
          <w:ilvl w:val="0"/>
          <w:numId w:val="1"/>
        </w:numPr>
        <w:tabs>
          <w:tab w:val="left" w:pos="298"/>
        </w:tabs>
        <w:ind w:left="340" w:hanging="340"/>
        <w:jc w:val="both"/>
      </w:pPr>
      <w:r>
        <w:t>In de tabel in bijlage 4 wordt een nieuwe rij ingevoegd onder de rij waarin de tekst “FUB-PB-22” voorkomt in de kolom met als titel “Andere internationale algemene benaming (INN)”, die in de kolom met de titel “Andere internationale algemene benaming (INN) in de Tsjechische taal/gemeenschappelijke naam” het woord “Hexahydrocannabinol” bevat, in de kolom met de titel “Andere internationale algemene benaming of andere gemeenschappelijke naam” de tekst “HHC” bevat, in de kolom met de titel “IUPAC chemische naam” het woord “(6aR,10aR)-6,6,9-trimethyl-3-pentyl-6a,7,8,9,10,10a-hexahydrobenzo[c]chromen-1-ol” bevat en in de kolom met de titel “Opmerking” de woorden “Met uitzondering van HHC indien het in een technische hennepplant, technische hennep, hennepextract en tinctuur en technische henneppreparatie in hoeveelheden van minder dan 0,3 % is opgenomen” bevat. Deze vrijstelling is niet van toepassing op levensmiddelen.”.</w:t>
      </w:r>
    </w:p>
    <w:p w14:paraId="7B7D44D3" w14:textId="7127324E" w:rsidR="00CD3059" w:rsidRDefault="009C0046">
      <w:pPr>
        <w:pStyle w:val="Zkladntext0"/>
        <w:numPr>
          <w:ilvl w:val="0"/>
          <w:numId w:val="1"/>
        </w:numPr>
        <w:tabs>
          <w:tab w:val="left" w:pos="298"/>
        </w:tabs>
        <w:ind w:left="340" w:hanging="340"/>
        <w:jc w:val="both"/>
      </w:pPr>
      <w:r>
        <w:t>In de tabel in bijlage 4 wordt een nieuwe rij ingevoegd onder de rij waarin de kolom met als titel “Internationale algemene benaming (INN) in de Tsjechische taal/gemeenschappelijke naam” het woord “Hexedroon” bevat, die in de kolom met de titel “Internationale algemene benaming (INN) in de Tsjechische taal/gemeenschappelijke naam” het woord “Hexahydrocannabinol-O-acetaat” bevat, in de kolom met de titel “Andere internationale algemene benaming of andere gemeenschappelijke naam” de woorden “HHC-acetaat, HHC-O” bevat, in de kolom met de titel “IUPAC chemische naam” het woord “[(6aR,10aR)-6,6,9-trimethyl-3-pentyl-6a,7,8,9,10,10a-hexahydrobenzo[c]chromen-1-yl] acetaat” bevat.</w:t>
      </w:r>
    </w:p>
    <w:p w14:paraId="0FC65C09" w14:textId="578F205E" w:rsidR="00CD3059" w:rsidRDefault="009C0046">
      <w:pPr>
        <w:pStyle w:val="Zkladntext0"/>
        <w:numPr>
          <w:ilvl w:val="0"/>
          <w:numId w:val="1"/>
        </w:numPr>
        <w:tabs>
          <w:tab w:val="left" w:pos="298"/>
        </w:tabs>
        <w:ind w:left="340" w:hanging="340"/>
        <w:jc w:val="both"/>
      </w:pPr>
      <w:r>
        <w:t>In de tabel in bijlage 4 wordt een nieuwe rij ingevoegd boven de rij waarin de kolom met als titel “Internationale algemene benaming (INN) in de Tsjechische taal/gemeenschappelijke naam” het woord “Tetrahydrocannabinol” bevat, waarin de kolom met als titel “Internationale algemene benaming (INN) in de Tsjechische taal/gemeenschappelijke naam” het woord “Tetrahydrocannabiforol” bevat, in de kolom “Andere internationale algemene benaming (INN) of andere gemeenschappelijke naam” het woord “THCP” bevat, de kolom met de titel “IUPAC-chemische naam” het woord “(6aR,10aR)-3-heptyl-6,6,9-trimethyl-6a,7,8,10a-tetrahydrobenzo[c]chromen-1-ol” bevat, en de kolom “Opmerking” de uitdrukkingen “Met uitzondering van THCP indien het in een technische hennepplant, technische hennep, hennepextract en tinctuur en technische henneppreparatie in hoeveelheden van minder dan 0,3 % is opgenomen” bevat. Deze vrijstelling is niet van toepassing op levensmiddelen.”.</w:t>
      </w:r>
    </w:p>
    <w:p w14:paraId="47C58D6D" w14:textId="3DA96C41" w:rsidR="00CD3059" w:rsidRDefault="009C0046">
      <w:pPr>
        <w:pStyle w:val="Zkladntext0"/>
        <w:numPr>
          <w:ilvl w:val="0"/>
          <w:numId w:val="1"/>
        </w:numPr>
        <w:tabs>
          <w:tab w:val="left" w:pos="349"/>
        </w:tabs>
        <w:spacing w:after="200"/>
        <w:ind w:left="340" w:hanging="340"/>
        <w:jc w:val="both"/>
      </w:pPr>
      <w:r>
        <w:t xml:space="preserve">In de tabel in bijlage 4 worden de regels met het woord “Hexahydrocannabinol”, “Hexahydrocannabinol-O-acetaat” </w:t>
      </w:r>
      <w:r>
        <w:lastRenderedPageBreak/>
        <w:t>en het woord “Tetrahydrocannabiforol” in de kolom “Internationale algemene benaming (INN) in het Tsjechisch/de algemene benaming” geschrapt.</w:t>
      </w:r>
    </w:p>
    <w:p w14:paraId="00CF655E" w14:textId="77777777" w:rsidR="00CD3059" w:rsidRDefault="009C0046">
      <w:pPr>
        <w:pStyle w:val="Nadpis30"/>
        <w:keepNext/>
        <w:keepLines/>
        <w:spacing w:after="140"/>
        <w:rPr>
          <w:sz w:val="28"/>
          <w:szCs w:val="28"/>
        </w:rPr>
      </w:pPr>
      <w:bookmarkStart w:id="8" w:name="bookmark18"/>
      <w:r>
        <w:rPr>
          <w:sz w:val="28"/>
        </w:rPr>
        <w:t>Artikel II</w:t>
      </w:r>
      <w:bookmarkEnd w:id="8"/>
    </w:p>
    <w:p w14:paraId="2F7087AA" w14:textId="77777777" w:rsidR="00CD3059" w:rsidRDefault="009C0046">
      <w:pPr>
        <w:pStyle w:val="Nadpis30"/>
        <w:keepNext/>
        <w:keepLines/>
        <w:spacing w:after="140"/>
        <w:rPr>
          <w:sz w:val="28"/>
          <w:szCs w:val="28"/>
        </w:rPr>
      </w:pPr>
      <w:bookmarkStart w:id="9" w:name="bookmark20"/>
      <w:r>
        <w:rPr>
          <w:b/>
          <w:sz w:val="28"/>
        </w:rPr>
        <w:t>Technisch voorschrift</w:t>
      </w:r>
      <w:bookmarkEnd w:id="9"/>
    </w:p>
    <w:p w14:paraId="0B11474D" w14:textId="77777777" w:rsidR="00CD3059" w:rsidRDefault="009C0046">
      <w:pPr>
        <w:pStyle w:val="Zkladntext0"/>
        <w:spacing w:after="200" w:line="300" w:lineRule="auto"/>
        <w:jc w:val="both"/>
      </w:pPr>
      <w:r>
        <w:t>Dit Besluit is aangemeld overeenkomstig Richtlijn (EU) 2015/1535 van het Europees Parlement en de Raad van 9 september 2015 betreffende een informatieprocedure op het gebied van technische voorschriften en regels betreffende de diensten van de informatiemaatschappij.</w:t>
      </w:r>
    </w:p>
    <w:p w14:paraId="30E8F8FA" w14:textId="77777777" w:rsidR="00CD3059" w:rsidRDefault="009C0046">
      <w:pPr>
        <w:pStyle w:val="Nadpis30"/>
        <w:keepNext/>
        <w:keepLines/>
        <w:spacing w:after="140"/>
        <w:rPr>
          <w:sz w:val="28"/>
          <w:szCs w:val="28"/>
        </w:rPr>
      </w:pPr>
      <w:bookmarkStart w:id="10" w:name="bookmark22"/>
      <w:r>
        <w:rPr>
          <w:sz w:val="28"/>
        </w:rPr>
        <w:t>Artikel III</w:t>
      </w:r>
      <w:bookmarkEnd w:id="10"/>
    </w:p>
    <w:p w14:paraId="74A46027" w14:textId="77777777" w:rsidR="00CD3059" w:rsidRDefault="009C0046">
      <w:pPr>
        <w:pStyle w:val="Nadpis30"/>
        <w:keepNext/>
        <w:keepLines/>
        <w:spacing w:after="140"/>
        <w:rPr>
          <w:sz w:val="28"/>
          <w:szCs w:val="28"/>
        </w:rPr>
      </w:pPr>
      <w:bookmarkStart w:id="11" w:name="bookmark24"/>
      <w:r>
        <w:rPr>
          <w:b/>
          <w:sz w:val="28"/>
        </w:rPr>
        <w:t>Geldigheid</w:t>
      </w:r>
      <w:bookmarkEnd w:id="11"/>
    </w:p>
    <w:p w14:paraId="6109ABBE" w14:textId="77777777" w:rsidR="00CD3059" w:rsidRDefault="009C0046">
      <w:pPr>
        <w:pStyle w:val="Zkladntext0"/>
        <w:spacing w:after="540" w:line="300" w:lineRule="auto"/>
        <w:jc w:val="both"/>
      </w:pPr>
      <w:r>
        <w:t>Deze Regeringsverordening treedt in werking op de dag volgende op de datum van aanmelding ervan, met uitzondering van de bepalingen van artikel I, punt 4, die op 1 januari 2025 in werking treden.</w:t>
      </w:r>
    </w:p>
    <w:p w14:paraId="4B0E8C16" w14:textId="77777777" w:rsidR="00CD3059" w:rsidRPr="009C0046" w:rsidRDefault="009C0046">
      <w:pPr>
        <w:pStyle w:val="Zkladntext0"/>
        <w:spacing w:after="40" w:line="300" w:lineRule="auto"/>
        <w:jc w:val="center"/>
      </w:pPr>
      <w:r>
        <w:t>Minister-president:</w:t>
      </w:r>
    </w:p>
    <w:p w14:paraId="08210FB2" w14:textId="77777777" w:rsidR="00CD3059" w:rsidRPr="009C0046" w:rsidRDefault="009C0046">
      <w:pPr>
        <w:pStyle w:val="Zkladntext0"/>
        <w:spacing w:after="260" w:line="300" w:lineRule="auto"/>
        <w:jc w:val="center"/>
      </w:pPr>
      <w:r>
        <w:t>prof. PhDr. Fiala, PhD, LL.M., m. p.</w:t>
      </w:r>
    </w:p>
    <w:p w14:paraId="7763E21F" w14:textId="77777777" w:rsidR="00CD3059" w:rsidRDefault="009C0046">
      <w:pPr>
        <w:pStyle w:val="Zkladntext0"/>
        <w:spacing w:after="40" w:line="300" w:lineRule="auto"/>
        <w:jc w:val="center"/>
      </w:pPr>
      <w:r>
        <w:t>Vicepremier en minister van Volksgezondheid</w:t>
      </w:r>
    </w:p>
    <w:p w14:paraId="4DE6C3E2" w14:textId="77777777" w:rsidR="00CD3059" w:rsidRDefault="009C0046">
      <w:pPr>
        <w:pStyle w:val="Zkladntext0"/>
        <w:spacing w:after="140" w:line="300" w:lineRule="auto"/>
        <w:jc w:val="center"/>
        <w:sectPr w:rsidR="00CD3059" w:rsidSect="00D855F0">
          <w:headerReference w:type="even" r:id="rId8"/>
          <w:headerReference w:type="default" r:id="rId9"/>
          <w:pgSz w:w="11900" w:h="16840"/>
          <w:pgMar w:top="1705" w:right="1157" w:bottom="1220" w:left="1157" w:header="0" w:footer="3" w:gutter="0"/>
          <w:cols w:space="720"/>
          <w:noEndnote/>
          <w:docGrid w:linePitch="360"/>
        </w:sectPr>
      </w:pPr>
      <w:r>
        <w:t>prof. Dr. Válek, CSc, MBA, EBIR, m. p.</w:t>
      </w:r>
    </w:p>
    <w:p w14:paraId="28F5A26C" w14:textId="77777777" w:rsidR="00CD3059" w:rsidRDefault="009C0046">
      <w:pPr>
        <w:pStyle w:val="Zkladntext0"/>
        <w:spacing w:after="1000" w:line="240" w:lineRule="auto"/>
        <w:jc w:val="center"/>
      </w:pPr>
      <w:r>
        <w:lastRenderedPageBreak/>
        <w:t>ISSN 3029-5092</w:t>
      </w:r>
    </w:p>
    <w:p w14:paraId="7264E398" w14:textId="720F987A" w:rsidR="00CD3059" w:rsidRPr="00155858" w:rsidRDefault="009C0046">
      <w:pPr>
        <w:pStyle w:val="Zkladntext0"/>
        <w:spacing w:after="0" w:line="240" w:lineRule="auto"/>
        <w:jc w:val="both"/>
        <w:rPr>
          <w:sz w:val="16"/>
          <w:szCs w:val="16"/>
        </w:rPr>
      </w:pPr>
      <w:r w:rsidRPr="00155858">
        <w:rPr>
          <w:sz w:val="16"/>
          <w:szCs w:val="16"/>
        </w:rPr>
        <w:t xml:space="preserve">Gepubliceerd door: Ministerie van Binnenlandse Zaken, Nad Štolou 3, Postbus 21, 170 34 Praag 7• </w:t>
      </w:r>
      <w:r w:rsidRPr="00155858">
        <w:rPr>
          <w:b/>
          <w:sz w:val="16"/>
          <w:szCs w:val="16"/>
        </w:rPr>
        <w:t>Redactioneel bureau voor de verzameling van wetten en internationale verdragen</w:t>
      </w:r>
      <w:r w:rsidRPr="00155858">
        <w:rPr>
          <w:sz w:val="16"/>
          <w:szCs w:val="16"/>
        </w:rPr>
        <w:t>: Ministerie van Binnenlandse Zaken, nám. Hrdinů 1634/3, postbus 155/SB, 140 21 Praag 4, telefoon: 974 817 289, e-mail:</w:t>
      </w:r>
      <w:hyperlink r:id="rId10" w:history="1">
        <w:r w:rsidRPr="00155858">
          <w:rPr>
            <w:sz w:val="16"/>
            <w:szCs w:val="16"/>
          </w:rPr>
          <w:t xml:space="preserve"> sbirka@mvcr.cz</w:t>
        </w:r>
      </w:hyperlink>
      <w:r w:rsidRPr="00155858">
        <w:rPr>
          <w:sz w:val="16"/>
          <w:szCs w:val="16"/>
        </w:rPr>
        <w:t xml:space="preserve"> • Typering: Tiskárna Ministerstva vnitra [Printer van het Ministerie van Binnenlandse Zaken], Bartyňkova 1159/4, postbus 10, 149 00 Praag 11-Chodov• </w:t>
      </w:r>
      <w:r w:rsidRPr="00155858">
        <w:rPr>
          <w:b/>
          <w:sz w:val="16"/>
          <w:szCs w:val="16"/>
        </w:rPr>
        <w:t xml:space="preserve">De juridisch bindende elektronische versie van de verzameling van wetten en internationale verdragen is te vinden op </w:t>
      </w:r>
      <w:hyperlink r:id="rId11" w:history="1">
        <w:r w:rsidRPr="00155858">
          <w:rPr>
            <w:b/>
            <w:sz w:val="16"/>
            <w:szCs w:val="16"/>
          </w:rPr>
          <w:t>www.e-sbirka.cz</w:t>
        </w:r>
      </w:hyperlink>
      <w:r w:rsidRPr="00155858">
        <w:rPr>
          <w:b/>
          <w:sz w:val="16"/>
          <w:szCs w:val="16"/>
        </w:rPr>
        <w:t xml:space="preserve"> </w:t>
      </w:r>
      <w:r w:rsidRPr="00155858">
        <w:rPr>
          <w:sz w:val="16"/>
          <w:szCs w:val="16"/>
        </w:rPr>
        <w:t xml:space="preserve">• Een gedrukte versie van een deel van de verzameling van wetten en internationale verdragen kan worden besteld bij de printer van het Ministerie van Binnenlandse Zaken, telefoon: 974 887 312, e-mail: </w:t>
      </w:r>
      <w:hyperlink r:id="rId12" w:history="1">
        <w:r w:rsidRPr="00155858">
          <w:rPr>
            <w:sz w:val="16"/>
            <w:szCs w:val="16"/>
          </w:rPr>
          <w:t>info@tmv.cz</w:t>
        </w:r>
      </w:hyperlink>
      <w:r w:rsidRPr="00155858">
        <w:rPr>
          <w:sz w:val="16"/>
          <w:szCs w:val="16"/>
        </w:rPr>
        <w:t xml:space="preserve"> </w:t>
      </w:r>
      <w:hyperlink r:id="rId13" w:history="1">
        <w:r w:rsidRPr="00155858">
          <w:rPr>
            <w:sz w:val="16"/>
            <w:szCs w:val="16"/>
          </w:rPr>
          <w:t>www.tmv.cz</w:t>
        </w:r>
      </w:hyperlink>
      <w:r w:rsidRPr="00155858">
        <w:rPr>
          <w:sz w:val="16"/>
          <w:szCs w:val="16"/>
        </w:rPr>
        <w:t xml:space="preserve"> • De abonnementen worden met ingang van 1.1.2024 beëindigd.</w:t>
      </w:r>
    </w:p>
    <w:sectPr w:rsidR="00CD3059" w:rsidRPr="00155858">
      <w:pgSz w:w="11900" w:h="16840"/>
      <w:pgMar w:top="12841" w:right="1160" w:bottom="1119" w:left="11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FF8C25" w14:textId="77777777" w:rsidR="005F549F" w:rsidRDefault="005F549F">
      <w:r>
        <w:separator/>
      </w:r>
    </w:p>
  </w:endnote>
  <w:endnote w:type="continuationSeparator" w:id="0">
    <w:p w14:paraId="09D7519B" w14:textId="77777777" w:rsidR="005F549F" w:rsidRDefault="005F54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altName w:val="Calibri"/>
    <w:charset w:val="00"/>
    <w:family w:val="swiss"/>
    <w:pitch w:val="variable"/>
    <w:sig w:usb0="20000287" w:usb1="00000003" w:usb2="00000000" w:usb3="00000000" w:csb0="0000019F" w:csb1="00000000"/>
  </w:font>
  <w:font w:name="Aptos">
    <w:altName w:val="Calibri"/>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0D2F8B" w14:textId="77777777" w:rsidR="005F549F" w:rsidRDefault="005F549F"/>
  </w:footnote>
  <w:footnote w:type="continuationSeparator" w:id="0">
    <w:p w14:paraId="48375472" w14:textId="77777777" w:rsidR="005F549F" w:rsidRDefault="005F549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6FDCC" w14:textId="77777777" w:rsidR="00CD3059" w:rsidRDefault="009C0046">
    <w:pPr>
      <w:spacing w:line="1" w:lineRule="exact"/>
    </w:pPr>
    <w:r>
      <w:rPr>
        <w:noProof/>
      </w:rPr>
      <mc:AlternateContent>
        <mc:Choice Requires="wps">
          <w:drawing>
            <wp:anchor distT="0" distB="0" distL="0" distR="0" simplePos="0" relativeHeight="251659264" behindDoc="1" locked="0" layoutInCell="1" allowOverlap="1" wp14:anchorId="15B67921" wp14:editId="14519A51">
              <wp:simplePos x="0" y="0"/>
              <wp:positionH relativeFrom="page">
                <wp:posOffset>753110</wp:posOffset>
              </wp:positionH>
              <wp:positionV relativeFrom="page">
                <wp:posOffset>640715</wp:posOffset>
              </wp:positionV>
              <wp:extent cx="3575050" cy="137160"/>
              <wp:effectExtent l="0" t="0" r="0" b="0"/>
              <wp:wrapNone/>
              <wp:docPr id="5" name="Shape 5"/>
              <wp:cNvGraphicFramePr/>
              <a:graphic xmlns:a="http://schemas.openxmlformats.org/drawingml/2006/main">
                <a:graphicData uri="http://schemas.microsoft.com/office/word/2010/wordprocessingShape">
                  <wps:wsp>
                    <wps:cNvSpPr txBox="1"/>
                    <wps:spPr>
                      <a:xfrm>
                        <a:off x="0" y="0"/>
                        <a:ext cx="3575050" cy="137160"/>
                      </a:xfrm>
                      <a:prstGeom prst="rect">
                        <a:avLst/>
                      </a:prstGeom>
                      <a:noFill/>
                    </wps:spPr>
                    <wps:txbx>
                      <w:txbxContent>
                        <w:p w14:paraId="4152CFD5" w14:textId="77777777" w:rsidR="00CD3059" w:rsidRDefault="009C0046">
                          <w:pPr>
                            <w:pStyle w:val="Zhlavnebozpat20"/>
                            <w:tabs>
                              <w:tab w:val="right" w:pos="5630"/>
                            </w:tabs>
                          </w:pPr>
                          <w:r>
                            <w:rPr>
                              <w:i/>
                              <w:sz w:val="17"/>
                            </w:rPr>
                            <w:t xml:space="preserve">Bladzijde </w:t>
                          </w:r>
                          <w:r>
                            <w:fldChar w:fldCharType="begin"/>
                          </w:r>
                          <w:r>
                            <w:instrText xml:space="preserve"> PAGE \* MERGEFORMAT </w:instrText>
                          </w:r>
                          <w:r>
                            <w:fldChar w:fldCharType="separate"/>
                          </w:r>
                          <w:r>
                            <w:rPr>
                              <w:i/>
                              <w:sz w:val="17"/>
                            </w:rPr>
                            <w:t>#</w:t>
                          </w:r>
                          <w:r>
                            <w:rPr>
                              <w:i/>
                              <w:sz w:val="17"/>
                            </w:rPr>
                            <w:fldChar w:fldCharType="end"/>
                          </w:r>
                          <w:r>
                            <w:rPr>
                              <w:i/>
                              <w:sz w:val="17"/>
                            </w:rPr>
                            <w:tab/>
                          </w:r>
                          <w:r>
                            <w:rPr>
                              <w:i/>
                            </w:rPr>
                            <w:t>wet nr. 52/2024</w:t>
                          </w:r>
                        </w:p>
                      </w:txbxContent>
                    </wps:txbx>
                    <wps:bodyPr lIns="0" tIns="0" rIns="0" bIns="0">
                      <a:spAutoFit/>
                    </wps:bodyPr>
                  </wps:wsp>
                </a:graphicData>
              </a:graphic>
            </wp:anchor>
          </w:drawing>
        </mc:Choice>
        <mc:Fallback xmlns:w16du="http://schemas.microsoft.com/office/word/2023/wordml/word16du" xmlns:oel="http://schemas.microsoft.com/office/2019/extlst">
          <w:pict>
            <v:shapetype w14:anchorId="15B67921" id="_x0000_t202" coordsize="21600,21600" o:spt="202" path="m,l,21600r21600,l21600,xe">
              <v:stroke joinstyle="miter"/>
              <v:path gradientshapeok="t" o:connecttype="rect"/>
            </v:shapetype>
            <v:shape id="Shape 5" o:spid="_x0000_s1026" type="#_x0000_t202" style="position:absolute;margin-left:59.3pt;margin-top:50.45pt;width:281.5pt;height:10.8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" filled="f" stroked="f">
              <v:textbox style="mso-fit-shape-to-text:t" inset="0,0,0,0">
                <w:txbxContent>
                  <w:p w14:paraId="4152CFD5" w14:textId="77777777" w:rsidR="00CD3059" w:rsidRDefault="009C0046">
                    <w:pPr>
                      <w:pStyle w:val="Zhlavnebozpat20"/>
                      <w:tabs>
                        <w:tab w:val="right" w:pos="5630"/>
                      </w:tabs>
                    </w:pPr>
                    <w:r>
                      <w:rPr>
                        <w:i/>
                        <w:sz w:val="17"/>
                      </w:rPr>
                      <w:t xml:space="preserve">Bladzijde </w:t>
                    </w:r>
                    <w:r>
                      <w:fldChar w:fldCharType="begin"/>
                    </w:r>
                    <w:r>
                      <w:instrText xml:space="preserve"> PAGE \* MERGEFORMAT </w:instrText>
                    </w:r>
                    <w:r>
                      <w:fldChar w:fldCharType="separate"/>
                    </w:r>
                    <w:r>
                      <w:rPr>
                        <w:i/>
                        <w:sz w:val="17"/>
                      </w:rPr>
                      <w:t>#</w:t>
                    </w:r>
                    <w:r>
                      <w:rPr>
                        <w:i/>
                        <w:sz w:val="17"/>
                      </w:rPr>
                      <w:fldChar w:fldCharType="end"/>
                    </w:r>
                    <w:r>
                      <w:rPr>
                        <w:i/>
                        <w:sz w:val="17"/>
                      </w:rPr>
                      <w:tab/>
                    </w:r>
                    <w:r>
                      <w:rPr>
                        <w:i/>
                      </w:rPr>
                      <w:t xml:space="preserve">wet nr. 52/2024</w:t>
                    </w:r>
                  </w:p>
                </w:txbxContent>
              </v:textbox>
              <w10:wrap anchorx="page" anchory="page"/>
            </v:shape>
          </w:pict>
        </mc:Fallback>
      </mc:AlternateContent>
    </w:r>
    <w:r>
      <w:rPr>
        <w:noProof/>
      </w:rPr>
      <mc:AlternateContent>
        <mc:Choice Requires="wps">
          <w:drawing>
            <wp:anchor distT="0" distB="0" distL="114300" distR="114300" simplePos="0" relativeHeight="251657216" behindDoc="1" locked="0" layoutInCell="1" allowOverlap="1" wp14:anchorId="1999D92A" wp14:editId="3E2CDB87">
              <wp:simplePos x="0" y="0"/>
              <wp:positionH relativeFrom="page">
                <wp:posOffset>753110</wp:posOffset>
              </wp:positionH>
              <wp:positionV relativeFrom="page">
                <wp:posOffset>822960</wp:posOffset>
              </wp:positionV>
              <wp:extent cx="6050280" cy="0"/>
              <wp:effectExtent l="0" t="0" r="0" b="0"/>
              <wp:wrapNone/>
              <wp:docPr id="7" name="Shape 7"/>
              <wp:cNvGraphicFramePr/>
              <a:graphic xmlns:a="http://schemas.openxmlformats.org/drawingml/2006/main">
                <a:graphicData uri="http://schemas.microsoft.com/office/word/2010/wordprocessingShape">
                  <wps:wsp>
                    <wps:cNvCnPr/>
                    <wps:spPr>
                      <a:xfrm>
                        <a:off x="0" y="0"/>
                        <a:ext cx="6050280" cy="0"/>
                      </a:xfrm>
                      <a:prstGeom prst="straightConnector1">
                        <a:avLst/>
                      </a:prstGeom>
                      <a:ln w="12700">
                        <a:solidFill/>
                      </a:ln>
                    </wps:spPr>
                    <wps:bodyPr/>
                  </wps:wsp>
                </a:graphicData>
              </a:graphic>
            </wp:anchor>
          </w:drawing>
        </mc:Choice>
        <mc:Fallback xmlns:w16du="http://schemas.microsoft.com/office/word/2023/wordml/word16du" xmlns:oel="http://schemas.microsoft.com/office/2019/extlst">
          <w:pict>
            <v:shape o:spt="32" o:oned="true" path="m,l21600,21600e" style="position:absolute;margin-left:59.300000000000004pt;margin-top:64.799999999999997pt;width:476.40000000000003pt;height:0;z-index:-251658240;mso-position-horizontal-relative:page;mso-position-vertical-relative:page">
              <v:stroke weight="1.pt"/>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6DEEE" w14:textId="77777777" w:rsidR="00CD3059" w:rsidRDefault="009C0046">
    <w:pPr>
      <w:spacing w:line="1" w:lineRule="exact"/>
    </w:pPr>
    <w:r>
      <w:rPr>
        <w:noProof/>
      </w:rPr>
      <mc:AlternateContent>
        <mc:Choice Requires="wps">
          <w:drawing>
            <wp:anchor distT="0" distB="0" distL="0" distR="0" simplePos="0" relativeHeight="251658240" behindDoc="1" locked="0" layoutInCell="1" allowOverlap="1" wp14:anchorId="59EE9784" wp14:editId="31379C1D">
              <wp:simplePos x="0" y="0"/>
              <wp:positionH relativeFrom="page">
                <wp:posOffset>3206750</wp:posOffset>
              </wp:positionH>
              <wp:positionV relativeFrom="page">
                <wp:posOffset>640715</wp:posOffset>
              </wp:positionV>
              <wp:extent cx="3590290" cy="137160"/>
              <wp:effectExtent l="0" t="0" r="0" b="0"/>
              <wp:wrapNone/>
              <wp:docPr id="2" name="Shape 2"/>
              <wp:cNvGraphicFramePr/>
              <a:graphic xmlns:a="http://schemas.openxmlformats.org/drawingml/2006/main">
                <a:graphicData uri="http://schemas.microsoft.com/office/word/2010/wordprocessingShape">
                  <wps:wsp>
                    <wps:cNvSpPr txBox="1"/>
                    <wps:spPr>
                      <a:xfrm>
                        <a:off x="0" y="0"/>
                        <a:ext cx="3590290" cy="137160"/>
                      </a:xfrm>
                      <a:prstGeom prst="rect">
                        <a:avLst/>
                      </a:prstGeom>
                      <a:noFill/>
                    </wps:spPr>
                    <wps:txbx>
                      <w:txbxContent>
                        <w:p w14:paraId="67AD3852" w14:textId="77777777" w:rsidR="00CD3059" w:rsidRDefault="009C0046">
                          <w:pPr>
                            <w:pStyle w:val="Zhlavnebozpat20"/>
                            <w:tabs>
                              <w:tab w:val="right" w:pos="5654"/>
                            </w:tabs>
                            <w:rPr>
                              <w:sz w:val="17"/>
                              <w:szCs w:val="17"/>
                            </w:rPr>
                          </w:pPr>
                          <w:r>
                            <w:rPr>
                              <w:i/>
                            </w:rPr>
                            <w:t xml:space="preserve">Wet </w:t>
                          </w:r>
                          <w:r>
                            <w:rPr>
                              <w:i/>
                            </w:rPr>
                            <w:t>nr. 52 / 2024 Sb.</w:t>
                          </w:r>
                          <w:r>
                            <w:rPr>
                              <w:i/>
                            </w:rPr>
                            <w:tab/>
                          </w:r>
                          <w:r>
                            <w:rPr>
                              <w:i/>
                              <w:sz w:val="17"/>
                            </w:rPr>
                            <w:t xml:space="preserve">Bladzijde </w:t>
                          </w:r>
                          <w:r>
                            <w:fldChar w:fldCharType="begin"/>
                          </w:r>
                          <w:r>
                            <w:instrText xml:space="preserve"> PAGE \* MERGEFORMAT </w:instrText>
                          </w:r>
                          <w:r>
                            <w:fldChar w:fldCharType="separate"/>
                          </w:r>
                          <w:r>
                            <w:rPr>
                              <w:i/>
                              <w:sz w:val="17"/>
                            </w:rPr>
                            <w:t>#</w:t>
                          </w:r>
                          <w:r>
                            <w:rPr>
                              <w:i/>
                              <w:sz w:val="17"/>
                            </w:rPr>
                            <w:fldChar w:fldCharType="end"/>
                          </w:r>
                        </w:p>
                      </w:txbxContent>
                    </wps:txbx>
                    <wps:bodyPr lIns="0" tIns="0" rIns="0" bIns="0">
                      <a:spAutoFit/>
                    </wps:bodyPr>
                  </wps:wsp>
                </a:graphicData>
              </a:graphic>
            </wp:anchor>
          </w:drawing>
        </mc:Choice>
        <mc:Fallback xmlns:w16du="http://schemas.microsoft.com/office/word/2023/wordml/word16du" xmlns:oel="http://schemas.microsoft.com/office/2019/extlst">
          <w:pict>
            <v:shapetype w14:anchorId="59EE9784" id="_x0000_t202" coordsize="21600,21600" o:spt="202" path="m,l,21600r21600,l21600,xe">
              <v:stroke joinstyle="miter"/>
              <v:path gradientshapeok="t" o:connecttype="rect"/>
            </v:shapetype>
            <v:shape id="Shape 2" o:spid="_x0000_s1027" type="#_x0000_t202" style="position:absolute;margin-left:252.5pt;margin-top:50.45pt;width:282.7pt;height:10.8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" filled="f" stroked="f">
              <v:textbox style="mso-fit-shape-to-text:t" inset="0,0,0,0">
                <w:txbxContent>
                  <w:p w14:paraId="67AD3852" w14:textId="77777777" w:rsidR="00CD3059" w:rsidRDefault="009C0046">
                    <w:pPr>
                      <w:pStyle w:val="Zhlavnebozpat20"/>
                      <w:tabs>
                        <w:tab w:val="right" w:pos="5654"/>
                      </w:tabs>
                      <w:rPr>
                        <w:sz w:val="17"/>
                        <w:szCs w:val="17"/>
                      </w:rPr>
                    </w:pPr>
                    <w:r>
                      <w:rPr>
                        <w:i/>
                      </w:rPr>
                      <w:t xml:space="preserve">Wet nr. 52 / 2024 Sb.</w:t>
                    </w:r>
                    <w:r>
                      <w:rPr>
                        <w:i/>
                      </w:rPr>
                      <w:tab/>
                    </w:r>
                    <w:r>
                      <w:rPr>
                        <w:i/>
                        <w:sz w:val="17"/>
                      </w:rPr>
                      <w:t xml:space="preserve">Bladzijde </w:t>
                    </w:r>
                    <w:r>
                      <w:fldChar w:fldCharType="begin"/>
                    </w:r>
                    <w:r>
                      <w:instrText xml:space="preserve"> PAGE \* MERGEFORMAT </w:instrText>
                    </w:r>
                    <w:r>
                      <w:fldChar w:fldCharType="separate"/>
                    </w:r>
                    <w:r>
                      <w:rPr>
                        <w:i/>
                        <w:sz w:val="17"/>
                      </w:rPr>
                      <w:t>#</w:t>
                    </w:r>
                    <w:r>
                      <w:rPr>
                        <w:i/>
                        <w:sz w:val="17"/>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6192" behindDoc="1" locked="0" layoutInCell="1" allowOverlap="1" wp14:anchorId="3D6CD35C" wp14:editId="12F54D90">
              <wp:simplePos x="0" y="0"/>
              <wp:positionH relativeFrom="page">
                <wp:posOffset>756285</wp:posOffset>
              </wp:positionH>
              <wp:positionV relativeFrom="page">
                <wp:posOffset>822960</wp:posOffset>
              </wp:positionV>
              <wp:extent cx="6050280" cy="0"/>
              <wp:effectExtent l="0" t="0" r="0" b="0"/>
              <wp:wrapNone/>
              <wp:docPr id="4" name="Shape 4"/>
              <wp:cNvGraphicFramePr/>
              <a:graphic xmlns:a="http://schemas.openxmlformats.org/drawingml/2006/main">
                <a:graphicData uri="http://schemas.microsoft.com/office/word/2010/wordprocessingShape">
                  <wps:wsp>
                    <wps:cNvCnPr/>
                    <wps:spPr>
                      <a:xfrm>
                        <a:off x="0" y="0"/>
                        <a:ext cx="6050280" cy="0"/>
                      </a:xfrm>
                      <a:prstGeom prst="straightConnector1">
                        <a:avLst/>
                      </a:prstGeom>
                      <a:ln w="12700">
                        <a:solidFill/>
                      </a:ln>
                    </wps:spPr>
                    <wps:bodyPr/>
                  </wps:wsp>
                </a:graphicData>
              </a:graphic>
            </wp:anchor>
          </w:drawing>
        </mc:Choice>
        <mc:Fallback xmlns:w16du="http://schemas.microsoft.com/office/word/2023/wordml/word16du" xmlns:oel="http://schemas.microsoft.com/office/2019/extlst">
          <w:pict>
            <v:shape o:spt="32" o:oned="true" path="m,l21600,21600e" style="position:absolute;margin-left:59.550000000000004pt;margin-top:64.799999999999997pt;width:476.40000000000003pt;height:0;z-index:-251658240;mso-position-horizontal-relative:page;mso-position-vertical-relative:page">
              <v:stroke weight="1.pt"/>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BC257E"/>
    <w:multiLevelType w:val="multilevel"/>
    <w:tmpl w:val="1C3806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3059"/>
    <w:rsid w:val="00155858"/>
    <w:rsid w:val="005F549F"/>
    <w:rsid w:val="009C0046"/>
    <w:rsid w:val="00A4367D"/>
    <w:rsid w:val="00CD3059"/>
    <w:rsid w:val="00D855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BAA98"/>
  <w15:docId w15:val="{63E03A3F-F780-45F4-9C70-D07169434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nl-NL"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adpis1">
    <w:name w:val="Nadpis #1_"/>
    <w:basedOn w:val="DefaultParagraphFont"/>
    <w:link w:val="Nadpis10"/>
    <w:rPr>
      <w:rFonts w:ascii="Times New Roman" w:eastAsia="Times New Roman" w:hAnsi="Times New Roman" w:cs="Times New Roman"/>
      <w:b/>
      <w:bCs/>
      <w:i w:val="0"/>
      <w:iCs w:val="0"/>
      <w:smallCaps w:val="0"/>
      <w:strike w:val="0"/>
      <w:sz w:val="40"/>
      <w:szCs w:val="40"/>
      <w:u w:val="none"/>
    </w:rPr>
  </w:style>
  <w:style w:type="character" w:customStyle="1" w:styleId="Zkladntext">
    <w:name w:val="Základní text_"/>
    <w:basedOn w:val="DefaultParagraphFont"/>
    <w:link w:val="Zkladntext0"/>
    <w:rPr>
      <w:rFonts w:ascii="Times New Roman" w:eastAsia="Times New Roman" w:hAnsi="Times New Roman" w:cs="Times New Roman"/>
      <w:b w:val="0"/>
      <w:bCs w:val="0"/>
      <w:i w:val="0"/>
      <w:iCs w:val="0"/>
      <w:smallCaps w:val="0"/>
      <w:strike w:val="0"/>
      <w:sz w:val="20"/>
      <w:szCs w:val="20"/>
      <w:u w:val="none"/>
    </w:rPr>
  </w:style>
  <w:style w:type="character" w:customStyle="1" w:styleId="Nadpis2">
    <w:name w:val="Nadpis #2_"/>
    <w:basedOn w:val="DefaultParagraphFont"/>
    <w:link w:val="Nadpis20"/>
    <w:rPr>
      <w:rFonts w:ascii="Times New Roman" w:eastAsia="Times New Roman" w:hAnsi="Times New Roman" w:cs="Times New Roman"/>
      <w:b/>
      <w:bCs/>
      <w:i w:val="0"/>
      <w:iCs w:val="0"/>
      <w:smallCaps w:val="0"/>
      <w:strike w:val="0"/>
      <w:sz w:val="30"/>
      <w:szCs w:val="30"/>
      <w:u w:val="none"/>
    </w:rPr>
  </w:style>
  <w:style w:type="character" w:customStyle="1" w:styleId="Nadpis3">
    <w:name w:val="Nadpis #3_"/>
    <w:basedOn w:val="DefaultParagraphFont"/>
    <w:link w:val="Nadpis30"/>
    <w:rPr>
      <w:rFonts w:ascii="Times New Roman" w:eastAsia="Times New Roman" w:hAnsi="Times New Roman" w:cs="Times New Roman"/>
      <w:b w:val="0"/>
      <w:bCs w:val="0"/>
      <w:i w:val="0"/>
      <w:iCs w:val="0"/>
      <w:smallCaps w:val="0"/>
      <w:strike w:val="0"/>
      <w:u w:val="none"/>
    </w:rPr>
  </w:style>
  <w:style w:type="character" w:customStyle="1" w:styleId="Zhlavnebozpat2">
    <w:name w:val="Záhlaví nebo zápatí (2)_"/>
    <w:basedOn w:val="DefaultParagraphFont"/>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Zkladntext2">
    <w:name w:val="Základní text (2)_"/>
    <w:basedOn w:val="DefaultParagraphFont"/>
    <w:link w:val="Zkladntext20"/>
    <w:rPr>
      <w:rFonts w:ascii="Times New Roman" w:eastAsia="Times New Roman" w:hAnsi="Times New Roman" w:cs="Times New Roman"/>
      <w:b/>
      <w:bCs/>
      <w:i w:val="0"/>
      <w:iCs w:val="0"/>
      <w:smallCaps w:val="0"/>
      <w:strike w:val="0"/>
      <w:sz w:val="28"/>
      <w:szCs w:val="28"/>
      <w:u w:val="none"/>
    </w:rPr>
  </w:style>
  <w:style w:type="paragraph" w:customStyle="1" w:styleId="Nadpis10">
    <w:name w:val="Nadpis #1"/>
    <w:basedOn w:val="Normal"/>
    <w:link w:val="Nadpis1"/>
    <w:pPr>
      <w:spacing w:after="290"/>
      <w:jc w:val="center"/>
      <w:outlineLvl w:val="0"/>
    </w:pPr>
    <w:rPr>
      <w:rFonts w:ascii="Times New Roman" w:eastAsia="Times New Roman" w:hAnsi="Times New Roman" w:cs="Times New Roman"/>
      <w:b/>
      <w:bCs/>
      <w:sz w:val="40"/>
      <w:szCs w:val="40"/>
    </w:rPr>
  </w:style>
  <w:style w:type="paragraph" w:customStyle="1" w:styleId="Zkladntext0">
    <w:name w:val="Základní text"/>
    <w:basedOn w:val="Normal"/>
    <w:link w:val="Zkladntext"/>
    <w:pPr>
      <w:spacing w:after="80" w:line="302" w:lineRule="auto"/>
    </w:pPr>
    <w:rPr>
      <w:rFonts w:ascii="Times New Roman" w:eastAsia="Times New Roman" w:hAnsi="Times New Roman" w:cs="Times New Roman"/>
      <w:sz w:val="20"/>
      <w:szCs w:val="20"/>
    </w:rPr>
  </w:style>
  <w:style w:type="paragraph" w:customStyle="1" w:styleId="Nadpis20">
    <w:name w:val="Nadpis #2"/>
    <w:basedOn w:val="Normal"/>
    <w:link w:val="Nadpis2"/>
    <w:pPr>
      <w:spacing w:after="560" w:line="276" w:lineRule="auto"/>
      <w:jc w:val="center"/>
      <w:outlineLvl w:val="1"/>
    </w:pPr>
    <w:rPr>
      <w:rFonts w:ascii="Times New Roman" w:eastAsia="Times New Roman" w:hAnsi="Times New Roman" w:cs="Times New Roman"/>
      <w:b/>
      <w:bCs/>
      <w:sz w:val="30"/>
      <w:szCs w:val="30"/>
    </w:rPr>
  </w:style>
  <w:style w:type="paragraph" w:customStyle="1" w:styleId="Nadpis30">
    <w:name w:val="Nadpis #3"/>
    <w:basedOn w:val="Normal"/>
    <w:link w:val="Nadpis3"/>
    <w:pPr>
      <w:spacing w:after="190"/>
      <w:jc w:val="center"/>
      <w:outlineLvl w:val="2"/>
    </w:pPr>
    <w:rPr>
      <w:rFonts w:ascii="Times New Roman" w:eastAsia="Times New Roman" w:hAnsi="Times New Roman" w:cs="Times New Roman"/>
    </w:rPr>
  </w:style>
  <w:style w:type="paragraph" w:customStyle="1" w:styleId="Zhlavnebozpat20">
    <w:name w:val="Záhlaví nebo zápatí (2)"/>
    <w:basedOn w:val="Normal"/>
    <w:link w:val="Zhlavnebozpat2"/>
    <w:rPr>
      <w:rFonts w:ascii="Times New Roman" w:eastAsia="Times New Roman" w:hAnsi="Times New Roman" w:cs="Times New Roman"/>
      <w:sz w:val="20"/>
      <w:szCs w:val="20"/>
    </w:rPr>
  </w:style>
  <w:style w:type="paragraph" w:customStyle="1" w:styleId="Zkladntext20">
    <w:name w:val="Základní text (2)"/>
    <w:basedOn w:val="Normal"/>
    <w:link w:val="Zkladntext2"/>
    <w:pPr>
      <w:spacing w:after="620" w:line="326" w:lineRule="auto"/>
      <w:jc w:val="center"/>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tmv.cz"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info@tmv.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sbirka.cz"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sbirka@mvcr.cz"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738</Words>
  <Characters>4856</Characters>
  <Application>Microsoft Office Word</Application>
  <DocSecurity>0</DocSecurity>
  <Lines>77</Lines>
  <Paragraphs>31</Paragraphs>
  <ScaleCrop>false</ScaleCrop>
  <Company/>
  <LinksUpToDate>false</LinksUpToDate>
  <CharactersWithSpaces>5563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Sb_2024_52_PZZ</dc:title>
  <dc:subject/>
  <dc:creator>Ragnhild Efraimsson</dc:creator>
  <cp:keywords>class='Internal'</cp:keywords>
  <cp:lastModifiedBy>Ragnhild Efraimsson</cp:lastModifiedBy>
  <cp:revision>2</cp:revision>
  <dcterms:created xsi:type="dcterms:W3CDTF">2024-05-16T11:53:00Z</dcterms:created>
  <dcterms:modified xsi:type="dcterms:W3CDTF">2024-05-16T11:53:00Z</dcterms:modified>
</cp:coreProperties>
</file>