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Culegere de legi și tratate internaționale</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b w:val="0"/>
          <w:sz w:val="32"/>
        </w:rPr>
        <w:t>R</w:t>
      </w:r>
      <w:r>
        <w:rPr>
          <w:b w:val="0"/>
        </w:rPr>
        <w:t>EPUBLICA CEHĂ</w:t>
      </w:r>
      <w:bookmarkEnd w:id="1"/>
    </w:p>
    <w:p w14:paraId="74445F2D" w14:textId="77777777" w:rsidR="00CD3059" w:rsidRDefault="009C0046">
      <w:pPr>
        <w:pStyle w:val="Zkladntext0"/>
        <w:spacing w:after="940" w:line="240" w:lineRule="auto"/>
        <w:jc w:val="right"/>
        <w:rPr>
          <w:sz w:val="22"/>
          <w:szCs w:val="22"/>
        </w:rPr>
      </w:pPr>
      <w:r>
        <w:rPr>
          <w:sz w:val="22"/>
        </w:rPr>
        <w:t>Pusă la dispoziție la 5 martie 2024</w:t>
      </w:r>
    </w:p>
    <w:p w14:paraId="7E0428BF" w14:textId="77777777" w:rsidR="00CD3059" w:rsidRDefault="009C0046">
      <w:pPr>
        <w:pStyle w:val="Nadpis20"/>
        <w:keepNext/>
        <w:keepLines/>
        <w:spacing w:after="400" w:line="240" w:lineRule="auto"/>
      </w:pPr>
      <w:bookmarkStart w:id="2" w:name="bookmark4"/>
      <w:r>
        <w:t>Decretul nr. 52/2024 al guvernului</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de modificare a Regulamentului nr. 463/2013 al guvernului privind listele de substanțe care creează dependență, astfel cum a fost modificat</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REGULAMENTUL GUVERNULUI</w:t>
      </w:r>
      <w:r>
        <w:br/>
        <w:t>din 14 februarie 2024</w:t>
      </w:r>
    </w:p>
    <w:p w14:paraId="449D8C1A" w14:textId="77777777" w:rsidR="00CD3059" w:rsidRDefault="009C0046">
      <w:pPr>
        <w:pStyle w:val="Nadpis30"/>
        <w:keepNext/>
        <w:keepLines/>
        <w:spacing w:after="240" w:line="254" w:lineRule="auto"/>
        <w:rPr>
          <w:sz w:val="28"/>
          <w:szCs w:val="28"/>
        </w:rPr>
      </w:pPr>
      <w:bookmarkStart w:id="5" w:name="bookmark11"/>
      <w:r>
        <w:rPr>
          <w:b/>
          <w:sz w:val="28"/>
        </w:rPr>
        <w:t>de modificare a Regulamentului guvernului nr. 463/2013 din culegere privind listele de substanțe care creează dependență, astfel cum a fost modificat</w:t>
      </w:r>
      <w:bookmarkEnd w:id="5"/>
    </w:p>
    <w:p w14:paraId="6B14AADE" w14:textId="77777777" w:rsidR="00CD3059" w:rsidRDefault="009C0046">
      <w:pPr>
        <w:pStyle w:val="Nadpis30"/>
        <w:keepNext/>
        <w:keepLines/>
        <w:spacing w:after="240"/>
        <w:jc w:val="both"/>
      </w:pPr>
      <w:bookmarkStart w:id="6" w:name="bookmark13"/>
      <w:r>
        <w:t>În temeiul articolului 44c alineatele (1) și (2) din Legea nr. 167/1998 din culegere privind substanțele care creează dependență și modificările altor legi, astfel cum a fost modificată prin Legea nr. 273/2013 din culegere și Legea nr. 366/2021 din culegere, guvernul dispune prin prezentul:</w:t>
      </w:r>
      <w:bookmarkEnd w:id="6"/>
    </w:p>
    <w:p w14:paraId="12EBF64B" w14:textId="77777777" w:rsidR="00CD3059" w:rsidRDefault="009C0046">
      <w:pPr>
        <w:pStyle w:val="Nadpis30"/>
        <w:keepNext/>
        <w:keepLines/>
        <w:spacing w:after="80" w:line="290" w:lineRule="auto"/>
        <w:rPr>
          <w:sz w:val="28"/>
          <w:szCs w:val="28"/>
        </w:rPr>
      </w:pPr>
      <w:bookmarkStart w:id="7" w:name="bookmark15"/>
      <w:r>
        <w:rPr>
          <w:sz w:val="28"/>
        </w:rPr>
        <w:t>Articolul I</w:t>
      </w:r>
      <w:bookmarkEnd w:id="7"/>
    </w:p>
    <w:p w14:paraId="0154679A" w14:textId="77777777" w:rsidR="00CD3059" w:rsidRDefault="009C0046">
      <w:pPr>
        <w:pStyle w:val="Zkladntext0"/>
        <w:jc w:val="both"/>
      </w:pPr>
      <w:r>
        <w:t>Regulamentul guvernului nr. 463/2013 privind listele de substanțe care creează dependență, astfel cum a fost modificat prin Regulamentul guvernului nr. 243/2015, Regulamentul guvernului nr. 46/2017, Regulamentul guvernului nr. 30/2018, Regulamentul guvernului nr. 242/2018, Regulamentul guvernului nr. 184/2021, Regulamentul guvernului nr. 159/2022 și Regulamentul guvernului nr. 228/2023, se modifică după cum urmează:</w:t>
      </w:r>
    </w:p>
    <w:p w14:paraId="1E1735F2" w14:textId="69ECB722" w:rsidR="00CD3059" w:rsidRDefault="009C0046">
      <w:pPr>
        <w:pStyle w:val="Zkladntext0"/>
        <w:numPr>
          <w:ilvl w:val="0"/>
          <w:numId w:val="1"/>
        </w:numPr>
        <w:tabs>
          <w:tab w:val="left" w:pos="298"/>
        </w:tabs>
        <w:ind w:left="340" w:hanging="340"/>
        <w:jc w:val="both"/>
      </w:pPr>
      <w:r>
        <w:t>În tabelul din anexa 4, se introduce un nou rând sub rândul în care textul „FUB-PB-22” apare în coloana intitulată „Altă denumire comună internațională (DCI)”, care în coloana intitulată „Altă denumire comună internațională (DCI) în limba cehă/denumirea comună” conține cuvântul „Hexahidrocanabinol”, în coloana intitulată „Altă denumire comună internațională sau altă denumire comună” conține textul „HHC”, în coloana intitulată „Denumirea chimică IUPAC” conține mențiunea „(6aR,10aR)-6,6,9-trimetil-3-pentil-6a,7,8,9,10a-hexahidrobenzo[c]crom-1-ol”, iar în coloana intitulată „Notă” conține mențiunile „Cu excepția HHC în cazul în care acesta este prezent în planta de cânepă industrială, cânepă industrială, extract și tinctură de cânepă și preparat din cânepă industrială în cantități mai mici de 0,3 %. Această scutire nu se aplică produselor alimentare.”.</w:t>
      </w:r>
    </w:p>
    <w:p w14:paraId="7B7D44D3" w14:textId="7127324E" w:rsidR="00CD3059" w:rsidRDefault="009C0046">
      <w:pPr>
        <w:pStyle w:val="Zkladntext0"/>
        <w:numPr>
          <w:ilvl w:val="0"/>
          <w:numId w:val="1"/>
        </w:numPr>
        <w:tabs>
          <w:tab w:val="left" w:pos="298"/>
        </w:tabs>
        <w:ind w:left="340" w:hanging="340"/>
        <w:jc w:val="both"/>
      </w:pPr>
      <w:r>
        <w:t>În tabelul din anexa 4, se introduce un nou rând deasupra rândului în care coloana intitulată „Denumire comună internațională (DCI) în limba cehă/denumire comună” conține cuvântul „Hexedronă”, care în coloana intitulată „Denumire comună internațională (DCI) în limba cehă/denumire comună” conține cuvântul „Hexahidrocannabinol-O-acetat”, coloana intitulată „Altă denumire comună internațională sau altă denumire comună” conține cuvintele „HHC-acetat, HHC-O”, coloana intitulată „Denumire chimică IUPAC” conține cuvântul „[(6aR,10aR)-6,6,9-trimetil-3-pentil-6a,7,8,9,10,10a-hexahidrobenzo[c]cromen-1-il] acetat”.</w:t>
      </w:r>
    </w:p>
    <w:p w14:paraId="0FC65C09" w14:textId="578F205E" w:rsidR="00CD3059" w:rsidRDefault="009C0046">
      <w:pPr>
        <w:pStyle w:val="Zkladntext0"/>
        <w:numPr>
          <w:ilvl w:val="0"/>
          <w:numId w:val="1"/>
        </w:numPr>
        <w:tabs>
          <w:tab w:val="left" w:pos="298"/>
        </w:tabs>
        <w:ind w:left="340" w:hanging="340"/>
        <w:jc w:val="both"/>
      </w:pPr>
      <w:r>
        <w:t>În tabelul din anexa 4, se introduce un nou rând deasupra rândului în care coloana intitulată „Denumirea comună internațională (DCI) în limba cehă/denumirea comună” conține cuvântul „Tetrahidrocanabinol”, în care coloana intitulată „Denumirea comună internațională (DCI) în limba cehă/denumirea comună” conține cuvântul „Tetrahidrocanabiforol”, coloana intitulată „Altă denumire comună internațională (DCI) sau altă denumire comună” conține cuvântul „THCP”, coloana intitulată „Denumirea chimică IUPAC” conține mențiunea „(6aR,10aR)-3-heptil-6,6,9-trimetil-6a,7,8,10a-tetrahidrobenzo[c]crom-1-ol”, iar coloana intitulată „Notă” conține sintagma „Cu excepția THCP în cazul în care este conținută în planta de cânepă industrială, cânepă industrială, extract și tinctură de cânepă și preparat din cânepă industrială în cantități mai mici de 0,3 %. Această scutire nu se aplică produselor alimentare.”.</w:t>
      </w:r>
    </w:p>
    <w:p w14:paraId="47C58D6D" w14:textId="3DA96C41" w:rsidR="00CD3059" w:rsidRDefault="009C0046">
      <w:pPr>
        <w:pStyle w:val="Zkladntext0"/>
        <w:numPr>
          <w:ilvl w:val="0"/>
          <w:numId w:val="1"/>
        </w:numPr>
        <w:tabs>
          <w:tab w:val="left" w:pos="349"/>
        </w:tabs>
        <w:spacing w:after="200"/>
        <w:ind w:left="340" w:hanging="340"/>
        <w:jc w:val="both"/>
      </w:pPr>
      <w:r>
        <w:t>În tabelul din anexa 4, liniile care conțin cuvântul „Hexahidrocannabinol”, „Hexahidrocannabinol-O-acetat” și cuvântul „Tetrahidrocannabiforol” din coloana intitulată „Denumire comună internațională (DCI) în limba cehă/denumire comună” se elimină.</w:t>
      </w:r>
    </w:p>
    <w:p w14:paraId="00CF655E" w14:textId="77777777" w:rsidR="00CD3059" w:rsidRDefault="009C0046">
      <w:pPr>
        <w:pStyle w:val="Nadpis30"/>
        <w:keepNext/>
        <w:keepLines/>
        <w:spacing w:after="140"/>
        <w:rPr>
          <w:sz w:val="28"/>
          <w:szCs w:val="28"/>
        </w:rPr>
      </w:pPr>
      <w:bookmarkStart w:id="8" w:name="bookmark18"/>
      <w:r>
        <w:rPr>
          <w:sz w:val="28"/>
        </w:rPr>
        <w:lastRenderedPageBreak/>
        <w:t>Articolul II</w:t>
      </w:r>
      <w:bookmarkEnd w:id="8"/>
    </w:p>
    <w:p w14:paraId="2F7087AA" w14:textId="77777777" w:rsidR="00CD3059" w:rsidRDefault="009C0046">
      <w:pPr>
        <w:pStyle w:val="Nadpis30"/>
        <w:keepNext/>
        <w:keepLines/>
        <w:spacing w:after="140"/>
        <w:rPr>
          <w:sz w:val="28"/>
          <w:szCs w:val="28"/>
        </w:rPr>
      </w:pPr>
      <w:bookmarkStart w:id="9" w:name="bookmark20"/>
      <w:r>
        <w:rPr>
          <w:b/>
          <w:sz w:val="28"/>
        </w:rPr>
        <w:t>Reglementare tehnică</w:t>
      </w:r>
      <w:bookmarkEnd w:id="9"/>
    </w:p>
    <w:p w14:paraId="0B11474D" w14:textId="77777777" w:rsidR="00CD3059" w:rsidRDefault="009C0046">
      <w:pPr>
        <w:pStyle w:val="Zkladntext0"/>
        <w:spacing w:after="200" w:line="300" w:lineRule="auto"/>
        <w:jc w:val="both"/>
      </w:pPr>
      <w:r>
        <w:t>Prezentul regulament a fost notificat în conformitate cu Directiva (UE) 2015/1535 a Parlamentului European și a Consiliului din 9 septembrie 2015 referitoare la procedura de furnizare de informații în domeniul reglementărilor tehnice și al normelor privind serviciile societății informaționale.</w:t>
      </w:r>
    </w:p>
    <w:p w14:paraId="30E8F8FA" w14:textId="77777777" w:rsidR="00CD3059" w:rsidRDefault="009C0046">
      <w:pPr>
        <w:pStyle w:val="Nadpis30"/>
        <w:keepNext/>
        <w:keepLines/>
        <w:spacing w:after="140"/>
        <w:rPr>
          <w:sz w:val="28"/>
          <w:szCs w:val="28"/>
        </w:rPr>
      </w:pPr>
      <w:bookmarkStart w:id="10" w:name="bookmark22"/>
      <w:r>
        <w:rPr>
          <w:sz w:val="28"/>
        </w:rPr>
        <w:t>Articolul III</w:t>
      </w:r>
      <w:bookmarkEnd w:id="10"/>
    </w:p>
    <w:p w14:paraId="74A46027" w14:textId="77777777" w:rsidR="00CD3059" w:rsidRDefault="009C0046">
      <w:pPr>
        <w:pStyle w:val="Nadpis30"/>
        <w:keepNext/>
        <w:keepLines/>
        <w:spacing w:after="140"/>
        <w:rPr>
          <w:sz w:val="28"/>
          <w:szCs w:val="28"/>
        </w:rPr>
      </w:pPr>
      <w:bookmarkStart w:id="11" w:name="bookmark24"/>
      <w:r>
        <w:rPr>
          <w:b/>
          <w:sz w:val="28"/>
        </w:rPr>
        <w:t>Valabilitate</w:t>
      </w:r>
      <w:bookmarkEnd w:id="11"/>
    </w:p>
    <w:p w14:paraId="6109ABBE" w14:textId="77777777" w:rsidR="00CD3059" w:rsidRDefault="009C0046">
      <w:pPr>
        <w:pStyle w:val="Zkladntext0"/>
        <w:spacing w:after="540" w:line="300" w:lineRule="auto"/>
        <w:jc w:val="both"/>
      </w:pPr>
      <w:r>
        <w:t>Prezentul regulament al guvernului intră în vigoare în ziua următoare datei promulgării sale, cu excepția dispozițiilor articolului I punctul 4, care intră în vigoare la 1 ianuarie 2025.</w:t>
      </w:r>
    </w:p>
    <w:p w14:paraId="4B0E8C16" w14:textId="77777777" w:rsidR="00CD3059" w:rsidRPr="009C0046" w:rsidRDefault="009C0046">
      <w:pPr>
        <w:pStyle w:val="Zkladntext0"/>
        <w:spacing w:after="40" w:line="300" w:lineRule="auto"/>
        <w:jc w:val="center"/>
      </w:pPr>
      <w:r>
        <w:t>Prim-ministru:</w:t>
      </w:r>
    </w:p>
    <w:p w14:paraId="08210FB2" w14:textId="77777777" w:rsidR="00CD3059" w:rsidRPr="009C0046" w:rsidRDefault="009C0046">
      <w:pPr>
        <w:pStyle w:val="Zkladntext0"/>
        <w:spacing w:after="260" w:line="300" w:lineRule="auto"/>
        <w:jc w:val="center"/>
      </w:pPr>
      <w:r>
        <w:t>prof. PhDr. Fiala, PhD, LL.M., m. p.</w:t>
      </w:r>
    </w:p>
    <w:p w14:paraId="7763E21F" w14:textId="77777777" w:rsidR="00CD3059" w:rsidRDefault="009C0046">
      <w:pPr>
        <w:pStyle w:val="Zkladntext0"/>
        <w:spacing w:after="40" w:line="300" w:lineRule="auto"/>
        <w:jc w:val="center"/>
      </w:pPr>
      <w:r>
        <w:t>Viceprim-ministru și Ministrul Sănătății</w:t>
      </w:r>
    </w:p>
    <w:p w14:paraId="4DE6C3E2" w14:textId="77777777"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t>prof. Dr. Válek, CSc, MBA, EBIR, m. p.</w:t>
      </w:r>
    </w:p>
    <w:p w14:paraId="28F5A26C" w14:textId="77777777" w:rsidR="00CD3059" w:rsidRDefault="009C0046">
      <w:pPr>
        <w:pStyle w:val="Zkladntext0"/>
        <w:spacing w:after="1000" w:line="240" w:lineRule="auto"/>
        <w:jc w:val="center"/>
      </w:pPr>
      <w:r>
        <w:lastRenderedPageBreak/>
        <w:t>ISSN 3029-5092</w:t>
      </w:r>
    </w:p>
    <w:p w14:paraId="7264E398" w14:textId="720F987A" w:rsidR="00CD3059" w:rsidRDefault="009C0046">
      <w:pPr>
        <w:pStyle w:val="Zkladntext0"/>
        <w:spacing w:after="0" w:line="240" w:lineRule="auto"/>
        <w:jc w:val="both"/>
      </w:pPr>
      <w:r>
        <w:t xml:space="preserve">Publicat de: Ministerul de Interne, Nad Štolou 3, CP 21, 170 34 Praga 7• </w:t>
      </w:r>
      <w:r>
        <w:rPr>
          <w:b/>
        </w:rPr>
        <w:t>Biroul editorial al Culegerii de legi și tratate internaționale</w:t>
      </w:r>
      <w:r>
        <w:t>: Ministerul de Interne, nám. Hrdinů 1634/3, CP 155/SB, 140 21 Praga 4, tel.: 974 817 289, e-mail:</w:t>
      </w:r>
      <w:hyperlink r:id="rId10" w:history="1">
        <w:r>
          <w:t xml:space="preserve"> sbirka@mvcr.cz</w:t>
        </w:r>
      </w:hyperlink>
      <w:r>
        <w:t xml:space="preserve"> • Dactilografiere: Tiskárna Ministerstva vnitra [Imprimeria Ministerului de Interne], Bartyňkova 1159/4, căsuța poștală 10, 149 00 Praga 11-Chodov• </w:t>
      </w:r>
      <w:r>
        <w:rPr>
          <w:b/>
        </w:rPr>
        <w:t xml:space="preserve">Versiunea electronică obligatorie din punct de vedere juridic a Culegerii de legi și tratate internaționale este disponibilă la adresa </w:t>
      </w:r>
      <w:hyperlink r:id="rId11" w:history="1">
        <w:r>
          <w:rPr>
            <w:b/>
          </w:rPr>
          <w:t>www.e-sbirka.cz</w:t>
        </w:r>
      </w:hyperlink>
      <w:r>
        <w:t xml:space="preserve"> O versiune tipărită a unei părți din Culegerii de legi și tratate internaționale poate fi comandată de la Imprimeria Ministerului de Interne, telefon: 974 887 312, email: </w:t>
      </w:r>
      <w:hyperlink r:id="rId12" w:history="1">
        <w:r>
          <w:t>info@tmv.cz</w:t>
        </w:r>
      </w:hyperlink>
      <w:r>
        <w:t xml:space="preserve"> </w:t>
      </w:r>
      <w:hyperlink r:id="rId13" w:history="1">
        <w:r>
          <w:t>www.tmv.cz</w:t>
        </w:r>
      </w:hyperlink>
      <w:r>
        <w:t xml:space="preserve"> • Abonamentele se încheie începând cu 1 ianuarie 2024.</w:t>
      </w:r>
    </w:p>
    <w:sectPr w:rsidR="00CD3059">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1206" w14:textId="77777777" w:rsidR="005F2317" w:rsidRDefault="005F2317">
      <w:r>
        <w:separator/>
      </w:r>
    </w:p>
  </w:endnote>
  <w:endnote w:type="continuationSeparator" w:id="0">
    <w:p w14:paraId="38E1C556" w14:textId="77777777" w:rsidR="005F2317" w:rsidRDefault="005F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D14B" w14:textId="77777777" w:rsidR="005F2317" w:rsidRDefault="005F2317"/>
  </w:footnote>
  <w:footnote w:type="continuationSeparator" w:id="0">
    <w:p w14:paraId="79A5DD6A" w14:textId="77777777" w:rsidR="005F2317" w:rsidRDefault="005F2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rPr>
                              <w:i/>
                              <w:sz w:val="17"/>
                            </w:rPr>
                            <w:t xml:space="preserve">Pagina </w:t>
                          </w:r>
                          <w:r>
                            <w:fldChar w:fldCharType="begin"/>
                          </w:r>
                          <w:r>
                            <w:instrText xml:space="preserve"> PAGE \* MERGEFORMAT </w:instrText>
                          </w:r>
                          <w:r>
                            <w:fldChar w:fldCharType="separate"/>
                          </w:r>
                          <w:r>
                            <w:rPr>
                              <w:i/>
                              <w:sz w:val="17"/>
                            </w:rPr>
                            <w:t>#</w:t>
                          </w:r>
                          <w:r>
                            <w:rPr>
                              <w:i/>
                              <w:sz w:val="17"/>
                            </w:rPr>
                            <w:fldChar w:fldCharType="end"/>
                          </w:r>
                          <w:r>
                            <w:rPr>
                              <w:sz w:val="17"/>
                            </w:rPr>
                            <w:tab/>
                          </w:r>
                          <w:r>
                            <w:rPr>
                              <w:i/>
                              <w:iCs/>
                            </w:rPr>
                            <w:t>Legea nr. 52/2024</w:t>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" filled="f" stroked="f">
              <v:textbox style="mso-fit-shape-to-text:t" inset="0,0,0,0">
                <w:txbxContent>
                  <w:p w14:paraId="4152CFD5" w14:textId="77777777" w:rsidR="00CD3059" w:rsidRDefault="009C0046">
                    <w:pPr>
                      <w:pStyle w:val="Zhlavnebozpat20"/>
                      <w:tabs>
                        <w:tab w:val="right" w:pos="5630"/>
                      </w:tabs>
                    </w:pPr>
                    <w:r>
                      <w:rPr>
                        <w:i/>
                        <w:sz w:val="17"/>
                      </w:rPr>
                      <w:t xml:space="preserve">Pagina </w:t>
                    </w:r>
                    <w:r>
                      <w:fldChar w:fldCharType="begin"/>
                    </w:r>
                    <w:r>
                      <w:instrText xml:space="preserve"> PAGE \* MERGEFORMAT </w:instrText>
                    </w:r>
                    <w:r>
                      <w:fldChar w:fldCharType="separate"/>
                    </w:r>
                    <w:r>
                      <w:rPr>
                        <w:i/>
                        <w:sz w:val="17"/>
                      </w:rPr>
                      <w:t>#</w:t>
                    </w:r>
                    <w:r>
                      <w:rPr>
                        <w:i/>
                        <w:sz w:val="17"/>
                      </w:rPr>
                      <w:fldChar w:fldCharType="end"/>
                    </w:r>
                    <w:r>
                      <w:rPr>
                        <w:sz w:val="17"/>
                      </w:rPr>
                      <w:tab/>
                    </w:r>
                    <w:r>
                      <w:rPr>
                        <w:i/>
                        <w:iCs/>
                      </w:rPr>
                      <w:t xml:space="preserve">Legea nr. 52/2024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rPr>
                              <w:i/>
                            </w:rPr>
                            <w:t xml:space="preserve">Legea </w:t>
                          </w:r>
                          <w:r>
                            <w:rPr>
                              <w:i/>
                            </w:rPr>
                            <w:t xml:space="preserve">nr. 52/2024 Sb. </w:t>
                          </w:r>
                          <w:r>
                            <w:rPr>
                              <w:i/>
                              <w:iCs/>
                              <w:sz w:val="17"/>
                            </w:rPr>
                            <w:t>Pagina</w:t>
                          </w:r>
                          <w:r>
                            <w:rPr>
                              <w:sz w:val="17"/>
                            </w:rPr>
                            <w:t xml:space="preserve"> </w:t>
                          </w:r>
                          <w:r>
                            <w:fldChar w:fldCharType="begin"/>
                          </w:r>
                          <w:r>
                            <w:instrText xml:space="preserve"> PAGE \* MERGEFORMAT </w:instrText>
                          </w:r>
                          <w:r>
                            <w:fldChar w:fldCharType="separate"/>
                          </w:r>
                          <w:r>
                            <w:rPr>
                              <w:i/>
                              <w:sz w:val="17"/>
                            </w:rPr>
                            <w:t>#</w:t>
                          </w:r>
                          <w:r>
                            <w:rPr>
                              <w:i/>
                              <w:sz w:val="17"/>
                            </w:rPr>
                            <w:fldChar w:fldCharType="end"/>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rPr>
                        <w:i/>
                      </w:rPr>
                      <w:t xml:space="preserve">Legea nr. 52/2024 Sb. </w:t>
                    </w:r>
                    <w:r>
                      <w:rPr>
                        <w:sz w:val="17"/>
                        <w:i/>
                        <w:iCs/>
                      </w:rPr>
                      <w:t xml:space="preserve">Pagina</w:t>
                    </w:r>
                    <w:r>
                      <w:rPr>
                        <w:sz w:val="17"/>
                      </w:rPr>
                      <w:t xml:space="preserve"> </w:t>
                    </w:r>
                    <w:r>
                      <w:fldChar w:fldCharType="begin"/>
                    </w:r>
                    <w:r>
                      <w:instrText xml:space="preserve"> PAGE \* MERGEFORMAT </w:instrText>
                    </w:r>
                    <w:r>
                      <w:fldChar w:fldCharType="separate"/>
                    </w:r>
                    <w:r>
                      <w:rPr>
                        <w:i/>
                        <w:sz w:val="17"/>
                      </w:rPr>
                      <w:t>#</w:t>
                    </w:r>
                    <w:r>
                      <w:rPr>
                        <w:i/>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37230A"/>
    <w:rsid w:val="005F2317"/>
    <w:rsid w:val="009C0046"/>
    <w:rsid w:val="00A4367D"/>
    <w:rsid w:val="00CD3059"/>
    <w:rsid w:val="00D8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4738</Characters>
  <Application>Microsoft Office Word</Application>
  <DocSecurity>0</DocSecurity>
  <Lines>71</Lines>
  <Paragraphs>31</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2</cp:revision>
  <dcterms:created xsi:type="dcterms:W3CDTF">2024-05-16T11:54:00Z</dcterms:created>
  <dcterms:modified xsi:type="dcterms:W3CDTF">2024-05-16T11:54:00Z</dcterms:modified>
</cp:coreProperties>
</file>