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B755D0">
      <w:pPr>
        <w:spacing w:after="324" w:line="259" w:lineRule="auto"/>
        <w:ind w:left="0" w:right="1" w:firstLine="0"/>
        <w:jc w:val="center"/>
      </w:pPr>
      <w:r>
        <w:rPr>
          <w:rFonts w:ascii="Calibri" w:hAnsi="Calibri"/>
          <w:color w:val="0093D1"/>
          <w:sz w:val="43"/>
        </w:rPr>
        <w:t xml:space="preserve">Nařízení, vyhlášky, oběžníky </w:t>
      </w:r>
    </w:p>
    <w:p w14:paraId="4AC62185" w14:textId="77777777" w:rsidR="00BB5F5A" w:rsidRDefault="00B755D0">
      <w:pPr>
        <w:spacing w:after="420" w:line="259" w:lineRule="auto"/>
        <w:ind w:left="0" w:right="1" w:firstLine="0"/>
        <w:jc w:val="center"/>
      </w:pPr>
      <w:r>
        <w:rPr>
          <w:rFonts w:ascii="Calibri" w:hAnsi="Calibri"/>
          <w:color w:val="393C96"/>
          <w:sz w:val="28"/>
        </w:rPr>
        <w:t xml:space="preserve">OBECNÉ TEXTY </w:t>
      </w:r>
    </w:p>
    <w:p w14:paraId="2E00BDAA" w14:textId="77777777" w:rsidR="00BB5F5A" w:rsidRDefault="00B755D0">
      <w:pPr>
        <w:pStyle w:val="Heading1"/>
        <w:spacing w:after="273"/>
        <w:ind w:right="0"/>
        <w:jc w:val="center"/>
      </w:pPr>
      <w:r>
        <w:rPr>
          <w:rFonts w:ascii="Calibri" w:hAnsi="Calibri"/>
          <w:b/>
          <w:color w:val="393C96"/>
          <w:sz w:val="20"/>
        </w:rPr>
        <w:t xml:space="preserve">Ministerstvo hospodářství, financí a průmyslu </w:t>
      </w:r>
    </w:p>
    <w:p w14:paraId="6D78EE22" w14:textId="77777777" w:rsidR="00BB5F5A" w:rsidRDefault="00B755D0">
      <w:pPr>
        <w:spacing w:after="130" w:line="216" w:lineRule="auto"/>
        <w:ind w:right="1" w:hanging="215"/>
      </w:pPr>
      <w:r>
        <w:rPr>
          <w:rFonts w:ascii="Calibri" w:hAnsi="Calibri"/>
          <w:b/>
          <w:color w:val="5C5D61"/>
        </w:rPr>
        <w:t xml:space="preserve">Nařízení č. 2024-978 ze dne 6. listopadu 2024, kterým se mění zákon č. 2023-451 ze dne 9. června 2023 zaměřený na regulaci komerčního vlivu a boj proti zneužívání vlivných osob na sociálních sítích </w:t>
      </w:r>
    </w:p>
    <w:p w14:paraId="53548437" w14:textId="77777777" w:rsidR="00BB5F5A" w:rsidRDefault="00B755D0">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B755D0">
      <w:pPr>
        <w:ind w:firstLine="0"/>
      </w:pPr>
      <w:r>
        <w:t xml:space="preserve">Prezident republiky, </w:t>
      </w:r>
    </w:p>
    <w:p w14:paraId="60771B53" w14:textId="77777777" w:rsidR="00BB5F5A" w:rsidRDefault="00B755D0">
      <w:pPr>
        <w:spacing w:after="88"/>
        <w:ind w:firstLine="0"/>
      </w:pPr>
      <w:r>
        <w:t>ke zprávě předse</w:t>
      </w:r>
      <w:r>
        <w:t xml:space="preserve">dy vlády a ministra hospodářství, financí a průmyslu, </w:t>
      </w:r>
    </w:p>
    <w:p w14:paraId="54602248" w14:textId="77777777" w:rsidR="00BB5F5A" w:rsidRDefault="00B755D0">
      <w:pPr>
        <w:spacing w:after="30"/>
        <w:ind w:firstLine="0"/>
      </w:pPr>
      <w:r>
        <w:t xml:space="preserve">s ohledem na Ústavu, a to zejména na její článek 38; </w:t>
      </w:r>
    </w:p>
    <w:p w14:paraId="071009EA" w14:textId="77777777" w:rsidR="00BB5F5A" w:rsidRDefault="00B755D0">
      <w:pPr>
        <w:spacing w:after="24"/>
        <w:ind w:left="-15"/>
      </w:pPr>
      <w:r>
        <w:t>s ohledem na směrnici Evropského parlamentu a Rady 2000/31/ES ze dne 8. června 2000 o některých právních aspektech služeb informační společnosti, z</w:t>
      </w:r>
      <w:r>
        <w:t xml:space="preserve">ejména elektronického obchodu, na vnitřním trhu (směrnice o elektronickém obchodu) </w:t>
      </w:r>
    </w:p>
    <w:p w14:paraId="0D58FCC0" w14:textId="77777777" w:rsidR="00BB5F5A" w:rsidRDefault="00B755D0">
      <w:pPr>
        <w:spacing w:after="24"/>
        <w:ind w:left="-15"/>
      </w:pPr>
      <w:r>
        <w:t>s ohledem na směrnici Evropského parlamentu a Rady 2005/29/ES ze dne 11. května 2005 o nekalých obchodních praktikách vůči spotřebitelům na vnitřním trhu a o změně směrnice</w:t>
      </w:r>
      <w:r>
        <w:t xml:space="preserve"> Rady 84/450/EHS, směrnic Evropského parlamentu a Rady 97/7/ES, 98/27/ES a 2002/65/ES a nařízení Evropského parlamentu a Rady (ES) č. 2006/2004 (směrnice o nekalých obchodních praktikách) </w:t>
      </w:r>
    </w:p>
    <w:p w14:paraId="29E501B5" w14:textId="77777777" w:rsidR="00BB5F5A" w:rsidRDefault="00B755D0">
      <w:pPr>
        <w:spacing w:after="23"/>
        <w:ind w:left="-15"/>
      </w:pPr>
      <w:r>
        <w:t>s ohledem na směrnici Evropského parlamentu a Rady 2010/13/EU ze dn</w:t>
      </w:r>
      <w:r>
        <w:t xml:space="preserve">e 10. března 2010 o koordinaci některých právních a správních předpisů členských států upravujících poskytování audiovizuálních mediálních služeb (směrnice o audiovizuálních mediálních službách); </w:t>
      </w:r>
    </w:p>
    <w:p w14:paraId="517F39D2" w14:textId="77777777" w:rsidR="00BB5F5A" w:rsidRDefault="00B755D0">
      <w:pPr>
        <w:ind w:left="-15"/>
      </w:pPr>
      <w:r>
        <w:t>s ohledem na směrnici Evropského parlamentu a Rady (EU) 201</w:t>
      </w:r>
      <w:r>
        <w:t xml:space="preserve">5/1535 ze dne 9. září 2015 o postupu při poskytování informací v oblasti technických předpisů a předpisů pro služby informační společnosti; </w:t>
      </w:r>
    </w:p>
    <w:p w14:paraId="18DA088E" w14:textId="77777777" w:rsidR="00BB5F5A" w:rsidRDefault="00B755D0">
      <w:pPr>
        <w:spacing w:after="30"/>
        <w:ind w:firstLine="0"/>
      </w:pPr>
      <w:r>
        <w:t xml:space="preserve">s ohledem na zákoník o správním soudnictví, a zejména na článek R. 123-20 tohoto zákoníku; </w:t>
      </w:r>
    </w:p>
    <w:p w14:paraId="7F86EC33" w14:textId="77777777" w:rsidR="00BB5F5A" w:rsidRDefault="00B755D0">
      <w:pPr>
        <w:spacing w:after="25"/>
        <w:ind w:left="-15"/>
      </w:pPr>
      <w:r>
        <w:t xml:space="preserve">s ohledem na zákon č. 2023-451 ze dne 9. června 2023, jehož cílem je regulace komerčního vlivu a boj proti zneužívání vlivných osob na sociálních sítích; </w:t>
      </w:r>
    </w:p>
    <w:p w14:paraId="76205EB4" w14:textId="77777777" w:rsidR="00BB5F5A" w:rsidRDefault="00B755D0">
      <w:pPr>
        <w:ind w:left="-15"/>
      </w:pPr>
      <w:r>
        <w:t>s ohledem na zákon č. 2024-364 ze dne 22. dubna 2024, kterým se stanoví různá ustanovení upravující z</w:t>
      </w:r>
      <w:r>
        <w:t xml:space="preserve">áležitosti týkající se hospodářství, financí, ekologické transformace, trestního práva, sociálního práva a zemědělství v souladu s právem Evropské unie, a zejména na článek 3 uvedeného zákona; </w:t>
      </w:r>
    </w:p>
    <w:p w14:paraId="52DE1B19" w14:textId="77777777" w:rsidR="00BB5F5A" w:rsidRDefault="00B755D0">
      <w:pPr>
        <w:ind w:firstLine="0"/>
      </w:pPr>
      <w:r>
        <w:t xml:space="preserve">s ohledem na oznámení č. 2024/0379/FR zaslané Evropské komisi </w:t>
      </w:r>
      <w:r>
        <w:t xml:space="preserve">dne 3. července 2024, </w:t>
      </w:r>
    </w:p>
    <w:p w14:paraId="2DC263BA" w14:textId="77777777" w:rsidR="00BB5F5A" w:rsidRDefault="00B755D0">
      <w:pPr>
        <w:spacing w:after="214"/>
        <w:ind w:right="5040" w:firstLine="0"/>
      </w:pPr>
      <w:r>
        <w:t xml:space="preserve">po vyslechnutí Státní rady (finanční sekce), po vyslechnutí Rady ministrů, </w:t>
      </w:r>
    </w:p>
    <w:p w14:paraId="1578A1A7" w14:textId="77777777" w:rsidR="00BB5F5A" w:rsidRDefault="00B755D0">
      <w:pPr>
        <w:spacing w:after="146"/>
        <w:ind w:left="1077" w:firstLine="0"/>
      </w:pPr>
      <w:r>
        <w:t xml:space="preserve">nařizuje: </w:t>
      </w:r>
    </w:p>
    <w:p w14:paraId="4FDE374B" w14:textId="77777777" w:rsidR="00BB5F5A" w:rsidRDefault="00B755D0">
      <w:pPr>
        <w:spacing w:after="105" w:line="259" w:lineRule="auto"/>
        <w:ind w:left="10" w:right="1" w:hanging="10"/>
        <w:jc w:val="center"/>
      </w:pPr>
      <w:r>
        <w:rPr>
          <w:rFonts w:ascii="Calibri" w:hAnsi="Calibri"/>
          <w:b/>
        </w:rPr>
        <w:t>Článek 1</w:t>
      </w:r>
      <w:r>
        <w:rPr>
          <w:rFonts w:ascii="Calibri" w:hAnsi="Calibri"/>
          <w:b/>
          <w:sz w:val="17"/>
          <w:vertAlign w:val="superscript"/>
        </w:rPr>
        <w:t xml:space="preserve"> </w:t>
      </w:r>
    </w:p>
    <w:p w14:paraId="1AFC17DB" w14:textId="77777777" w:rsidR="00BB5F5A" w:rsidRDefault="00B755D0">
      <w:pPr>
        <w:spacing w:after="119"/>
        <w:ind w:left="-15"/>
      </w:pPr>
      <w:r>
        <w:t>Zákon č. 2023-451 ze dne 9. června 2023, jehož cílem je regulace obchodního vlivu a boj proti zneužívání influencerů na sociálních sítíc</w:t>
      </w:r>
      <w:r>
        <w:t xml:space="preserve">h, se mění takto: </w:t>
      </w:r>
    </w:p>
    <w:p w14:paraId="542BFDB4" w14:textId="77777777" w:rsidR="00BB5F5A" w:rsidRDefault="00B755D0">
      <w:pPr>
        <w:numPr>
          <w:ilvl w:val="0"/>
          <w:numId w:val="1"/>
        </w:numPr>
        <w:spacing w:after="85"/>
        <w:ind w:hanging="305"/>
      </w:pPr>
      <w:r>
        <w:t xml:space="preserve">– článek 1 se nahrazuje následujícími ustanoveními: </w:t>
      </w:r>
    </w:p>
    <w:p w14:paraId="36B0D7BB" w14:textId="77777777" w:rsidR="00BB5F5A" w:rsidRDefault="00B755D0">
      <w:pPr>
        <w:spacing w:after="135"/>
        <w:ind w:left="-15"/>
      </w:pPr>
      <w:r>
        <w:t xml:space="preserve">„ </w:t>
      </w:r>
      <w:r>
        <w:rPr>
          <w:i/>
        </w:rPr>
        <w:t xml:space="preserve">„Článek 1. – </w:t>
      </w:r>
      <w:r>
        <w:t xml:space="preserve">Fyzické nebo právnické osoby, které za úplatu využívají svého dobrého jména mezi svými posluchači ke sdělování obsahu veřejnosti elektronickými prostředky s cílem přímo </w:t>
      </w:r>
      <w:r>
        <w:t xml:space="preserve">či nepřímo propagovat zboží, služby nebo jakoukoli věc, vykonávají činnost obchodního ovlivňování elektronickými prostředky.“; </w:t>
      </w:r>
    </w:p>
    <w:p w14:paraId="3950E5A5" w14:textId="77777777" w:rsidR="00BB5F5A" w:rsidRDefault="00B755D0">
      <w:pPr>
        <w:numPr>
          <w:ilvl w:val="0"/>
          <w:numId w:val="1"/>
        </w:numPr>
        <w:spacing w:after="79"/>
        <w:ind w:hanging="305"/>
      </w:pPr>
      <w:r>
        <w:t xml:space="preserve">– Článek 4 se nahrazuje níže uvedenými ustanoveními: </w:t>
      </w:r>
    </w:p>
    <w:p w14:paraId="6F86B412" w14:textId="77777777" w:rsidR="00BB5F5A" w:rsidRDefault="00B755D0">
      <w:pPr>
        <w:ind w:left="-15"/>
      </w:pPr>
      <w:r>
        <w:t xml:space="preserve">„ </w:t>
      </w:r>
      <w:r>
        <w:rPr>
          <w:i/>
        </w:rPr>
        <w:t xml:space="preserve">Článek 4. – </w:t>
      </w:r>
      <w:r>
        <w:t>I. —Jakákoli přímá či nepřímá propagace aktů, procesů, techn</w:t>
      </w:r>
      <w:r>
        <w:t>ik a metod s estetickým účelem, které mohou představovat riziko pro zdraví osob uvedených v článku L. 1151-2 zákoníku veřejného zdraví, jakož i zásahy uvedené v článku L. 6322-1 tohoto zákoníku, je zakázána osobám vykonávajícím činnost obchodního vlivu ele</w:t>
      </w:r>
      <w:r>
        <w:t xml:space="preserve">ktronickými prostředky. </w:t>
      </w:r>
    </w:p>
    <w:p w14:paraId="1DB6FB2C" w14:textId="77777777" w:rsidR="00BB5F5A" w:rsidRDefault="00B755D0">
      <w:pPr>
        <w:ind w:left="-15"/>
      </w:pPr>
      <w:r>
        <w:t>„II. —  Jakákoli přímá nebo nepřímá propagace výrobků, postupů, procesů, technik a neléčebných metod, které jsou prezentovány jako srovnatelné, lepší nebo nahraditelné léčebnými postupy, protokoly nebo předpisy, je osobám vykonávaj</w:t>
      </w:r>
      <w:r>
        <w:t xml:space="preserve">ícím činnost obchodního ovlivňování elektronickými prostředky zakázána. </w:t>
      </w:r>
    </w:p>
    <w:p w14:paraId="0FCE785E" w14:textId="77777777" w:rsidR="00BB5F5A" w:rsidRDefault="00B755D0">
      <w:pPr>
        <w:ind w:left="-15"/>
      </w:pPr>
      <w:r>
        <w:lastRenderedPageBreak/>
        <w:t>„III. —  Osobám, které vykonávají činnost obchodního ovlivňování elektronickými prostředky, se zakazuje jakákoli přímá či nepřímá propagace výrobků považovaných za nikotinové produkty</w:t>
      </w:r>
      <w:r>
        <w:t xml:space="preserve">, které lze konzumovat a které se skládají, byť jen částečně, z nikotinu. </w:t>
      </w:r>
    </w:p>
    <w:p w14:paraId="7EEC5628" w14:textId="77777777" w:rsidR="00BB5F5A" w:rsidRDefault="00B755D0">
      <w:pPr>
        <w:spacing w:after="130"/>
        <w:ind w:left="-15"/>
      </w:pPr>
      <w:r>
        <w:t>„IV. —  Jakákoli přímá nebo nepřímá propagace zahrnující zvířata, která nejsou na seznamu uvedeném v části I článku L. 413-1 A zákoníku životního prostředí, je zakázána osobám, kter</w:t>
      </w:r>
      <w:r>
        <w:t xml:space="preserve">é se zabývají obchodním ovlivňováním prostřednictvím elektronických prostředků. Tento zákaz se nevztahuje na zařízení oprávněná chovat uvedená zvířata v souladu s článkem L. 413-3 uvedeného zákoníku. </w:t>
      </w:r>
    </w:p>
    <w:p w14:paraId="4BB23C95" w14:textId="77777777" w:rsidR="00BB5F5A" w:rsidRDefault="00B755D0">
      <w:pPr>
        <w:spacing w:after="77"/>
        <w:ind w:left="-15"/>
      </w:pPr>
      <w:r>
        <w:t>„V. —  Osobám vykonávajícím činnost obchodního vlivu el</w:t>
      </w:r>
      <w:r>
        <w:t xml:space="preserve">ektronickými prostředky je zakázána jakákoli přímá či nepřímá propagace těchto finančních produktů a služeb: </w:t>
      </w:r>
    </w:p>
    <w:p w14:paraId="0FCB0A4E" w14:textId="77777777" w:rsidR="00BB5F5A" w:rsidRDefault="00B755D0">
      <w:pPr>
        <w:ind w:firstLine="0"/>
      </w:pPr>
      <w:r>
        <w:t>„1</w:t>
      </w:r>
      <w:r>
        <w:rPr>
          <w:sz w:val="17"/>
          <w:vertAlign w:val="superscript"/>
        </w:rPr>
        <w:t xml:space="preserve">o </w:t>
      </w:r>
      <w:r>
        <w:t xml:space="preserve">Finanční smlouvy definované v článku L. 533-12-7 měnového a finančního zákoníku; </w:t>
      </w:r>
    </w:p>
    <w:p w14:paraId="7B571492" w14:textId="77777777" w:rsidR="00BB5F5A" w:rsidRDefault="00B755D0">
      <w:pPr>
        <w:spacing w:after="34"/>
        <w:ind w:left="-15"/>
      </w:pPr>
      <w:r>
        <w:t>„2</w:t>
      </w:r>
      <w:r>
        <w:rPr>
          <w:sz w:val="17"/>
          <w:vertAlign w:val="superscript"/>
        </w:rPr>
        <w:t xml:space="preserve">o </w:t>
      </w:r>
      <w:r>
        <w:t>Poskytování služeb na digitálních prostředcích ve smyslu článku L. 54-10-2 téhož zákoníku, s výjimkou těch, pro jejichž poskytování je inzerent registrován za podmínek stanovených v článku L. 54-10-3 uvedeného zákoníku nebo schválen za podmínek stanovených</w:t>
      </w:r>
      <w:r>
        <w:t xml:space="preserve"> v článku L. 54-10-5 tohoto zákoníku; </w:t>
      </w:r>
    </w:p>
    <w:p w14:paraId="56BD14C2" w14:textId="77777777" w:rsidR="00BB5F5A" w:rsidRDefault="00B755D0">
      <w:pPr>
        <w:spacing w:after="31"/>
        <w:ind w:left="-15"/>
      </w:pPr>
      <w:r>
        <w:t>„3</w:t>
      </w:r>
      <w:r>
        <w:rPr>
          <w:sz w:val="17"/>
          <w:vertAlign w:val="superscript"/>
        </w:rPr>
        <w:t xml:space="preserve">o </w:t>
      </w:r>
      <w:r>
        <w:t xml:space="preserve">Nabídky žetonů veřejnosti ve smyslu článku L. 552-3 téhož zákoníku, s výjimkou případů, kdy inzerent získal povolení podle článku L. 552-4 tohoto zákoníku; </w:t>
      </w:r>
    </w:p>
    <w:p w14:paraId="2ED229B9" w14:textId="77777777" w:rsidR="00BB5F5A" w:rsidRDefault="00B755D0">
      <w:pPr>
        <w:ind w:left="-15"/>
      </w:pPr>
      <w:r>
        <w:t>„4</w:t>
      </w:r>
      <w:r>
        <w:rPr>
          <w:sz w:val="17"/>
          <w:vertAlign w:val="superscript"/>
        </w:rPr>
        <w:t xml:space="preserve">o </w:t>
      </w:r>
      <w:r>
        <w:t>Digitální aktiva, s výjimkou těch, která jsou spojen</w:t>
      </w:r>
      <w:r>
        <w:t>a se službami, pro něž je inzerent registrován za podmínek stanovených v článku L. 5410-3 tohoto zákoníku nebo schválen za podmínek stanovených v článku L. 54-10-5 tohoto zákoníku, nebo pokud inzerent nespadá do působnosti článků L. 54-10-3 a L. 54-10-5 té</w:t>
      </w:r>
      <w:r>
        <w:t xml:space="preserve">hož zákoníku. </w:t>
      </w:r>
    </w:p>
    <w:p w14:paraId="4F97707A" w14:textId="77777777" w:rsidR="00BB5F5A" w:rsidRDefault="00B755D0">
      <w:pPr>
        <w:ind w:left="-15"/>
      </w:pPr>
      <w:r>
        <w:t xml:space="preserve">„ „Nedodržení ustanovení tohoto V podléhá sankcím stanoveným v pátém odstavci článku L. 222-16-1 a předposledním odstavci článku L. 222-16-2 spotřebitelského zákoníku. </w:t>
      </w:r>
    </w:p>
    <w:p w14:paraId="7FC2E317" w14:textId="77777777" w:rsidR="00BB5F5A" w:rsidRDefault="00B755D0">
      <w:pPr>
        <w:ind w:left="-15"/>
      </w:pPr>
      <w:r>
        <w:t>„ „VI. – Osobám, které vykonávají činnost obchodního ovlivňování elektro</w:t>
      </w:r>
      <w:r>
        <w:t xml:space="preserve">nickými prostředky, se zakazuje jakákoli přímá nebo nepřímá propagace předplatného sportovních tipů nebo předpovědí. </w:t>
      </w:r>
    </w:p>
    <w:p w14:paraId="728EE356" w14:textId="77777777" w:rsidR="00BB5F5A" w:rsidRDefault="00B755D0">
      <w:pPr>
        <w:ind w:left="-15"/>
      </w:pPr>
      <w:r>
        <w:t>„VII. — Obchodní sdělení elektronickými prostředky od osob uvedených v článku 1 tohoto zákona týkající se hazardních a hazardních her ve s</w:t>
      </w:r>
      <w:r>
        <w:t>myslu článků L. 320-1 a L. 320-6 zákoníku vnitřní bezpečnosti jsou povolena pouze na online platformách, které nabízejí technickou možnost vyloučit z publika uvedeného obsahu všechny uživatele mladší osmnácti let a pokud je tento mechanismus vyloučení těmi</w:t>
      </w:r>
      <w:r>
        <w:t xml:space="preserve">to osobami účinně aktivován.  </w:t>
      </w:r>
    </w:p>
    <w:p w14:paraId="6EB44F5A" w14:textId="77777777" w:rsidR="00BB5F5A" w:rsidRDefault="00B755D0">
      <w:pPr>
        <w:ind w:left="-15"/>
      </w:pPr>
      <w:r>
        <w:t xml:space="preserve">„K těmto obchodním sdělením se přikládá prohlášení, že uvedený obsah je zakázán osobám mladším 18 let.  Toto prohlášení musí být jasné, čitelné a srozumitelné na jakémkoli použitém médiu. </w:t>
      </w:r>
    </w:p>
    <w:p w14:paraId="16552C4E" w14:textId="77777777" w:rsidR="00BB5F5A" w:rsidRDefault="00B755D0">
      <w:pPr>
        <w:ind w:left="-15"/>
      </w:pPr>
      <w:r>
        <w:t>„Mechanismy vyloučení stanovené v té</w:t>
      </w:r>
      <w:r>
        <w:t xml:space="preserve">to části VII musí být v souladu s referenčním rámcem vypracovaným regulačním orgánem pro audiovizuální a digitální komunikaci po konzultaci s Národním orgánem pro hazardní hry a Národní komisí pro informatiku a svobody.  </w:t>
      </w:r>
    </w:p>
    <w:p w14:paraId="5C916282" w14:textId="77777777" w:rsidR="00BB5F5A" w:rsidRDefault="00B755D0">
      <w:pPr>
        <w:ind w:left="-15"/>
      </w:pPr>
      <w:r>
        <w:t>„Smlouvy o propagaci uzavírané s p</w:t>
      </w:r>
      <w:r>
        <w:t xml:space="preserve">rovozovateli hazardních her obsahují ustanovení, kterým osoby definované v článku 1 tohoto zákona potvrzují, že jsou seznámeny s právními předpisy platnými pro obchodní sdělení týkající se hazardních her a zavazují se je dodržovat.  </w:t>
      </w:r>
    </w:p>
    <w:p w14:paraId="507CFB94" w14:textId="77777777" w:rsidR="00BB5F5A" w:rsidRDefault="00B755D0">
      <w:pPr>
        <w:spacing w:after="122"/>
        <w:ind w:left="-15"/>
      </w:pPr>
      <w:r>
        <w:t>„Nedodržení ustanovení</w:t>
      </w:r>
      <w:r>
        <w:t xml:space="preserve"> tohoto článku VII se trestá pokutou stanovenou v článku L. 324-8-1 zákoníku vnitřní bezpečnosti.  </w:t>
      </w:r>
    </w:p>
    <w:p w14:paraId="65CC3B40" w14:textId="77777777" w:rsidR="00BB5F5A" w:rsidRDefault="00B755D0">
      <w:pPr>
        <w:spacing w:after="93"/>
        <w:ind w:firstLine="0"/>
      </w:pPr>
      <w:r>
        <w:t>„ VIII. – V článku L. 6323-8-1 zákoníku práce se za bod 2</w:t>
      </w:r>
      <w:r>
        <w:rPr>
          <w:sz w:val="17"/>
          <w:vertAlign w:val="superscript"/>
        </w:rPr>
        <w:t xml:space="preserve">o </w:t>
      </w:r>
      <w:r>
        <w:t xml:space="preserve">vkládá nový odstavec: </w:t>
      </w:r>
    </w:p>
    <w:p w14:paraId="6709E1F6" w14:textId="77777777" w:rsidR="00BB5F5A" w:rsidRDefault="00B755D0">
      <w:pPr>
        <w:ind w:left="-15"/>
      </w:pPr>
      <w:r>
        <w:t xml:space="preserve">„Zakazuje se rovněž jakýkoli prodej nebo propagační nabídka produktu nebo </w:t>
      </w:r>
      <w:r>
        <w:t xml:space="preserve">jakákoli platba výměnou za přihlášení k akcím uvedeným ve stejném článku L. 6323-6. </w:t>
      </w:r>
    </w:p>
    <w:p w14:paraId="012E80CC" w14:textId="77777777" w:rsidR="00BB5F5A" w:rsidRDefault="00B755D0">
      <w:pPr>
        <w:ind w:left="-15"/>
      </w:pPr>
      <w:r>
        <w:t xml:space="preserve">„ IX. — Porušení ustanovení I až IV a VI tohoto článku se trestá podle článku L. 132-2 spotřebitelského zákoníku. </w:t>
      </w:r>
    </w:p>
    <w:p w14:paraId="700FD132" w14:textId="77777777" w:rsidR="00BB5F5A" w:rsidRDefault="00B755D0">
      <w:pPr>
        <w:spacing w:after="143"/>
        <w:ind w:left="-15"/>
      </w:pPr>
      <w:r>
        <w:t>„ Za tyto trestné činy a za trestný čin uvedený v bodě V</w:t>
      </w:r>
      <w:r>
        <w:t>II může být pachateli rovněž trvale nebo dočasně zakázáno, v souladu s postupy stanovenými v článku 131-27 trestního zákoníku, vykonávat profesní nebo společenskou činnost, při jejímž výkonu nebo v souvislosti s jejímž výkonem byl trestný čin spáchán, nebo</w:t>
      </w:r>
      <w:r>
        <w:t xml:space="preserve"> činnost obchodního ovlivňování elektronickými prostředky definovanou v článku 1 tohoto zákona. </w:t>
      </w:r>
    </w:p>
    <w:p w14:paraId="29D9691F" w14:textId="77777777" w:rsidR="00BB5F5A" w:rsidRDefault="00B755D0">
      <w:pPr>
        <w:spacing w:after="81"/>
        <w:ind w:firstLine="0"/>
      </w:pPr>
      <w:r>
        <w:t>„ X. – V článku L. 511-7 spotřebitelského zákoníku se za bod 31</w:t>
      </w:r>
      <w:r>
        <w:rPr>
          <w:sz w:val="17"/>
          <w:vertAlign w:val="superscript"/>
        </w:rPr>
        <w:t xml:space="preserve">o </w:t>
      </w:r>
      <w:r>
        <w:t>vkládá nový bod 32</w:t>
      </w:r>
      <w:r>
        <w:rPr>
          <w:sz w:val="17"/>
          <w:vertAlign w:val="superscript"/>
        </w:rPr>
        <w:t>o</w:t>
      </w:r>
      <w:r>
        <w:t xml:space="preserve">: </w:t>
      </w:r>
    </w:p>
    <w:p w14:paraId="14A29651" w14:textId="77777777" w:rsidR="00BB5F5A" w:rsidRDefault="00B755D0">
      <w:pPr>
        <w:spacing w:after="0" w:line="302" w:lineRule="auto"/>
        <w:ind w:left="-15" w:right="-15"/>
        <w:jc w:val="left"/>
      </w:pPr>
      <w:r>
        <w:t>„32</w:t>
      </w:r>
      <w:r>
        <w:rPr>
          <w:sz w:val="17"/>
          <w:vertAlign w:val="superscript"/>
        </w:rPr>
        <w:t xml:space="preserve">o </w:t>
      </w:r>
      <w:r>
        <w:t>V článku 4 zákona č. 2023-451 ze dne 9. června 2023, jehož cílem je</w:t>
      </w:r>
      <w:r>
        <w:t xml:space="preserve"> regulace komerčního vlivu a boj proti zneužívání vlivných osob na sociálních sítích.“; III. — Článek 5 se nahrazuje tímto: </w:t>
      </w:r>
    </w:p>
    <w:p w14:paraId="3C6D62EA" w14:textId="77777777" w:rsidR="00BB5F5A" w:rsidRDefault="00B755D0">
      <w:pPr>
        <w:ind w:left="-15"/>
      </w:pPr>
      <w:r>
        <w:t xml:space="preserve">„ </w:t>
      </w:r>
      <w:r>
        <w:rPr>
          <w:i/>
        </w:rPr>
        <w:t xml:space="preserve">Článek 5. – </w:t>
      </w:r>
      <w:r>
        <w:t xml:space="preserve">I. – Obsah sdělený osobami uvedenými v článku 1 tohoto zákona, včetně snímků, které byly předmětem: </w:t>
      </w:r>
    </w:p>
    <w:p w14:paraId="4B787B68" w14:textId="77777777" w:rsidR="00BB5F5A" w:rsidRDefault="00B755D0">
      <w:pPr>
        <w:spacing w:after="31"/>
        <w:ind w:left="-15"/>
      </w:pPr>
      <w:r>
        <w:t>„1</w:t>
      </w:r>
      <w:r>
        <w:rPr>
          <w:sz w:val="17"/>
          <w:vertAlign w:val="superscript"/>
        </w:rPr>
        <w:t xml:space="preserve">o </w:t>
      </w:r>
      <w:r>
        <w:t>Úpravy prove</w:t>
      </w:r>
      <w:r>
        <w:t xml:space="preserve">dené jakoukoli technikou zpracování obrazu za účelem zjemnění nebo zhuštění siluety nebo úpravy vzhledu obličeje jsou doplněny těmito výrazy: „Upravené snímky“; </w:t>
      </w:r>
    </w:p>
    <w:p w14:paraId="68231ACC" w14:textId="77777777" w:rsidR="00BB5F5A" w:rsidRDefault="00B755D0">
      <w:pPr>
        <w:ind w:left="-15"/>
      </w:pPr>
      <w:r>
        <w:t>„2</w:t>
      </w:r>
      <w:r>
        <w:rPr>
          <w:sz w:val="17"/>
          <w:vertAlign w:val="superscript"/>
        </w:rPr>
        <w:t xml:space="preserve">o </w:t>
      </w:r>
      <w:r>
        <w:t>Produkce využívající jakýkoli proces umělé inteligence k zobrazení obličeje nebo siluety j</w:t>
      </w:r>
      <w:r>
        <w:t xml:space="preserve">sou doprovázeny výrazy: „Virtuální snímky“. </w:t>
      </w:r>
    </w:p>
    <w:p w14:paraId="25C7F208" w14:textId="77777777" w:rsidR="00BB5F5A" w:rsidRDefault="00B755D0">
      <w:pPr>
        <w:ind w:left="-15"/>
      </w:pPr>
      <w:r>
        <w:lastRenderedPageBreak/>
        <w:t xml:space="preserve">„ Výrazy uvedené v této části I musí být jasné, čitelné a srozumitelné na jakémkoli použitém médiu. </w:t>
      </w:r>
      <w:r>
        <w:t xml:space="preserve">Mohou být nahrazeny rovnocenným výrazem přizpůsobeným charakteristikám ovlivňující činnosti a formátu použitého komunikačního média. </w:t>
      </w:r>
    </w:p>
    <w:p w14:paraId="029CE24B" w14:textId="77777777" w:rsidR="00BB5F5A" w:rsidRDefault="00B755D0">
      <w:pPr>
        <w:ind w:left="-15"/>
      </w:pPr>
      <w:r>
        <w:t>„ II. — Pokud je propagace prováděna osobami uvedenými v článku 1 tohoto zákona a týká se zápisu do odborného kurzu uveden</w:t>
      </w:r>
      <w:r>
        <w:t>ého v článku L. 6313-1 zákoníku práce, který je financován jedním ze subjektů uvedených v článku L. 6316-1 téhož zákoníku, odkazy stanovené v článku 5-2 tohoto zákona zahrnují informace týkající se financování, souvisejících závazků a pravidel způsobilosti</w:t>
      </w:r>
      <w:r>
        <w:t xml:space="preserve">, identifikaci poskytovatele (poskytovatelů) služeb odpovědného (odpovědných) za tento kurz odborné přípravy a poskytovatele služeb uvedeného v elektronické službě uvedené v článku L. 6323-9 zákoníku práce. </w:t>
      </w:r>
    </w:p>
    <w:p w14:paraId="57A2125D" w14:textId="77777777" w:rsidR="00BB5F5A" w:rsidRDefault="00B755D0">
      <w:pPr>
        <w:ind w:left="-15"/>
      </w:pPr>
      <w:r>
        <w:t>„ III. – Porušení ustanovení částí I a II tohoto</w:t>
      </w:r>
      <w:r>
        <w:t xml:space="preserve"> článku se trestá odnětím svobody na jeden rok a pokutou ve výši 4 500 EUR. </w:t>
      </w:r>
    </w:p>
    <w:p w14:paraId="7FA75FB0" w14:textId="77777777" w:rsidR="00BB5F5A" w:rsidRDefault="00B755D0">
      <w:pPr>
        <w:spacing w:after="143"/>
        <w:ind w:firstLine="0"/>
      </w:pPr>
      <w:r>
        <w:t>„ IV. — Postupy pro použití ustanovení částí I a II tohoto článku jsou stanoveny vyhláškou Státní rady.“;</w:t>
      </w:r>
      <w:r>
        <w:br/>
        <w:t xml:space="preserve">„ </w:t>
      </w:r>
    </w:p>
    <w:p w14:paraId="530ED4FA" w14:textId="77777777" w:rsidR="00BB5F5A" w:rsidRDefault="00B755D0">
      <w:pPr>
        <w:spacing w:after="92"/>
        <w:ind w:firstLine="0"/>
      </w:pPr>
      <w:r>
        <w:t xml:space="preserve">IV. – Za článek 5 se vkládají dva články 5-1 a 5-2, které znějí: </w:t>
      </w:r>
    </w:p>
    <w:p w14:paraId="7B0D6657" w14:textId="77777777" w:rsidR="00BB5F5A" w:rsidRDefault="00B755D0">
      <w:pPr>
        <w:ind w:left="-15"/>
      </w:pPr>
      <w:r>
        <w:t xml:space="preserve">„ </w:t>
      </w:r>
      <w:r>
        <w:rPr>
          <w:i/>
        </w:rPr>
        <w:t>Čl</w:t>
      </w:r>
      <w:r>
        <w:rPr>
          <w:i/>
        </w:rPr>
        <w:t xml:space="preserve">ánek 5-1. – </w:t>
      </w:r>
      <w:r>
        <w:t>I. – Ustanovení čl. 4 bodů I až III se nevztahují na poskytovatele mediálních služeb ve smyslu směrnice Evropského parlamentu a Rady 2010/13/EU ze dne 10. března 2010, kteří spadají pod jurisdikci jiného členského státu Evropského hospodářského</w:t>
      </w:r>
      <w:r>
        <w:t xml:space="preserve"> prostoru ve smyslu čl. 2 odst. 2 uvedené směrnice. Vztahují se však na tyto dodavatele, pokud spadají pod francouzskou jurisdikci. </w:t>
      </w:r>
    </w:p>
    <w:p w14:paraId="4C1C0A8C" w14:textId="77777777" w:rsidR="00BB5F5A" w:rsidRDefault="00B755D0">
      <w:pPr>
        <w:ind w:left="-15"/>
      </w:pPr>
      <w:r>
        <w:t xml:space="preserve">„ Jsou-li však splněny podmínky stanovené v čl. 3 odst. 2 až 3 nebo čl. 4 odst. 2 až 5 této směrnice a po ukončení postupu </w:t>
      </w:r>
      <w:r>
        <w:t xml:space="preserve">stanoveného v těchto ustanoveních, správní orgán informuje dotyčnou osobu o ustanoveních, která se na ni vztahují, s výhradou příslušných sankcí, o dotčené službě. </w:t>
      </w:r>
    </w:p>
    <w:p w14:paraId="6ACD68E9" w14:textId="77777777" w:rsidR="00BB5F5A" w:rsidRDefault="00B755D0">
      <w:pPr>
        <w:ind w:left="-15"/>
      </w:pPr>
      <w:r>
        <w:t>„ II. – S výhradou bodu I, pokud jde o použití ustanovení částí I až III článku 4 na poskyt</w:t>
      </w:r>
      <w:r>
        <w:t xml:space="preserve">ovatele mediálních služeb, se ustanovení článků 4 a 5 nevztahují na osoby usazené v jiném smluvním státě Evropského hospodářského prostoru. </w:t>
      </w:r>
    </w:p>
    <w:p w14:paraId="653E9A7E" w14:textId="77777777" w:rsidR="00BB5F5A" w:rsidRDefault="00B755D0">
      <w:pPr>
        <w:ind w:left="-15"/>
      </w:pPr>
      <w:r>
        <w:t>„ Jsou-li však splněny podmínky uvedené v čl. 3 odst. 4 až 5 směrnice Evropského parlamentu a Rady 2000/31/ES ze dn</w:t>
      </w:r>
      <w:r>
        <w:t xml:space="preserve">e 8. června 2000, správní orgán postupem podle stejných ustanovení informuje dotyčnou osobu o ustanoveních, která se na ni vztahují, s výhradou příslušných sankcí, a o příslušné službě. </w:t>
      </w:r>
    </w:p>
    <w:p w14:paraId="2DB9CAB0" w14:textId="77777777" w:rsidR="00BB5F5A" w:rsidRDefault="00B755D0">
      <w:pPr>
        <w:spacing w:after="92"/>
        <w:ind w:firstLine="0"/>
      </w:pPr>
      <w:r>
        <w:t>„ III. – Postupy pro provádění tohoto článku jsou stanoveny vyhláškou</w:t>
      </w:r>
      <w:r>
        <w:t xml:space="preserve"> Státní rady. </w:t>
      </w:r>
    </w:p>
    <w:p w14:paraId="4BA17F87" w14:textId="77777777" w:rsidR="00BB5F5A" w:rsidRDefault="00B755D0">
      <w:pPr>
        <w:ind w:left="-15"/>
      </w:pPr>
      <w:r>
        <w:t xml:space="preserve">„ </w:t>
      </w:r>
      <w:r>
        <w:rPr>
          <w:i/>
        </w:rPr>
        <w:t xml:space="preserve">Článek 5-2. – </w:t>
      </w:r>
      <w:r>
        <w:t>Klamavou obchodní praktikou ve smyslu článku L. 121-3 spotřebitelského zákoníku a za podmínek stanovených v témže článku je, pokud fyzická nebo právnická osoba vykonávající vlivnou činnost ve smyslu článku 1 tohoto zákona neu</w:t>
      </w:r>
      <w:r>
        <w:t xml:space="preserve">vede na jakémkoli použitém nosiči jasným, čitelným a srozumitelným způsobem obchodní záměr, který sleduje, pokud tento záměr není zřejmý již z kontextu. </w:t>
      </w:r>
    </w:p>
    <w:p w14:paraId="0DA643B9" w14:textId="77777777" w:rsidR="00BB5F5A" w:rsidRDefault="00B755D0">
      <w:pPr>
        <w:spacing w:after="149"/>
        <w:ind w:left="-15"/>
      </w:pPr>
      <w:r>
        <w:t>„ Obchodní záměr může být výslovně označen použitím výrazů „reklama“ nebo „obchodní spolupráce“ nebo r</w:t>
      </w:r>
      <w:r>
        <w:t xml:space="preserve">ovnocenného výrazu přizpůsobeného charakteristice ovlivňující činnosti a formátu použitého komunikačního média.“; </w:t>
      </w:r>
    </w:p>
    <w:p w14:paraId="3E80D657" w14:textId="77777777" w:rsidR="00BB5F5A" w:rsidRDefault="00B755D0">
      <w:pPr>
        <w:spacing w:after="86"/>
        <w:ind w:firstLine="0"/>
      </w:pPr>
      <w:r>
        <w:t xml:space="preserve">V. – Článek 9 se nahrazuje následujícími ustanoveními: </w:t>
      </w:r>
    </w:p>
    <w:p w14:paraId="6FABA20B" w14:textId="77777777" w:rsidR="00BB5F5A" w:rsidRDefault="00B755D0">
      <w:pPr>
        <w:ind w:left="-15"/>
      </w:pPr>
      <w:r>
        <w:t xml:space="preserve">„ </w:t>
      </w:r>
      <w:r>
        <w:rPr>
          <w:i/>
        </w:rPr>
        <w:t xml:space="preserve">Článek 9. – </w:t>
      </w:r>
      <w:r>
        <w:t xml:space="preserve">„I. – Pokud vykonávají činnost definovanou v článku 1 a nejsou usazeni </w:t>
      </w:r>
      <w:r>
        <w:t>na území členského státu Evropské unie, Švýcarské konfederace nebo Evropského hospodářského prostoru a pokud se zaměřují na cílové skupiny ve Francii, právnické nebo fyzické osoby vykonávající samostatnou výdělečnou činnost v rámci statusu definovaného v č</w:t>
      </w:r>
      <w:r>
        <w:t xml:space="preserve">láncích L. 526-6 až L. 526-21 obchodního zákoníku nebo články L. 526-22 až L. 526-26 téhož zákoníku, písemně určí právnickou nebo fyzickou osobu za účelem zajištění formy právního zastoupení na území Evropské unie. </w:t>
      </w:r>
    </w:p>
    <w:p w14:paraId="2674630E" w14:textId="77777777" w:rsidR="00BB5F5A" w:rsidRDefault="00B755D0">
      <w:pPr>
        <w:ind w:left="-15"/>
      </w:pPr>
      <w:r>
        <w:t>„ Účelem tohoto zastoupení je zaručit do</w:t>
      </w:r>
      <w:r>
        <w:t>držování smluv, jejichž předmětem nebo účinkem je provádění činnosti obchodního vlivu elektronickými prostředky, zaměřené zejména na cílové skupiny usazené na francouzském území. Určená osoba je rovněž odpovědná za to, aby vedle osob uvedených v prvním ods</w:t>
      </w:r>
      <w:r>
        <w:t xml:space="preserve">tavci této části I nebo místo nich odpovídala na všechny žádosti příslušných správních nebo soudních orgánů o dodržování tohoto zákona. </w:t>
      </w:r>
    </w:p>
    <w:p w14:paraId="5A08C8A8" w14:textId="77777777" w:rsidR="00BB5F5A" w:rsidRDefault="00B755D0">
      <w:pPr>
        <w:ind w:left="-15"/>
      </w:pPr>
      <w:r>
        <w:t>„ Osoby uvedené v prvním pododstavci poskytnou takto určené osobě nezbytné pravomoci a dostatečné prostředky k zajištěn</w:t>
      </w:r>
      <w:r>
        <w:t xml:space="preserve">í účinné spolupráce s příslušnými orgány za účelem dodržování tohoto zákona. </w:t>
      </w:r>
    </w:p>
    <w:p w14:paraId="1E06B431" w14:textId="77777777" w:rsidR="00BB5F5A" w:rsidRDefault="00B755D0">
      <w:pPr>
        <w:ind w:left="-15"/>
      </w:pPr>
      <w:r>
        <w:t xml:space="preserve">„ </w:t>
      </w:r>
      <w:r>
        <w:t xml:space="preserve">Osoby uvedené v prvním pododstavci sdělí příslušným správním orgánům na požádání jméno, poštovní adresu, e-mailovou adresu a telefonní číslo osoby určené podle uvedeného prvního pododstavce. </w:t>
      </w:r>
    </w:p>
    <w:p w14:paraId="023B8981" w14:textId="77777777" w:rsidR="00BB5F5A" w:rsidRDefault="00B755D0">
      <w:pPr>
        <w:ind w:firstLine="0"/>
      </w:pPr>
      <w:r>
        <w:t xml:space="preserve">„Toto označení není provozovnou v Evropské unii.  </w:t>
      </w:r>
    </w:p>
    <w:p w14:paraId="4116DB33" w14:textId="77777777" w:rsidR="00BB5F5A" w:rsidRDefault="00B755D0">
      <w:pPr>
        <w:ind w:left="-15"/>
      </w:pPr>
      <w:r>
        <w:t>„ II. – Osoba</w:t>
      </w:r>
      <w:r>
        <w:t xml:space="preserve"> vykonávající činnost definovanou v článku 1, která je usazena mimo Evropskou unii, Švýcarskou konfederaci nebo Evropský hospodářský prostor a která se zaměřuje, byť i náhodně, na veřejnost usazenou na území Francie, je povinna uzavřít pojištění občanskopr</w:t>
      </w:r>
      <w:r>
        <w:t xml:space="preserve">ávní odpovědnosti pokrývající finanční důsledky její </w:t>
      </w:r>
      <w:r>
        <w:lastRenderedPageBreak/>
        <w:t xml:space="preserve">profesní občanskoprávní odpovědnosti u pojistitele usazeného v Evropské unii. „III. —  Postupy pro provádění tohoto článku jsou stanoveny vyhláškou Státní rady.“ </w:t>
      </w:r>
    </w:p>
    <w:p w14:paraId="24E41C5B" w14:textId="77777777" w:rsidR="00BB5F5A" w:rsidRDefault="00B755D0">
      <w:pPr>
        <w:spacing w:after="45" w:line="259" w:lineRule="auto"/>
        <w:ind w:left="10" w:right="1" w:hanging="10"/>
        <w:jc w:val="center"/>
      </w:pPr>
      <w:r>
        <w:rPr>
          <w:rFonts w:ascii="Calibri" w:hAnsi="Calibri"/>
          <w:b/>
        </w:rPr>
        <w:t xml:space="preserve">Článek 2 </w:t>
      </w:r>
    </w:p>
    <w:p w14:paraId="5E209DF5" w14:textId="77777777" w:rsidR="00BB5F5A" w:rsidRDefault="00B755D0">
      <w:pPr>
        <w:spacing w:after="76" w:line="216" w:lineRule="auto"/>
        <w:ind w:left="-15" w:right="-15"/>
        <w:jc w:val="left"/>
      </w:pPr>
      <w:r>
        <w:t xml:space="preserve">Předseda vlády a ministr hospodářství, financí a průmyslu odpovídají, pokud se jich to týká, za uplatňování tohoto nařízení, které bude zveřejněno v </w:t>
      </w:r>
      <w:r>
        <w:rPr>
          <w:i/>
        </w:rPr>
        <w:t xml:space="preserve">Úředním věstníku </w:t>
      </w:r>
      <w:r>
        <w:t xml:space="preserve">Francouzské republiky. </w:t>
      </w:r>
    </w:p>
    <w:p w14:paraId="2458A41C" w14:textId="77777777" w:rsidR="00BB5F5A" w:rsidRDefault="00B755D0">
      <w:pPr>
        <w:ind w:firstLine="0"/>
      </w:pPr>
      <w:r>
        <w:t xml:space="preserve">Dne pondělí 6. listopadu 2024. </w:t>
      </w:r>
    </w:p>
    <w:p w14:paraId="779C936B" w14:textId="77777777" w:rsidR="00BB5F5A" w:rsidRDefault="00B755D0">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B755D0">
      <w:pPr>
        <w:spacing w:after="73" w:line="259" w:lineRule="auto"/>
        <w:ind w:left="544" w:firstLine="0"/>
        <w:jc w:val="left"/>
      </w:pPr>
      <w:r>
        <w:rPr>
          <w:sz w:val="18"/>
        </w:rPr>
        <w:t>Prezident republi</w:t>
      </w:r>
      <w:r>
        <w:rPr>
          <w:sz w:val="18"/>
        </w:rPr>
        <w:t xml:space="preserve">ky: </w:t>
      </w:r>
    </w:p>
    <w:p w14:paraId="74F7E8BF" w14:textId="77777777" w:rsidR="00BB5F5A" w:rsidRDefault="00B755D0">
      <w:pPr>
        <w:spacing w:after="8" w:line="259" w:lineRule="auto"/>
        <w:ind w:left="0" w:firstLine="0"/>
        <w:jc w:val="left"/>
      </w:pPr>
      <w:r>
        <w:rPr>
          <w:i/>
        </w:rPr>
        <w:t xml:space="preserve">Předsedkyně vlády, </w:t>
      </w:r>
    </w:p>
    <w:p w14:paraId="65A8D155" w14:textId="77777777" w:rsidR="00BB5F5A" w:rsidRDefault="00B755D0">
      <w:pPr>
        <w:pStyle w:val="Heading1"/>
        <w:spacing w:after="47"/>
        <w:ind w:left="206" w:right="0"/>
      </w:pPr>
      <w:r>
        <w:rPr>
          <w:sz w:val="22"/>
        </w:rPr>
        <w:t>M</w:t>
      </w:r>
      <w:r>
        <w:t xml:space="preserve">ICHEL </w:t>
      </w:r>
      <w:r>
        <w:rPr>
          <w:sz w:val="22"/>
        </w:rPr>
        <w:t>B</w:t>
      </w:r>
      <w:r>
        <w:t xml:space="preserve">ARNIER </w:t>
      </w:r>
    </w:p>
    <w:p w14:paraId="1873A417" w14:textId="2CF6FE33" w:rsidR="00BB5F5A" w:rsidRDefault="00B755D0">
      <w:pPr>
        <w:spacing w:after="54" w:line="216" w:lineRule="auto"/>
        <w:ind w:left="7307" w:firstLine="0"/>
        <w:jc w:val="center"/>
      </w:pPr>
      <w:r>
        <w:rPr>
          <w:i/>
        </w:rPr>
        <w:t xml:space="preserve">Ministr hospodářství, financí a průmyslu, </w:t>
      </w:r>
    </w:p>
    <w:p w14:paraId="276AC3A6" w14:textId="23F96FBD" w:rsidR="00BB5F5A" w:rsidRDefault="00B755D0">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B6A8" w14:textId="77777777" w:rsidR="00B755D0" w:rsidRDefault="00B755D0">
      <w:pPr>
        <w:spacing w:after="0" w:line="240" w:lineRule="auto"/>
      </w:pPr>
      <w:r>
        <w:separator/>
      </w:r>
    </w:p>
  </w:endnote>
  <w:endnote w:type="continuationSeparator" w:id="0">
    <w:p w14:paraId="04F5AB00" w14:textId="77777777" w:rsidR="00B755D0" w:rsidRDefault="00B7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7141" w14:textId="77777777" w:rsidR="00B755D0" w:rsidRDefault="00B755D0">
      <w:pPr>
        <w:spacing w:after="0" w:line="240" w:lineRule="auto"/>
      </w:pPr>
      <w:r>
        <w:separator/>
      </w:r>
    </w:p>
  </w:footnote>
  <w:footnote w:type="continuationSeparator" w:id="0">
    <w:p w14:paraId="1D700610" w14:textId="77777777" w:rsidR="00B755D0" w:rsidRDefault="00B7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B755D0">
    <w:pPr>
      <w:tabs>
        <w:tab w:val="center" w:pos="4818"/>
        <w:tab w:val="right" w:pos="9922"/>
      </w:tabs>
      <w:spacing w:after="0" w:line="259" w:lineRule="auto"/>
      <w:ind w:left="0" w:firstLine="0"/>
      <w:jc w:val="left"/>
    </w:pPr>
    <w:r>
      <w:rPr>
        <w:rFonts w:ascii="Calibri" w:hAnsi="Calibri"/>
        <w:sz w:val="16"/>
      </w:rPr>
      <w:t xml:space="preserve">07. listopadu 2024 </w:t>
    </w:r>
    <w:r>
      <w:rPr>
        <w:rFonts w:ascii="Calibri" w:hAnsi="Calibri"/>
        <w:sz w:val="16"/>
      </w:rPr>
      <w:tab/>
    </w:r>
    <w:r>
      <w:rPr>
        <w:rFonts w:ascii="Calibri" w:hAnsi="Calibri"/>
        <w:color w:val="0060B0"/>
        <w:sz w:val="18"/>
      </w:rPr>
      <w:t>Úřední věstník Francouzské republiky</w:t>
    </w:r>
    <w:r>
      <w:rPr>
        <w:rFonts w:ascii="Calibri" w:hAnsi="Calibri"/>
        <w:color w:val="0060B0"/>
        <w:sz w:val="18"/>
      </w:rPr>
      <w:tab/>
    </w:r>
    <w:r>
      <w:rPr>
        <w:rFonts w:ascii="Calibri" w:hAnsi="Calibri"/>
        <w:sz w:val="16"/>
      </w:rPr>
      <w:t xml:space="preserve">Text 18 ze 120 </w:t>
    </w:r>
  </w:p>
  <w:p w14:paraId="7D2344F0" w14:textId="77777777" w:rsidR="00BB5F5A" w:rsidRDefault="00B755D0">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B755D0">
    <w:pPr>
      <w:tabs>
        <w:tab w:val="center" w:pos="4818"/>
        <w:tab w:val="right" w:pos="9922"/>
      </w:tabs>
      <w:spacing w:after="0" w:line="259" w:lineRule="auto"/>
      <w:ind w:left="0" w:firstLine="0"/>
      <w:jc w:val="left"/>
    </w:pPr>
    <w:r>
      <w:rPr>
        <w:rFonts w:ascii="Calibri" w:hAnsi="Calibri"/>
        <w:sz w:val="16"/>
      </w:rPr>
      <w:t xml:space="preserve">07. listopadu 2024 </w:t>
    </w:r>
    <w:r>
      <w:rPr>
        <w:rFonts w:ascii="Calibri" w:hAnsi="Calibri"/>
        <w:sz w:val="16"/>
      </w:rPr>
      <w:tab/>
    </w:r>
    <w:r>
      <w:rPr>
        <w:rFonts w:ascii="Calibri" w:hAnsi="Calibri"/>
        <w:color w:val="0060B0"/>
        <w:sz w:val="18"/>
      </w:rPr>
      <w:t>Úřední věstník Francouzské republiky</w:t>
    </w:r>
    <w:r>
      <w:rPr>
        <w:rFonts w:ascii="Calibri" w:hAnsi="Calibri"/>
        <w:color w:val="0060B0"/>
        <w:sz w:val="18"/>
      </w:rPr>
      <w:tab/>
    </w:r>
    <w:r>
      <w:rPr>
        <w:rFonts w:ascii="Calibri" w:hAnsi="Calibri"/>
        <w:sz w:val="16"/>
      </w:rPr>
      <w:t xml:space="preserve">Text 18 ze 120 </w:t>
    </w:r>
  </w:p>
  <w:p w14:paraId="03F43403" w14:textId="77777777" w:rsidR="00BB5F5A" w:rsidRDefault="00B755D0">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B755D0">
    <w:pPr>
      <w:tabs>
        <w:tab w:val="center" w:pos="4818"/>
        <w:tab w:val="right" w:pos="9922"/>
      </w:tabs>
      <w:spacing w:after="0" w:line="259" w:lineRule="auto"/>
      <w:ind w:left="0" w:firstLine="0"/>
      <w:jc w:val="left"/>
    </w:pPr>
    <w:r>
      <w:rPr>
        <w:rFonts w:ascii="Calibri" w:hAnsi="Calibri"/>
        <w:sz w:val="16"/>
      </w:rPr>
      <w:t xml:space="preserve">07. listopadu 2024 </w:t>
    </w:r>
    <w:r>
      <w:rPr>
        <w:rFonts w:ascii="Calibri" w:hAnsi="Calibri"/>
        <w:sz w:val="16"/>
      </w:rPr>
      <w:tab/>
    </w:r>
    <w:r>
      <w:rPr>
        <w:rFonts w:ascii="Calibri" w:hAnsi="Calibri"/>
        <w:color w:val="0060B0"/>
        <w:sz w:val="18"/>
      </w:rPr>
      <w:t>Úřední věstník Francouzské republiky</w:t>
    </w:r>
    <w:r>
      <w:rPr>
        <w:rFonts w:ascii="Calibri" w:hAnsi="Calibri"/>
        <w:color w:val="0060B0"/>
        <w:sz w:val="18"/>
      </w:rPr>
      <w:tab/>
    </w:r>
    <w:r>
      <w:rPr>
        <w:rFonts w:ascii="Calibri" w:hAnsi="Calibri"/>
        <w:sz w:val="16"/>
      </w:rPr>
      <w:t xml:space="preserve">Text 18 ze 120 </w:t>
    </w:r>
  </w:p>
  <w:p w14:paraId="3D44B973" w14:textId="77777777" w:rsidR="00BB5F5A" w:rsidRDefault="00B755D0">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AC55CF"/>
    <w:rsid w:val="00B755D0"/>
    <w:rsid w:val="00BB5F5A"/>
    <w:rsid w:val="00C256E0"/>
    <w:rsid w:val="00D13BAC"/>
    <w:rsid w:val="00E36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1965</Words>
  <Characters>11653</Characters>
  <Application>Microsoft Office Word</Application>
  <DocSecurity>0</DocSecurity>
  <Lines>171</Lines>
  <Paragraphs>89</Paragraphs>
  <ScaleCrop>false</ScaleCrop>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2024-12-17T14:31:00Z</dcterms:created>
  <dcterms:modified xsi:type="dcterms:W3CDTF">2024-12-17T14:31:00Z</dcterms:modified>
</cp:coreProperties>
</file>