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4919" w14:textId="77777777" w:rsidR="00BB5F5A" w:rsidRDefault="00900EB7">
      <w:pPr>
        <w:spacing w:after="324" w:line="259" w:lineRule="auto"/>
        <w:ind w:left="0" w:right="1" w:firstLine="0"/>
        <w:jc w:val="center"/>
      </w:pPr>
      <w:r>
        <w:rPr>
          <w:rFonts w:ascii="Calibri" w:hAnsi="Calibri"/>
          <w:color w:val="0093D1"/>
          <w:sz w:val="43"/>
        </w:rPr>
        <w:t xml:space="preserve">Uredbe, odluke, okružnice </w:t>
      </w:r>
    </w:p>
    <w:p w14:paraId="4AC62185" w14:textId="77777777" w:rsidR="00BB5F5A" w:rsidRDefault="00900EB7">
      <w:pPr>
        <w:spacing w:after="420" w:line="259" w:lineRule="auto"/>
        <w:ind w:left="0" w:right="1" w:firstLine="0"/>
        <w:jc w:val="center"/>
      </w:pPr>
      <w:r>
        <w:rPr>
          <w:rFonts w:ascii="Calibri" w:hAnsi="Calibri"/>
          <w:color w:val="393C96"/>
          <w:sz w:val="28"/>
        </w:rPr>
        <w:t xml:space="preserve">OPĆI TEKSTOVI </w:t>
      </w:r>
    </w:p>
    <w:p w14:paraId="2E00BDAA" w14:textId="77777777" w:rsidR="00BB5F5A" w:rsidRDefault="00900EB7">
      <w:pPr>
        <w:pStyle w:val="Heading1"/>
        <w:spacing w:after="273"/>
        <w:ind w:right="0"/>
        <w:jc w:val="center"/>
      </w:pPr>
      <w:r>
        <w:rPr>
          <w:rFonts w:ascii="Calibri" w:hAnsi="Calibri"/>
          <w:b/>
          <w:color w:val="393C96"/>
          <w:sz w:val="20"/>
        </w:rPr>
        <w:t xml:space="preserve">MINISTARSTVO GOSPODARSTVA, FINANCIJA I INDUSTRIJE </w:t>
      </w:r>
    </w:p>
    <w:p w14:paraId="6D78EE22" w14:textId="77777777" w:rsidR="00BB5F5A" w:rsidRDefault="00900EB7">
      <w:pPr>
        <w:spacing w:after="130" w:line="216" w:lineRule="auto"/>
        <w:ind w:right="1" w:hanging="215"/>
      </w:pPr>
      <w:r>
        <w:rPr>
          <w:rFonts w:ascii="Calibri" w:hAnsi="Calibri"/>
          <w:b/>
          <w:color w:val="5C5D61"/>
        </w:rPr>
        <w:t xml:space="preserve">Odluka br. 2024-978 od 6. studenoga 2024. o izmjeni Zakona br. 2023-451 od 9. lipnja 2023., čiji je cilj reguliranje komercijalnog utjecaja i borba protiv zlouporaba utjecajnih osoba na društvenim mrežama </w:t>
      </w:r>
    </w:p>
    <w:p w14:paraId="53548437" w14:textId="77777777" w:rsidR="00BB5F5A" w:rsidRDefault="00900EB7">
      <w:pPr>
        <w:spacing w:after="317" w:line="259" w:lineRule="auto"/>
        <w:ind w:left="0" w:right="1" w:firstLine="0"/>
        <w:jc w:val="center"/>
      </w:pPr>
      <w:r>
        <w:rPr>
          <w:rFonts w:ascii="Calibri" w:hAnsi="Calibri"/>
          <w:color w:val="2053A6"/>
          <w:sz w:val="16"/>
        </w:rPr>
        <w:t xml:space="preserve">Oznaka NOR: </w:t>
      </w:r>
      <w:r>
        <w:rPr>
          <w:rFonts w:ascii="Calibri" w:hAnsi="Calibri"/>
          <w:i/>
          <w:sz w:val="16"/>
        </w:rPr>
        <w:t xml:space="preserve">ECOI2418969R </w:t>
      </w:r>
    </w:p>
    <w:p w14:paraId="6C61012D" w14:textId="77777777" w:rsidR="00BB5F5A" w:rsidRDefault="00900EB7">
      <w:pPr>
        <w:ind w:firstLine="0"/>
      </w:pPr>
      <w:r>
        <w:t xml:space="preserve">Predsjednik Republike, </w:t>
      </w:r>
    </w:p>
    <w:p w14:paraId="60771B53" w14:textId="77777777" w:rsidR="00BB5F5A" w:rsidRDefault="00900EB7">
      <w:pPr>
        <w:spacing w:after="88"/>
        <w:ind w:firstLine="0"/>
      </w:pPr>
      <w:r>
        <w:t xml:space="preserve">na temelju izvješća predsjednika Vlade i ministra gospodarstva, financija i industrije, </w:t>
      </w:r>
    </w:p>
    <w:p w14:paraId="54602248" w14:textId="77777777" w:rsidR="00BB5F5A" w:rsidRDefault="00900EB7">
      <w:pPr>
        <w:spacing w:after="30"/>
        <w:ind w:firstLine="0"/>
      </w:pPr>
      <w:r>
        <w:t xml:space="preserve">uzimajući u obzir Ustav, osobito njegov članak 38., </w:t>
      </w:r>
    </w:p>
    <w:p w14:paraId="071009EA" w14:textId="77777777" w:rsidR="00BB5F5A" w:rsidRDefault="00900EB7">
      <w:pPr>
        <w:spacing w:after="24"/>
        <w:ind w:left="-15"/>
      </w:pPr>
      <w:r>
        <w:t>uzimajući u obzir Direktivu 2000/31/EZ Europskog parlamenta i Vijeća od 8. lipnja 2000. o određenim pravnim aspekt</w:t>
      </w:r>
      <w:r>
        <w:t xml:space="preserve">ima usluga informacijskog društva na unutarnjem tržištu, posebno elektroničke trgovine (Direktiva o elektroničkoj trgovini), </w:t>
      </w:r>
    </w:p>
    <w:p w14:paraId="0D58FCC0" w14:textId="77777777" w:rsidR="00BB5F5A" w:rsidRDefault="00900EB7">
      <w:pPr>
        <w:spacing w:after="24"/>
        <w:ind w:left="-15"/>
      </w:pPr>
      <w:r>
        <w:t xml:space="preserve">uzimajući u obzir Direktivu 2005/29/EZ Europskog parlamenta i Vijeća od 11. svibnja 2005. o nepoštenoj poslovnoj praksi poslovnog </w:t>
      </w:r>
      <w:r>
        <w:t>subjekta u odnosu prema potrošaču na unutarnjem tržištu i o izmjeni Direktive Vijeća 84/450/EEZ, direktiva 97/7/EZ, 98/27/EZ i 2002/65/EZ Europskog parlamenta i Vijeća, kao i Uredbe (EZ) br. 2006/2004 Europskog parlamenta i Vijeća ( „Direktiva o nepoštenoj</w:t>
      </w:r>
      <w:r>
        <w:t xml:space="preserve"> poslovnoj praksi”), </w:t>
      </w:r>
    </w:p>
    <w:p w14:paraId="29E501B5" w14:textId="77777777" w:rsidR="00BB5F5A" w:rsidRDefault="00900EB7">
      <w:pPr>
        <w:spacing w:after="23"/>
        <w:ind w:left="-15"/>
      </w:pPr>
      <w:r>
        <w:t>uzimajući u obzir Direktivu 2010/13/EU Europskog parlamenta i Vijeća od 10. ožujka 2010. o koordinaciji određenih odredaba utvrđenih zakonima i drugim propisima u državama članicama o pružanju audiovizualnih medijskih usluga (Direktiv</w:t>
      </w:r>
      <w:r>
        <w:t xml:space="preserve">a o audiovizualnim medijskim uslugama), </w:t>
      </w:r>
    </w:p>
    <w:p w14:paraId="517F39D2" w14:textId="77777777" w:rsidR="00BB5F5A" w:rsidRDefault="00900EB7">
      <w:pPr>
        <w:ind w:left="-15"/>
      </w:pPr>
      <w:r>
        <w:t xml:space="preserve">uzimajući u obzir Direktivu (EU) 2015/1535 Europskog parlamenta i Vijeća od 9. rujna 2015. o utvrđivanju postupka pružanja informacija u području tehničkih propisa i pravila o uslugama informacijskog društva, </w:t>
      </w:r>
    </w:p>
    <w:p w14:paraId="18DA088E" w14:textId="77777777" w:rsidR="00BB5F5A" w:rsidRDefault="00900EB7">
      <w:pPr>
        <w:spacing w:after="30"/>
        <w:ind w:firstLine="0"/>
      </w:pPr>
      <w:r>
        <w:t>uzima</w:t>
      </w:r>
      <w:r>
        <w:t xml:space="preserve">jući u obzir Zakonik o upravnom pravosuđu, osobito njegov članak R. 123-20., </w:t>
      </w:r>
    </w:p>
    <w:p w14:paraId="7F86EC33" w14:textId="77777777" w:rsidR="00BB5F5A" w:rsidRDefault="00900EB7">
      <w:pPr>
        <w:spacing w:after="25"/>
        <w:ind w:left="-15"/>
      </w:pPr>
      <w:r>
        <w:t xml:space="preserve">uzimajući u obzir Zakon br. 2023-451 od 9. lipnja 2023., čiji je cilj reguliranje komercijalnog utjecaja i borba protiv zlouporaba utjecajnih osoba na društvenim mrežama, </w:t>
      </w:r>
    </w:p>
    <w:p w14:paraId="76205EB4" w14:textId="77777777" w:rsidR="00BB5F5A" w:rsidRDefault="00900EB7">
      <w:pPr>
        <w:ind w:left="-15"/>
      </w:pPr>
      <w:r>
        <w:t>uzimajući u obzir Zakon br. 2024-364 od 22. travnja 2024. o utvrđivanju različitih o</w:t>
      </w:r>
      <w:r>
        <w:t xml:space="preserve">dredaba kojima se pitanja koja se odnose na gospodarstvo, financije, ekološku tranziciju, kazneno pravo, socijalno pravo i poljoprivredna pitanja prilagođavaju pravu Europske unije, osobito njegov članak 3., </w:t>
      </w:r>
    </w:p>
    <w:p w14:paraId="52DE1B19" w14:textId="77777777" w:rsidR="00BB5F5A" w:rsidRDefault="00900EB7">
      <w:pPr>
        <w:ind w:firstLine="0"/>
      </w:pPr>
      <w:r>
        <w:t>uzimajući u obzir obavijest br. 2024/0379/FR up</w:t>
      </w:r>
      <w:r>
        <w:t xml:space="preserve">ućenu Europskoj komisiji 3. srpnja 2024., </w:t>
      </w:r>
    </w:p>
    <w:p w14:paraId="2DC263BA" w14:textId="77777777" w:rsidR="00BB5F5A" w:rsidRDefault="00900EB7">
      <w:pPr>
        <w:spacing w:after="214"/>
        <w:ind w:right="5040" w:firstLine="0"/>
      </w:pPr>
      <w:r>
        <w:t xml:space="preserve">nakon saslušanja Državnog vijeća (Odjel za financije), nakon saslušanja Vijeća ministara, </w:t>
      </w:r>
    </w:p>
    <w:p w14:paraId="1578A1A7" w14:textId="77777777" w:rsidR="00BB5F5A" w:rsidRDefault="00900EB7">
      <w:pPr>
        <w:spacing w:after="146"/>
        <w:ind w:left="1077" w:firstLine="0"/>
      </w:pPr>
      <w:r>
        <w:t xml:space="preserve">ovime utvrđuje sljedeće: </w:t>
      </w:r>
    </w:p>
    <w:p w14:paraId="4FDE374B" w14:textId="77777777" w:rsidR="00BB5F5A" w:rsidRDefault="00900EB7">
      <w:pPr>
        <w:spacing w:after="105" w:line="259" w:lineRule="auto"/>
        <w:ind w:left="10" w:right="1" w:hanging="10"/>
        <w:jc w:val="center"/>
      </w:pPr>
      <w:r>
        <w:rPr>
          <w:rFonts w:ascii="Calibri" w:hAnsi="Calibri"/>
          <w:b/>
        </w:rPr>
        <w:t>Članak 1.</w:t>
      </w:r>
      <w:r>
        <w:rPr>
          <w:rFonts w:ascii="Calibri" w:hAnsi="Calibri"/>
          <w:b/>
          <w:sz w:val="17"/>
          <w:vertAlign w:val="superscript"/>
        </w:rPr>
        <w:t xml:space="preserve"> </w:t>
      </w:r>
    </w:p>
    <w:p w14:paraId="1AFC17DB" w14:textId="77777777" w:rsidR="00BB5F5A" w:rsidRDefault="00900EB7">
      <w:pPr>
        <w:spacing w:after="119"/>
        <w:ind w:left="-15"/>
      </w:pPr>
      <w:r>
        <w:t>Zakon br. 2023-451 od 9. lipnja 2023. o reguliranju komercijalnog utjecaja i borbi pr</w:t>
      </w:r>
      <w:r>
        <w:t xml:space="preserve">otiv zlouporaba utjecajnih osoba na društvenim mrežama mijenja se kako slijedi: </w:t>
      </w:r>
    </w:p>
    <w:p w14:paraId="542BFDB4" w14:textId="77777777" w:rsidR="00BB5F5A" w:rsidRDefault="00900EB7">
      <w:pPr>
        <w:numPr>
          <w:ilvl w:val="0"/>
          <w:numId w:val="1"/>
        </w:numPr>
        <w:spacing w:after="85"/>
        <w:ind w:hanging="305"/>
      </w:pPr>
      <w:r>
        <w:t xml:space="preserve">– Članak 1. zamjenjuje se sljedećim odredbama: </w:t>
      </w:r>
    </w:p>
    <w:p w14:paraId="36B0D7BB" w14:textId="77777777" w:rsidR="00BB5F5A" w:rsidRDefault="00900EB7">
      <w:pPr>
        <w:spacing w:after="135"/>
        <w:ind w:left="-15"/>
      </w:pPr>
      <w:r>
        <w:t xml:space="preserve">„ </w:t>
      </w:r>
      <w:r>
        <w:rPr>
          <w:i/>
        </w:rPr>
        <w:t xml:space="preserve">„Članak 1. – </w:t>
      </w:r>
      <w:r>
        <w:t>Fizičke ili pravne osobe koje uz naknadu koriste svoj ugled među publikom za priopćavanje javnosti elektroničkim</w:t>
      </w:r>
      <w:r>
        <w:t xml:space="preserve"> putem sadržaja namijenjenog izravnoj ili neizravnoj promidžbi robe, usluga ili bilo kojeg drugog cilja, obavljaju djelatnost komercijalnog utjecaja elektroničkim putem.”; </w:t>
      </w:r>
    </w:p>
    <w:p w14:paraId="3950E5A5" w14:textId="77777777" w:rsidR="00BB5F5A" w:rsidRDefault="00900EB7">
      <w:pPr>
        <w:numPr>
          <w:ilvl w:val="0"/>
          <w:numId w:val="1"/>
        </w:numPr>
        <w:spacing w:after="79"/>
        <w:ind w:hanging="305"/>
      </w:pPr>
      <w:r>
        <w:t xml:space="preserve">– Članak 4. zamjenjuje se sljedećim odredbama: </w:t>
      </w:r>
    </w:p>
    <w:p w14:paraId="6F86B412" w14:textId="77777777" w:rsidR="00BB5F5A" w:rsidRDefault="00900EB7">
      <w:pPr>
        <w:ind w:left="-15"/>
      </w:pPr>
      <w:r>
        <w:t xml:space="preserve">„ </w:t>
      </w:r>
      <w:r>
        <w:rPr>
          <w:i/>
        </w:rPr>
        <w:t xml:space="preserve">Članak 4. – </w:t>
      </w:r>
      <w:r>
        <w:t>I. —  Osobama koje ob</w:t>
      </w:r>
      <w:r>
        <w:t xml:space="preserve">avljaju djelatnost komercijalnog utjecaja elektroničkim putem zabranjuje se svako izravno ili neizravno promicanje radnji, postupaka, tehnika i metoda s estetskim ciljem koje mogu predstavljati rizik za zdravlje osoba iz članka L. 1151-2 Zakonika o javnom </w:t>
      </w:r>
      <w:r>
        <w:t xml:space="preserve">zdravlju i intervencije iz članka L. 6322-1 tog zakonika. </w:t>
      </w:r>
    </w:p>
    <w:p w14:paraId="1DB6FB2C" w14:textId="77777777" w:rsidR="00BB5F5A" w:rsidRDefault="00900EB7">
      <w:pPr>
        <w:ind w:left="-15"/>
      </w:pPr>
      <w:r>
        <w:t xml:space="preserve">„II. —  Osobama koje obavljaju djelatnost komercijalnog utjecaja elektroničkim putem zabranjuje se izravna ili neizravna promidžba </w:t>
      </w:r>
      <w:proofErr w:type="spellStart"/>
      <w:r>
        <w:t>neterapeutskih</w:t>
      </w:r>
      <w:proofErr w:type="spellEnd"/>
      <w:r>
        <w:t xml:space="preserve"> proizvoda, radnji, postupaka, tehnika i metoda koje</w:t>
      </w:r>
      <w:r>
        <w:t xml:space="preserve"> su predstavljene kao usporedive ili poželjnije od ili kao zamjena za terapijske radnje, protokole ili recepte. </w:t>
      </w:r>
    </w:p>
    <w:p w14:paraId="0FCE785E" w14:textId="77777777" w:rsidR="00BB5F5A" w:rsidRDefault="00900EB7">
      <w:pPr>
        <w:ind w:left="-15"/>
      </w:pPr>
      <w:r>
        <w:lastRenderedPageBreak/>
        <w:t>„III. —  Osobama koje obavljaju djelatnost komercijalnog utjecaja elektroničkim putem zabranjuju se svaka izravna ili neizravna promidžba proiz</w:t>
      </w:r>
      <w:r>
        <w:t xml:space="preserve">voda koji se smatraju nikotinskim proizvodima koji se mogu konzumirati i koji su proizvedeni, čak i djelomično, od nikotina. </w:t>
      </w:r>
    </w:p>
    <w:p w14:paraId="7EEC5628" w14:textId="77777777" w:rsidR="00BB5F5A" w:rsidRDefault="00900EB7">
      <w:pPr>
        <w:spacing w:after="130"/>
        <w:ind w:left="-15"/>
      </w:pPr>
      <w:r>
        <w:t>„IV. —  Osobama koje obavljaju djelatnost komercijalnog utjecaja elektroničkim putem zabranjuje se svaka izravna ili neizravna pro</w:t>
      </w:r>
      <w:r>
        <w:t xml:space="preserve">midžba koja uključuje životinje koje nisu uvrštene na popis iz stavka I. članka L. 413-1 A Zakonika o okolišu. Ta se zabrana ne primjenjuje na objekte odobrene za držanje tih životinja u skladu s člankom L. 413-3 tog Zakonika. </w:t>
      </w:r>
    </w:p>
    <w:p w14:paraId="4BB23C95" w14:textId="77777777" w:rsidR="00BB5F5A" w:rsidRDefault="00900EB7">
      <w:pPr>
        <w:spacing w:after="77"/>
        <w:ind w:left="-15"/>
      </w:pPr>
      <w:r>
        <w:t>„V. —  Osobama koje obavljaj</w:t>
      </w:r>
      <w:r>
        <w:t xml:space="preserve">u djelatnost komercijalnog utjecaja elektroničkim putem zabranjuje se svaka izravna ili neizravna promidžba sljedećih financijskih proizvoda i usluga: </w:t>
      </w:r>
    </w:p>
    <w:p w14:paraId="0FCB0A4E" w14:textId="77777777" w:rsidR="00BB5F5A" w:rsidRDefault="00900EB7">
      <w:pPr>
        <w:ind w:firstLine="0"/>
      </w:pPr>
      <w:r>
        <w:t>„1.</w:t>
      </w:r>
      <w:r>
        <w:rPr>
          <w:sz w:val="17"/>
          <w:vertAlign w:val="superscript"/>
        </w:rPr>
        <w:t xml:space="preserve">o </w:t>
      </w:r>
      <w:r>
        <w:t xml:space="preserve">financijski ugovori definirani u članku L. 533-12-7 Monetarnog i financijskog zakonika; </w:t>
      </w:r>
    </w:p>
    <w:p w14:paraId="7B571492" w14:textId="77777777" w:rsidR="00BB5F5A" w:rsidRDefault="00900EB7">
      <w:pPr>
        <w:spacing w:after="34"/>
        <w:ind w:left="-15"/>
      </w:pPr>
      <w:r>
        <w:t>„2.</w:t>
      </w:r>
      <w:r>
        <w:rPr>
          <w:sz w:val="17"/>
          <w:vertAlign w:val="superscript"/>
        </w:rPr>
        <w:t xml:space="preserve">o </w:t>
      </w:r>
      <w:r>
        <w:t xml:space="preserve">pružanje usluga digitalne imovine u smislu članka L. 54-10-2 tog zakonika, osim onih za koje je oglašivač registriran pod uvjetima iz članka L. 54-10-3 tog zakonika ili ovlašten pod uvjetima iz članka L. 54-10-5 ovog Zakonika; </w:t>
      </w:r>
    </w:p>
    <w:p w14:paraId="56BD14C2" w14:textId="77777777" w:rsidR="00BB5F5A" w:rsidRDefault="00900EB7">
      <w:pPr>
        <w:spacing w:after="31"/>
        <w:ind w:left="-15"/>
      </w:pPr>
      <w:r>
        <w:t>„3.</w:t>
      </w:r>
      <w:r>
        <w:rPr>
          <w:sz w:val="17"/>
          <w:vertAlign w:val="superscript"/>
        </w:rPr>
        <w:t xml:space="preserve">o </w:t>
      </w:r>
      <w:r>
        <w:t>javne ponude tokena u s</w:t>
      </w:r>
      <w:r>
        <w:t xml:space="preserve">mislu članka L. 552-3 tog zakonika, osim ako je oglašivač dobio vizu predviđenu člankom L. 552-4 ovog Zakonika; </w:t>
      </w:r>
    </w:p>
    <w:p w14:paraId="2ED229B9" w14:textId="77777777" w:rsidR="00BB5F5A" w:rsidRDefault="00900EB7">
      <w:pPr>
        <w:ind w:left="-15"/>
      </w:pPr>
      <w:r>
        <w:t>„4.</w:t>
      </w:r>
      <w:r>
        <w:rPr>
          <w:sz w:val="17"/>
          <w:vertAlign w:val="superscript"/>
        </w:rPr>
        <w:t xml:space="preserve">o </w:t>
      </w:r>
      <w:r>
        <w:t>digitalna imovina, osim one koja se odnosi na usluge za čiju je isporuku oglašivač registriran u skladu s uvjetima utvrđenima u članku L. </w:t>
      </w:r>
      <w:r>
        <w:t xml:space="preserve">54-10-3 tog zakonika ili je odobren u skladu s uvjetima iz članka L. 54-10-5 ovog Zakonika, odnosno kada oglašivač nije obuhvaćen područjem primjene članaka L. 54-10-3 i L. 54-10-5 istog zakonika. </w:t>
      </w:r>
    </w:p>
    <w:p w14:paraId="4F97707A" w14:textId="77777777" w:rsidR="00BB5F5A" w:rsidRDefault="00900EB7">
      <w:pPr>
        <w:ind w:left="-15"/>
      </w:pPr>
      <w:r>
        <w:t>„ „Povrede odredbi ovog stavka V. podliježu sankcijama pre</w:t>
      </w:r>
      <w:r>
        <w:t xml:space="preserve">dviđenima u petom podstavku članka L. 222-16-1 i pretposljednjem podstavku članka L. 222-16-2 Zakonika o zaštiti potrošača. </w:t>
      </w:r>
    </w:p>
    <w:p w14:paraId="7FC2E317" w14:textId="77777777" w:rsidR="00BB5F5A" w:rsidRDefault="00900EB7">
      <w:pPr>
        <w:ind w:left="-15"/>
      </w:pPr>
      <w:r>
        <w:t xml:space="preserve">„ Osobama koje obavljaju djelatnost komercijalnog utjecaja elektroničkim putem zabranjuje se svaka izravna ili neizravna promidžba </w:t>
      </w:r>
      <w:r>
        <w:t xml:space="preserve">pretplata za sportske savjete ili klađenja. </w:t>
      </w:r>
    </w:p>
    <w:p w14:paraId="728EE356" w14:textId="77777777" w:rsidR="00BB5F5A" w:rsidRDefault="00900EB7">
      <w:pPr>
        <w:ind w:left="-15"/>
      </w:pPr>
      <w:r>
        <w:t>„VII. —  Komercijalne komunikacije elektroničkim putem koje vrše osobe iz članka 1. ovog Zakona koje se odnose na igre na sreću, kako su definirane u člancima L. 320-1 i L. 320-6 Zakonika o unutarnjoj sigurnosti</w:t>
      </w:r>
      <w:r>
        <w:t xml:space="preserve">, dopuštene su samo na internetskim platformama koje nude tehničku mogućnost da se iz publike tog sadržaja isključe svi korisnici mlađi od osamnaest godina i ako te osobe stvarno aktiviraju taj mehanizam isključenja. </w:t>
      </w:r>
    </w:p>
    <w:p w14:paraId="6EB44F5A" w14:textId="77777777" w:rsidR="00BB5F5A" w:rsidRDefault="00900EB7">
      <w:pPr>
        <w:ind w:left="-15"/>
      </w:pPr>
      <w:r>
        <w:t>„Takve komercijalne komunikacije popra</w:t>
      </w:r>
      <w:r>
        <w:t xml:space="preserve">ćene su upućivanjem na zabranu takvog sadržaja za osobe mlađe od 18 godina.  Ta izjava mora biti jasna, čitljiva i razumljiva na bilo kojem korištenom mediju. </w:t>
      </w:r>
    </w:p>
    <w:p w14:paraId="16552C4E" w14:textId="77777777" w:rsidR="00BB5F5A" w:rsidRDefault="00900EB7">
      <w:pPr>
        <w:ind w:left="-15"/>
      </w:pPr>
      <w:r>
        <w:t>„Mehanizmi isključenja predviđeni ovim stavkom VII. moraju biti u skladu s referentnim okvirom k</w:t>
      </w:r>
      <w:r>
        <w:t xml:space="preserve">oji je izradilo Regulatorno tijelo za audiovizualnu i digitalnu komunikaciju nakon savjetovanja s Nacionalnim tijelom za igre na sreću i Nacionalnim povjerenstvom za informacijsku tehnologiju i slobode.  </w:t>
      </w:r>
    </w:p>
    <w:p w14:paraId="5C916282" w14:textId="77777777" w:rsidR="00BB5F5A" w:rsidRDefault="00900EB7">
      <w:pPr>
        <w:ind w:left="-15"/>
      </w:pPr>
      <w:r>
        <w:t>„Ugovori o promidžbi s priređivačima igara na sreću</w:t>
      </w:r>
      <w:r>
        <w:t xml:space="preserve"> sadržavaju odredbu kojom osobe definirane u članku 1. ovog Zakona potvrđuju da su upoznate sa zakonima i propisima koji se primjenjuju na komercijalne komunikacije u vezi s igrama na sreću i da se obvezuju da će ih poštovati.  </w:t>
      </w:r>
    </w:p>
    <w:p w14:paraId="507CFB94" w14:textId="77777777" w:rsidR="00BB5F5A" w:rsidRDefault="00900EB7">
      <w:pPr>
        <w:spacing w:after="122"/>
        <w:ind w:left="-15"/>
      </w:pPr>
      <w:r>
        <w:t>„Kršenje odredaba ovog stav</w:t>
      </w:r>
      <w:r>
        <w:t xml:space="preserve">ka VII. kažnjava se novčanom kaznom predviđenom člankom L. 324-8-1 Zakonika o unutarnjoj sigurnosti.  </w:t>
      </w:r>
    </w:p>
    <w:p w14:paraId="65CC3B40" w14:textId="77777777" w:rsidR="00BB5F5A" w:rsidRDefault="00900EB7">
      <w:pPr>
        <w:spacing w:after="93"/>
        <w:ind w:firstLine="0"/>
      </w:pPr>
      <w:r>
        <w:t>„ VIII. –   Nakon točke 2.</w:t>
      </w:r>
      <w:r>
        <w:rPr>
          <w:sz w:val="17"/>
          <w:vertAlign w:val="superscript"/>
        </w:rPr>
        <w:t xml:space="preserve">o </w:t>
      </w:r>
      <w:r>
        <w:t xml:space="preserve">članka L. 6323-8-1 Zakonika o radu umeće se sljedeći podstavak: </w:t>
      </w:r>
    </w:p>
    <w:p w14:paraId="6709E1F6" w14:textId="77777777" w:rsidR="00BB5F5A" w:rsidRDefault="00900EB7">
      <w:pPr>
        <w:ind w:left="-15"/>
      </w:pPr>
      <w:r>
        <w:t>„Zabranjena je i svaka prodaja ili promotivna ponuda proizvo</w:t>
      </w:r>
      <w:r>
        <w:t xml:space="preserve">da ili svako plaćanje u zamjenu za pretplatu na programe iz članka L. 6323-6.” </w:t>
      </w:r>
    </w:p>
    <w:p w14:paraId="012E80CC" w14:textId="77777777" w:rsidR="00BB5F5A" w:rsidRDefault="00900EB7">
      <w:pPr>
        <w:ind w:left="-15"/>
      </w:pPr>
      <w:r>
        <w:t xml:space="preserve">„ IX. —  Kršenje odredaba stavaka I. do IV. i odredbe VI. ovog članka kažnjava se kaznom predviđenom u članku L. 132-2 Zakonika o zaštiti potrošača. </w:t>
      </w:r>
    </w:p>
    <w:p w14:paraId="700FD132" w14:textId="77777777" w:rsidR="00BB5F5A" w:rsidRDefault="00900EB7">
      <w:pPr>
        <w:spacing w:after="143"/>
        <w:ind w:left="-15"/>
      </w:pPr>
      <w:r>
        <w:t>„ Kad je riječ o tim kažnj</w:t>
      </w:r>
      <w:r>
        <w:t>ivim djelima i kažnjivim djelima predviđenima u stavku VII., počinitelju se također može, u skladu s postupcima predviđenima u članku 131-27 Kaznenog zakonika, zabraniti obavljanje profesionalne ili društvene djelatnosti u okviru koje je kažnjivo djelo poč</w:t>
      </w:r>
      <w:r>
        <w:t xml:space="preserve">injeno ili aktivnosti komercijalnog utjecaja elektroničkim putem iz članka 1. ovog Zakona. </w:t>
      </w:r>
    </w:p>
    <w:p w14:paraId="29D9691F" w14:textId="77777777" w:rsidR="00BB5F5A" w:rsidRDefault="00900EB7">
      <w:pPr>
        <w:spacing w:after="81"/>
        <w:ind w:firstLine="0"/>
      </w:pPr>
      <w:r>
        <w:t>„ X. — Nakon točke 31.</w:t>
      </w:r>
      <w:r>
        <w:rPr>
          <w:sz w:val="17"/>
          <w:vertAlign w:val="superscript"/>
        </w:rPr>
        <w:t xml:space="preserve">o </w:t>
      </w:r>
      <w:r>
        <w:t xml:space="preserve">članka L. 511-7 Zakonika o zaštiti potrošača umeće se točka 32.: </w:t>
      </w:r>
    </w:p>
    <w:p w14:paraId="14A29651" w14:textId="77777777" w:rsidR="00BB5F5A" w:rsidRDefault="00900EB7">
      <w:pPr>
        <w:spacing w:after="0" w:line="302" w:lineRule="auto"/>
        <w:ind w:left="-15" w:right="-15"/>
        <w:jc w:val="left"/>
      </w:pPr>
      <w:r>
        <w:t>„32.</w:t>
      </w:r>
      <w:r>
        <w:rPr>
          <w:sz w:val="17"/>
          <w:vertAlign w:val="superscript"/>
        </w:rPr>
        <w:t xml:space="preserve">o </w:t>
      </w:r>
      <w:r>
        <w:t xml:space="preserve">Stavak V. članka 4. Zakona br. 2023-451 od 9. lipnja 2023., čiji je </w:t>
      </w:r>
      <w:r>
        <w:t xml:space="preserve">cilj reguliranje komercijalnog utjecaja i borba protiv zlouporaba utjecajnih osoba na društvenim mrežama.”; III. — Članak 5. zamjenjuje se sljedećim odredbama: </w:t>
      </w:r>
    </w:p>
    <w:p w14:paraId="3C6D62EA" w14:textId="77777777" w:rsidR="00BB5F5A" w:rsidRDefault="00900EB7">
      <w:pPr>
        <w:ind w:left="-15"/>
      </w:pPr>
      <w:r>
        <w:t xml:space="preserve">„ </w:t>
      </w:r>
      <w:r>
        <w:rPr>
          <w:i/>
        </w:rPr>
        <w:t xml:space="preserve">Članak 5. – </w:t>
      </w:r>
      <w:r>
        <w:t>I. — Sadržaj koji priopće osobe iz članka 1. ovog zakona, a koji se sastoji od sl</w:t>
      </w:r>
      <w:r>
        <w:t xml:space="preserve">ika koje su bile podvrgnute: </w:t>
      </w:r>
    </w:p>
    <w:p w14:paraId="4B787B68" w14:textId="77777777" w:rsidR="00BB5F5A" w:rsidRDefault="00900EB7">
      <w:pPr>
        <w:spacing w:after="31"/>
        <w:ind w:left="-15"/>
      </w:pPr>
      <w:r>
        <w:t>„1.</w:t>
      </w:r>
      <w:r>
        <w:rPr>
          <w:sz w:val="17"/>
          <w:vertAlign w:val="superscript"/>
        </w:rPr>
        <w:t xml:space="preserve">o </w:t>
      </w:r>
      <w:r>
        <w:t xml:space="preserve">Izmjena putem bilo kojeg postupka obrade slike radi pročišćavanja ili podebljavanja siluete ili izmjene izgleda lica popraćena je riječima: „Uređene slike”; </w:t>
      </w:r>
    </w:p>
    <w:p w14:paraId="68231ACC" w14:textId="77777777" w:rsidR="00BB5F5A" w:rsidRDefault="00900EB7">
      <w:pPr>
        <w:ind w:left="-15"/>
      </w:pPr>
      <w:r>
        <w:lastRenderedPageBreak/>
        <w:t>„2.</w:t>
      </w:r>
      <w:r>
        <w:rPr>
          <w:sz w:val="17"/>
          <w:vertAlign w:val="superscript"/>
        </w:rPr>
        <w:t xml:space="preserve">o </w:t>
      </w:r>
      <w:r>
        <w:t>Generiranje bilo kojim postupkom umjetne inteligencije rad</w:t>
      </w:r>
      <w:r>
        <w:t xml:space="preserve">i predstavljanja lica ili siluete popraćena je riječima: „Virtualne slike”. </w:t>
      </w:r>
    </w:p>
    <w:p w14:paraId="25C7F208" w14:textId="77777777" w:rsidR="00BB5F5A" w:rsidRDefault="00900EB7">
      <w:pPr>
        <w:ind w:left="-15"/>
      </w:pPr>
      <w:r>
        <w:t xml:space="preserve">„ </w:t>
      </w:r>
      <w:r>
        <w:t>Izrazi navedeni u ovom stavku I. moraju biti jasni, čitljivi i razumljivi na bilo kojem korištenom mediju. Mogu se zamijeniti istovjetnim izrazom prilagođenim značajkama djelatnosti koju obavlja utjecajna osoba i formatu upotrijebljenog komunikacijskog med</w:t>
      </w:r>
      <w:r>
        <w:t xml:space="preserve">ija. </w:t>
      </w:r>
    </w:p>
    <w:p w14:paraId="029CE24B" w14:textId="77777777" w:rsidR="00BB5F5A" w:rsidRDefault="00900EB7">
      <w:pPr>
        <w:ind w:left="-15"/>
      </w:pPr>
      <w:r>
        <w:t>„ II. — Ako promidžbu provode osobe iz članka 1. ovog Zakona, a odnosi se na prijavu za djelatnost strukovnog osposobljavanja iz članka L. 6313-1 Zakonika o radu, koju financira jedno od tijela iz članka L. 6316-1 tog zakonika, upućivanje iz članka 5</w:t>
      </w:r>
      <w:r>
        <w:t>-2 ovog Zakona sadržava informacije koje se odnose na povezano financiranje, obveze i pravila prihvatljivosti, identificiranje pružatelja odgovornih za te programe osposobljavanja i pružatelja usluge koji se poziva na elektroničku uslugu iz članka L. 6323-</w:t>
      </w:r>
      <w:r>
        <w:t xml:space="preserve">9 istog Zakonika. </w:t>
      </w:r>
    </w:p>
    <w:p w14:paraId="57A2125D" w14:textId="77777777" w:rsidR="00BB5F5A" w:rsidRDefault="00900EB7">
      <w:pPr>
        <w:ind w:left="-15"/>
      </w:pPr>
      <w:r>
        <w:t xml:space="preserve">„ III. — Kršenje odredaba stavaka I. i II. ovog članka kažnjava se kaznom zatvora od jedne godine i novčanom kaznom od 4 500 EUR. </w:t>
      </w:r>
    </w:p>
    <w:p w14:paraId="7FA75FB0" w14:textId="77777777" w:rsidR="00BB5F5A" w:rsidRDefault="00900EB7">
      <w:pPr>
        <w:spacing w:after="143"/>
        <w:ind w:firstLine="0"/>
      </w:pPr>
      <w:r>
        <w:t>„ IV. — Načini primjene stavaka I. i II. ovog članka utvrđuju se uredbom koja će se donijeti nakon sasluša</w:t>
      </w:r>
      <w:r>
        <w:t xml:space="preserve">nja Državnog vijeća.” </w:t>
      </w:r>
    </w:p>
    <w:p w14:paraId="530ED4FA" w14:textId="77777777" w:rsidR="00BB5F5A" w:rsidRDefault="00900EB7">
      <w:pPr>
        <w:spacing w:after="92"/>
        <w:ind w:firstLine="0"/>
      </w:pPr>
      <w:r>
        <w:t xml:space="preserve">IV. — Nakon članka 5. umeću se članci 5-1 i 5-2, koji glase kako slijedi: </w:t>
      </w:r>
    </w:p>
    <w:p w14:paraId="7B0D6657" w14:textId="77777777" w:rsidR="00BB5F5A" w:rsidRDefault="00900EB7">
      <w:pPr>
        <w:ind w:left="-15"/>
      </w:pPr>
      <w:r>
        <w:t xml:space="preserve">„ </w:t>
      </w:r>
      <w:r>
        <w:rPr>
          <w:i/>
        </w:rPr>
        <w:t xml:space="preserve">Članak 5-1 – </w:t>
      </w:r>
      <w:r>
        <w:t>I. — Odredbe članka 4. stavaka od I. do III. ne primjenjuju se na pružatelje medijskih usluga u smislu Direktive 2010/13/EU Europskog parlament</w:t>
      </w:r>
      <w:r>
        <w:t xml:space="preserve">a i Vijeća od 10. ožujka 2010. koji su u nadležnosti druge države članice Europskog gospodarskog prostora u smislu članka 2. stavka 2. te direktive. S druge strane, primjenjuju se na takve pružatelje usluga kada su u nadležnosti Francuske. </w:t>
      </w:r>
    </w:p>
    <w:p w14:paraId="4C1C0A8C" w14:textId="77777777" w:rsidR="00BB5F5A" w:rsidRDefault="00900EB7">
      <w:pPr>
        <w:ind w:left="-15"/>
      </w:pPr>
      <w:r>
        <w:t xml:space="preserve">„ Međutim, ako </w:t>
      </w:r>
      <w:r>
        <w:t xml:space="preserve">su ispunjeni uvjeti iz članka 3. stavaka 2. i 3. ili članka 4. stavaka od 2. do 5. te direktive te na kraju postupka utvrđenog u tim odredbama, upravno tijelo dotičnu osobu </w:t>
      </w:r>
      <w:proofErr w:type="spellStart"/>
      <w:r>
        <w:t>obaviještava</w:t>
      </w:r>
      <w:proofErr w:type="spellEnd"/>
      <w:r>
        <w:t xml:space="preserve"> o odredbama koje se na nju primjenjuju, podložno odgovarajućim sankcij</w:t>
      </w:r>
      <w:r>
        <w:t xml:space="preserve">ama, kao i o dotičnoj usluzi. </w:t>
      </w:r>
    </w:p>
    <w:p w14:paraId="6ACD68E9" w14:textId="77777777" w:rsidR="00BB5F5A" w:rsidRDefault="00900EB7">
      <w:pPr>
        <w:ind w:left="-15"/>
      </w:pPr>
      <w:r>
        <w:t xml:space="preserve">„ II. — Podložno stavku I., u pogledu primjene odredbi članka 4. stavaka od I. do III. članka na pružatelje medijskih usluga, odredbe članaka 4. i 5. ne primjenjuju se na osobe s poslovnim </w:t>
      </w:r>
      <w:proofErr w:type="spellStart"/>
      <w:r>
        <w:t>nastanom</w:t>
      </w:r>
      <w:proofErr w:type="spellEnd"/>
      <w:r>
        <w:t xml:space="preserve"> u drugoj državi stranci Eur</w:t>
      </w:r>
      <w:r>
        <w:t xml:space="preserve">opskog gospodarskog prostora. </w:t>
      </w:r>
    </w:p>
    <w:p w14:paraId="653E9A7E" w14:textId="77777777" w:rsidR="00BB5F5A" w:rsidRDefault="00900EB7">
      <w:pPr>
        <w:ind w:left="-15"/>
      </w:pPr>
      <w:r>
        <w:t xml:space="preserve">„ Međutim, ako su ispunjeni uvjeti iz članka 3. stavaka 4. do 5. Direktive 2000/31/EZ Europskog parlamenta i Vijeća od 8. lipnja 2000. te na kraju postupka utvrđenog u tim odredbama, upravno tijelo dotičnu osobu </w:t>
      </w:r>
      <w:proofErr w:type="spellStart"/>
      <w:r>
        <w:t>obaviještava</w:t>
      </w:r>
      <w:proofErr w:type="spellEnd"/>
      <w:r>
        <w:t xml:space="preserve"> </w:t>
      </w:r>
      <w:r>
        <w:t xml:space="preserve">o odredbama koje se na nju primjenjuju, podložno odgovarajućim sankcijama, kao i o dotičnoj usluzi. </w:t>
      </w:r>
    </w:p>
    <w:p w14:paraId="2DB9CAB0" w14:textId="77777777" w:rsidR="00BB5F5A" w:rsidRDefault="00900EB7">
      <w:pPr>
        <w:spacing w:after="92"/>
        <w:ind w:firstLine="0"/>
      </w:pPr>
      <w:r>
        <w:t xml:space="preserve">„ III. — Načini provedbe ovog članka utvrđuju se odlukom Državnog vijeća. </w:t>
      </w:r>
    </w:p>
    <w:p w14:paraId="4BA17F87" w14:textId="77777777" w:rsidR="00BB5F5A" w:rsidRDefault="00900EB7">
      <w:pPr>
        <w:ind w:left="-15"/>
      </w:pPr>
      <w:r>
        <w:t xml:space="preserve">„ </w:t>
      </w:r>
      <w:r>
        <w:rPr>
          <w:i/>
        </w:rPr>
        <w:t xml:space="preserve">Članak 5-2 – </w:t>
      </w:r>
      <w:r>
        <w:t>Riječ je o zavaravajućoj poslovnoj praksi u smislu članka L. 121-</w:t>
      </w:r>
      <w:r>
        <w:t>3 Zakonika o zaštiti potrošača i pod uvjetima iz tog članka, ako fizička ili pravna osoba koja obavlja djelatnost utjecaja u smislu članka 1. ovog Zakona na bilo kojem korištenom mediju ne navede na jasan, čitljiv i razumljiv način poslovnu namjeru koju im</w:t>
      </w:r>
      <w:r>
        <w:t xml:space="preserve">a, osima ako ta namjera već ne proizlazi iz konteksta. </w:t>
      </w:r>
    </w:p>
    <w:p w14:paraId="0DA643B9" w14:textId="77777777" w:rsidR="00BB5F5A" w:rsidRDefault="00900EB7">
      <w:pPr>
        <w:spacing w:after="149"/>
        <w:ind w:left="-15"/>
      </w:pPr>
      <w:r>
        <w:t>„ Komercijalna namjera može se izričito navesti upotrebom izraza „oglašavanje” ili „komercijalna suradnja” ili jednakovrijednim izrazom prilagođenim značajkama utjecajne aktivnosti i formatu korišteno</w:t>
      </w:r>
      <w:r>
        <w:t xml:space="preserve">g medija.” </w:t>
      </w:r>
    </w:p>
    <w:p w14:paraId="3E80D657" w14:textId="77777777" w:rsidR="00BB5F5A" w:rsidRDefault="00900EB7">
      <w:pPr>
        <w:spacing w:after="86"/>
        <w:ind w:firstLine="0"/>
      </w:pPr>
      <w:r>
        <w:t xml:space="preserve">V. — Članak 9. zamjenjuje se sljedećim odredbama: </w:t>
      </w:r>
    </w:p>
    <w:p w14:paraId="6FABA20B" w14:textId="77777777" w:rsidR="00BB5F5A" w:rsidRDefault="00900EB7">
      <w:pPr>
        <w:ind w:left="-15"/>
      </w:pPr>
      <w:r>
        <w:t xml:space="preserve">„ </w:t>
      </w:r>
      <w:r>
        <w:rPr>
          <w:i/>
        </w:rPr>
        <w:t xml:space="preserve">Članak 9. – </w:t>
      </w:r>
      <w:r>
        <w:t xml:space="preserve">Ako obavljaju djelatnost definiranu u članku 1. i nemaju poslovni </w:t>
      </w:r>
      <w:proofErr w:type="spellStart"/>
      <w:r>
        <w:t>nastan</w:t>
      </w:r>
      <w:proofErr w:type="spellEnd"/>
      <w:r>
        <w:t xml:space="preserve"> na državnom području države članice Europske unije, Švicarske Konfederacije ili Europskog gospodarskog pro</w:t>
      </w:r>
      <w:r>
        <w:t>stora te su usmjerene na publiku u Francuskoj, pravne ili fizičke osobe koje obavljaju samostalnu djelatnost u skladu sa statusom definiranim u člancima od L. 526-6 do L. 526-21 Trgovačkog zakonika ili člancima od L. 526-22 do L. 526-26 tog zakonika pisani</w:t>
      </w:r>
      <w:r>
        <w:t xml:space="preserve">m putem imenuje pravnu ili fizičku osobu, čime se osigurava njihovo zastupanje na području Europske unije. </w:t>
      </w:r>
    </w:p>
    <w:p w14:paraId="2674630E" w14:textId="77777777" w:rsidR="00BB5F5A" w:rsidRDefault="00900EB7">
      <w:pPr>
        <w:ind w:left="-15"/>
      </w:pPr>
      <w:r>
        <w:t>„ Svrha zastupanja jest osiguravanje usklađenosti ugovora čiji je cilj ili učinak provedba aktivnosti komercijalnog utjecaja elektroničkim putem koj</w:t>
      </w:r>
      <w:r>
        <w:t>a je usmjerena, među ostalim, na publiku na francuskom državnom području. Imenovana je osoba također odgovorna za odgovaranje, osim ili umjesto osoba navedenih u prvom podstavku ovog članka, na sve zahtjeve nadležnih upravnih ili pravosudnih tijela za pošt</w:t>
      </w:r>
      <w:r>
        <w:t xml:space="preserve">ovanje ovog zakona. </w:t>
      </w:r>
    </w:p>
    <w:p w14:paraId="5A08C8A8" w14:textId="77777777" w:rsidR="00BB5F5A" w:rsidRDefault="00900EB7">
      <w:pPr>
        <w:ind w:left="-15"/>
      </w:pPr>
      <w:r>
        <w:t xml:space="preserve">„ Osobe iz prvog podstavka daju tako imenovanoj osobi potrebne ovlasti i dostatna sredstva kako bi se osigurala učinkovita suradnja s nadležnim tijelima radi poštovanja ovog zakona. </w:t>
      </w:r>
    </w:p>
    <w:p w14:paraId="1E06B431" w14:textId="77777777" w:rsidR="00BB5F5A" w:rsidRDefault="00900EB7">
      <w:pPr>
        <w:ind w:left="-15"/>
      </w:pPr>
      <w:r>
        <w:t>„ Osobe iz prvog podstavka na zahtjev dostavljaju na</w:t>
      </w:r>
      <w:r>
        <w:t xml:space="preserve">dležnim upravnim tijelima ime, poštansku adresu, adresu e-pošte i telefonski broj osobe imenovane u skladu s tim prvim podstavkom. </w:t>
      </w:r>
    </w:p>
    <w:p w14:paraId="023B8981" w14:textId="77777777" w:rsidR="00BB5F5A" w:rsidRDefault="00900EB7">
      <w:pPr>
        <w:ind w:firstLine="0"/>
      </w:pPr>
      <w:r>
        <w:t xml:space="preserve">„To imenovanje ne predstavlja poslovni </w:t>
      </w:r>
      <w:proofErr w:type="spellStart"/>
      <w:r>
        <w:t>nastan</w:t>
      </w:r>
      <w:proofErr w:type="spellEnd"/>
      <w:r>
        <w:t xml:space="preserve"> u Europskoj uniji.  </w:t>
      </w:r>
    </w:p>
    <w:p w14:paraId="4116DB33" w14:textId="77777777" w:rsidR="00BB5F5A" w:rsidRDefault="00900EB7">
      <w:pPr>
        <w:ind w:left="-15"/>
      </w:pPr>
      <w:r>
        <w:t xml:space="preserve">„ </w:t>
      </w:r>
      <w:r>
        <w:t xml:space="preserve">II. — Osoba koja obavlja djelatnost iz članka 1. i koja ima poslovni </w:t>
      </w:r>
      <w:proofErr w:type="spellStart"/>
      <w:r>
        <w:t>nastan</w:t>
      </w:r>
      <w:proofErr w:type="spellEnd"/>
      <w:r>
        <w:t xml:space="preserve"> izvan Europske unije, Švicarske Konfederacije ili Europskog gospodarskog prostora dužna je ugovoriti građansko osiguranje koje jamči financijske posljedice njezine profesionalne gr</w:t>
      </w:r>
      <w:r>
        <w:t xml:space="preserve">ađanske odgovornosti kod osiguravatelja s poslovnim </w:t>
      </w:r>
      <w:proofErr w:type="spellStart"/>
      <w:r>
        <w:t>nastanom</w:t>
      </w:r>
      <w:proofErr w:type="spellEnd"/>
      <w:r>
        <w:t xml:space="preserve"> u Europskoj uniji, ako je ta djelatnost namijenjena, čak i slučajno, publici na francuskom državnom području. </w:t>
      </w:r>
      <w:r>
        <w:lastRenderedPageBreak/>
        <w:t>„III. —  Postupci provedbe ovog članka utvrđuju se uredbom donesenom nakon savjetovan</w:t>
      </w:r>
      <w:r>
        <w:t xml:space="preserve">ja s Državnim vijećem.” </w:t>
      </w:r>
    </w:p>
    <w:p w14:paraId="24E41C5B" w14:textId="77777777" w:rsidR="00BB5F5A" w:rsidRDefault="00900EB7">
      <w:pPr>
        <w:spacing w:after="45" w:line="259" w:lineRule="auto"/>
        <w:ind w:left="10" w:right="1" w:hanging="10"/>
        <w:jc w:val="center"/>
      </w:pPr>
      <w:r>
        <w:rPr>
          <w:rFonts w:ascii="Calibri" w:hAnsi="Calibri"/>
          <w:b/>
        </w:rPr>
        <w:t xml:space="preserve">Članak 2. </w:t>
      </w:r>
    </w:p>
    <w:p w14:paraId="5E209DF5" w14:textId="77777777" w:rsidR="00BB5F5A" w:rsidRDefault="00900EB7">
      <w:pPr>
        <w:spacing w:after="76" w:line="216" w:lineRule="auto"/>
        <w:ind w:left="-15" w:right="-15"/>
        <w:jc w:val="left"/>
      </w:pPr>
      <w:r>
        <w:t xml:space="preserve">Za primjenu ove Odluke, koja će biti objavljena u </w:t>
      </w:r>
      <w:r>
        <w:rPr>
          <w:i/>
        </w:rPr>
        <w:t>Službenom listu</w:t>
      </w:r>
      <w:r>
        <w:t xml:space="preserve"> Francuske Republike, zaduženi su, svaki u svojem resoru, predsjednik Vlade i ministar gospodarstva, financija i industrije. </w:t>
      </w:r>
    </w:p>
    <w:p w14:paraId="2458A41C" w14:textId="77777777" w:rsidR="00BB5F5A" w:rsidRDefault="00900EB7">
      <w:pPr>
        <w:ind w:firstLine="0"/>
      </w:pPr>
      <w:r>
        <w:t xml:space="preserve">Sastavljeno 6. studenog 2024. </w:t>
      </w:r>
    </w:p>
    <w:p w14:paraId="779C936B" w14:textId="77777777" w:rsidR="00BB5F5A" w:rsidRDefault="00900EB7">
      <w:pPr>
        <w:spacing w:after="70" w:line="259" w:lineRule="auto"/>
        <w:ind w:left="10" w:right="416" w:hanging="10"/>
        <w:jc w:val="right"/>
      </w:pPr>
      <w:r>
        <w:t>E</w:t>
      </w:r>
      <w:r>
        <w:rPr>
          <w:sz w:val="15"/>
        </w:rPr>
        <w:t xml:space="preserve">MMANUEL </w:t>
      </w:r>
      <w:r>
        <w:t>M</w:t>
      </w:r>
      <w:r>
        <w:rPr>
          <w:sz w:val="15"/>
        </w:rPr>
        <w:t xml:space="preserve">ACRON </w:t>
      </w:r>
    </w:p>
    <w:p w14:paraId="4CD07A7D" w14:textId="77777777" w:rsidR="00BB5F5A" w:rsidRDefault="00900EB7">
      <w:pPr>
        <w:spacing w:after="73" w:line="259" w:lineRule="auto"/>
        <w:ind w:left="544" w:firstLine="0"/>
        <w:jc w:val="left"/>
      </w:pPr>
      <w:r>
        <w:rPr>
          <w:sz w:val="18"/>
        </w:rPr>
        <w:t xml:space="preserve">Predsjednik Republike: </w:t>
      </w:r>
    </w:p>
    <w:p w14:paraId="74F7E8BF" w14:textId="77777777" w:rsidR="00BB5F5A" w:rsidRDefault="00900EB7" w:rsidP="00D32AFA">
      <w:pPr>
        <w:spacing w:after="8" w:line="259" w:lineRule="auto"/>
        <w:ind w:left="0" w:firstLine="206"/>
        <w:jc w:val="left"/>
      </w:pPr>
      <w:r>
        <w:rPr>
          <w:i/>
        </w:rPr>
        <w:t xml:space="preserve">Predsjednik Vlade, </w:t>
      </w:r>
    </w:p>
    <w:p w14:paraId="65A8D155" w14:textId="77777777" w:rsidR="00BB5F5A" w:rsidRDefault="00900EB7">
      <w:pPr>
        <w:pStyle w:val="Heading1"/>
        <w:spacing w:after="47"/>
        <w:ind w:left="206" w:right="0"/>
      </w:pPr>
      <w:r>
        <w:rPr>
          <w:sz w:val="22"/>
        </w:rPr>
        <w:t>M</w:t>
      </w:r>
      <w:r>
        <w:t xml:space="preserve">ICHEL </w:t>
      </w:r>
      <w:r>
        <w:rPr>
          <w:sz w:val="22"/>
        </w:rPr>
        <w:t>B</w:t>
      </w:r>
      <w:r>
        <w:t xml:space="preserve">ARNIER </w:t>
      </w:r>
    </w:p>
    <w:p w14:paraId="1873A417" w14:textId="2CF6FE33" w:rsidR="00BB5F5A" w:rsidRDefault="00900EB7">
      <w:pPr>
        <w:spacing w:after="54" w:line="216" w:lineRule="auto"/>
        <w:ind w:left="7307" w:firstLine="0"/>
        <w:jc w:val="center"/>
      </w:pPr>
      <w:r>
        <w:rPr>
          <w:i/>
        </w:rPr>
        <w:t>Ministar gospodarstva,</w:t>
      </w:r>
      <w:r>
        <w:rPr>
          <w:i/>
        </w:rPr>
        <w:t xml:space="preserve"> financija i industrije, </w:t>
      </w:r>
    </w:p>
    <w:p w14:paraId="276AC3A6" w14:textId="23F96FBD" w:rsidR="00BB5F5A" w:rsidRDefault="00900EB7">
      <w:pPr>
        <w:spacing w:after="70" w:line="259" w:lineRule="auto"/>
        <w:ind w:left="10" w:right="544" w:hanging="10"/>
        <w:jc w:val="right"/>
      </w:pPr>
      <w:r>
        <w:t>A</w:t>
      </w:r>
      <w:r>
        <w:rPr>
          <w:sz w:val="15"/>
        </w:rPr>
        <w:t xml:space="preserve">NTOINE </w:t>
      </w:r>
      <w:r>
        <w:t>A</w:t>
      </w:r>
      <w:r>
        <w:rPr>
          <w:sz w:val="15"/>
        </w:rPr>
        <w:t>RMAND</w:t>
      </w:r>
    </w:p>
    <w:sectPr w:rsidR="00BB5F5A">
      <w:headerReference w:type="even" r:id="rId7"/>
      <w:headerReference w:type="default" r:id="rId8"/>
      <w:headerReference w:type="first" r:id="rId9"/>
      <w:pgSz w:w="11906" w:h="16838"/>
      <w:pgMar w:top="1420" w:right="992" w:bottom="782" w:left="992" w:header="74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C723" w14:textId="77777777" w:rsidR="00900EB7" w:rsidRDefault="00900EB7">
      <w:pPr>
        <w:spacing w:after="0" w:line="240" w:lineRule="auto"/>
      </w:pPr>
      <w:r>
        <w:separator/>
      </w:r>
    </w:p>
  </w:endnote>
  <w:endnote w:type="continuationSeparator" w:id="0">
    <w:p w14:paraId="0CD66411" w14:textId="77777777" w:rsidR="00900EB7" w:rsidRDefault="0090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050C" w14:textId="77777777" w:rsidR="00900EB7" w:rsidRDefault="00900EB7">
      <w:pPr>
        <w:spacing w:after="0" w:line="240" w:lineRule="auto"/>
      </w:pPr>
      <w:r>
        <w:separator/>
      </w:r>
    </w:p>
  </w:footnote>
  <w:footnote w:type="continuationSeparator" w:id="0">
    <w:p w14:paraId="2434E0F9" w14:textId="77777777" w:rsidR="00900EB7" w:rsidRDefault="00900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7C3" w14:textId="77777777" w:rsidR="00BB5F5A" w:rsidRDefault="00900EB7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>7. studenoga 2024.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SLUŽBENI LIST FRANCUSKE REPUBLIKE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Tekst 18 od 120 </w:t>
    </w:r>
  </w:p>
  <w:p w14:paraId="7D2344F0" w14:textId="77777777" w:rsidR="00BB5F5A" w:rsidRDefault="00900EB7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2303E79" wp14:editId="7FD982B1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94" name="Group 6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95" name="Picture 63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94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95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EF25" w14:textId="77777777" w:rsidR="00BB5F5A" w:rsidRDefault="00900EB7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>7. studenoga 2024.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SLUŽBENI LIST FRANCUSKE REPUBLIKE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Tekst 18 od 120 </w:t>
    </w:r>
  </w:p>
  <w:p w14:paraId="03F43403" w14:textId="77777777" w:rsidR="00BB5F5A" w:rsidRDefault="00900EB7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77BF3A" wp14:editId="4AF008E2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75" name="Group 6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76" name="Picture 63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75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76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51A4" w14:textId="77777777" w:rsidR="00BB5F5A" w:rsidRDefault="00900EB7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>7. studenoga 2024.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SLUŽBENI LIST FRANCUSKE REPUBLIKE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Tekst 18 od 120 </w:t>
    </w:r>
  </w:p>
  <w:p w14:paraId="3D44B973" w14:textId="77777777" w:rsidR="00BB5F5A" w:rsidRDefault="00900EB7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591A6C2" wp14:editId="6FB74674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56" name="Group 63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57" name="Picture 63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56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57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60A7B"/>
    <w:multiLevelType w:val="hybridMultilevel"/>
    <w:tmpl w:val="81E49FE6"/>
    <w:lvl w:ilvl="0" w:tplc="AA867C62">
      <w:start w:val="1"/>
      <w:numFmt w:val="upperRoman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04FD0">
      <w:start w:val="1"/>
      <w:numFmt w:val="lowerLetter"/>
      <w:lvlText w:val="%2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D000F2">
      <w:start w:val="1"/>
      <w:numFmt w:val="lowerRoman"/>
      <w:lvlText w:val="%3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EAA90">
      <w:start w:val="1"/>
      <w:numFmt w:val="decimal"/>
      <w:lvlText w:val="%4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38C92A">
      <w:start w:val="1"/>
      <w:numFmt w:val="lowerLetter"/>
      <w:lvlText w:val="%5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4786A">
      <w:start w:val="1"/>
      <w:numFmt w:val="lowerRoman"/>
      <w:lvlText w:val="%6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4E6C7E">
      <w:start w:val="1"/>
      <w:numFmt w:val="decimal"/>
      <w:lvlText w:val="%7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217EC">
      <w:start w:val="1"/>
      <w:numFmt w:val="lowerLetter"/>
      <w:lvlText w:val="%8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DEF09C">
      <w:start w:val="1"/>
      <w:numFmt w:val="lowerRoman"/>
      <w:lvlText w:val="%9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5A"/>
    <w:rsid w:val="00900EB7"/>
    <w:rsid w:val="00AC55CF"/>
    <w:rsid w:val="00BB5F5A"/>
    <w:rsid w:val="00C256E0"/>
    <w:rsid w:val="00D13BAC"/>
    <w:rsid w:val="00D3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05B5"/>
  <w15:docId w15:val="{9644DAF2-F404-4830-B1A9-A4FAC1D1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5" w:line="225" w:lineRule="auto"/>
      <w:ind w:left="215" w:firstLine="205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0"/>
      <w:ind w:right="431"/>
      <w:outlineLvl w:val="0"/>
    </w:pPr>
    <w:rPr>
      <w:rFonts w:ascii="Times New Roman" w:eastAsia="Times New Roman" w:hAnsi="Times New Roman" w:cs="Times New Roman"/>
      <w:color w:val="00000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2020</Words>
  <Characters>11880</Characters>
  <Application>Microsoft Office Word</Application>
  <DocSecurity>0</DocSecurity>
  <Lines>172</Lines>
  <Paragraphs>89</Paragraphs>
  <ScaleCrop>false</ScaleCrop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officiel de la République française - N° 264 du 7 novembre 2024</dc:title>
  <dc:subject>Lois et décrets</dc:subject>
  <dc:creator>Direction de l'information légale et administrative</dc:creator>
  <cp:keywords>ISSN:2261-5385;class='Internal'</cp:keywords>
  <cp:lastModifiedBy>Ragnhild Efraimsson</cp:lastModifiedBy>
  <cp:revision>2</cp:revision>
  <dcterms:created xsi:type="dcterms:W3CDTF">2024-12-17T14:41:00Z</dcterms:created>
  <dcterms:modified xsi:type="dcterms:W3CDTF">2024-12-17T14:41:00Z</dcterms:modified>
</cp:coreProperties>
</file>