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BA6658">
      <w:pPr>
        <w:spacing w:after="324" w:line="259" w:lineRule="auto"/>
        <w:ind w:left="0" w:right="1" w:firstLine="0"/>
        <w:jc w:val="center"/>
      </w:pPr>
      <w:r>
        <w:rPr>
          <w:rFonts w:ascii="Calibri" w:hAnsi="Calibri"/>
          <w:color w:val="0093D1"/>
          <w:sz w:val="43"/>
        </w:rPr>
        <w:t xml:space="preserve">Besluiten, circulaires </w:t>
      </w:r>
    </w:p>
    <w:p w14:paraId="4AC62185" w14:textId="77777777" w:rsidR="00BB5F5A" w:rsidRDefault="00BA6658">
      <w:pPr>
        <w:spacing w:after="420" w:line="259" w:lineRule="auto"/>
        <w:ind w:left="0" w:right="1" w:firstLine="0"/>
        <w:jc w:val="center"/>
      </w:pPr>
      <w:r>
        <w:rPr>
          <w:rFonts w:ascii="Calibri" w:hAnsi="Calibri"/>
          <w:color w:val="393C96"/>
          <w:sz w:val="28"/>
        </w:rPr>
        <w:t xml:space="preserve">ALGEMENE TEKSTEN </w:t>
      </w:r>
    </w:p>
    <w:p w14:paraId="2E00BDAA" w14:textId="77777777" w:rsidR="00BB5F5A" w:rsidRDefault="00BA6658">
      <w:pPr>
        <w:pStyle w:val="Heading1"/>
        <w:spacing w:after="273"/>
        <w:ind w:right="0"/>
        <w:jc w:val="center"/>
      </w:pPr>
      <w:r>
        <w:rPr>
          <w:rFonts w:ascii="Calibri" w:hAnsi="Calibri"/>
          <w:b/>
          <w:color w:val="393C96"/>
          <w:sz w:val="20"/>
        </w:rPr>
        <w:t xml:space="preserve">MINISTERIE VAN ECONOMIE, FINANCIËN EN INDUSTRIE </w:t>
      </w:r>
    </w:p>
    <w:p w14:paraId="6D78EE22" w14:textId="77777777" w:rsidR="00BB5F5A" w:rsidRDefault="00BA6658">
      <w:pPr>
        <w:spacing w:after="130" w:line="216" w:lineRule="auto"/>
        <w:ind w:right="1" w:hanging="215"/>
      </w:pPr>
      <w:r>
        <w:rPr>
          <w:rFonts w:ascii="Calibri" w:hAnsi="Calibri"/>
          <w:b/>
          <w:color w:val="5C5D61"/>
        </w:rPr>
        <w:t xml:space="preserve">Besluit nr. 2024-978 van 6 november 2024 tot wijziging van Wet nr. 2024-451 van 9 juni 2023 ter regulering van de commerciële invloed en ter bestrijding van misbruik van influencers op sociale netwerken </w:t>
      </w:r>
    </w:p>
    <w:p w14:paraId="53548437" w14:textId="77777777" w:rsidR="00BB5F5A" w:rsidRDefault="00BA6658">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BA6658">
      <w:pPr>
        <w:ind w:firstLine="0"/>
      </w:pPr>
      <w:r>
        <w:t xml:space="preserve">De president van de Republiek, </w:t>
      </w:r>
    </w:p>
    <w:p w14:paraId="60771B53" w14:textId="77777777" w:rsidR="00BB5F5A" w:rsidRDefault="00BA6658">
      <w:pPr>
        <w:spacing w:after="88"/>
        <w:ind w:firstLine="0"/>
      </w:pPr>
      <w:r>
        <w:t>O</w:t>
      </w:r>
      <w:r>
        <w:t xml:space="preserve">p verslag van de minister-president en de minister van Economie, Financiën en Industrie, </w:t>
      </w:r>
    </w:p>
    <w:p w14:paraId="54602248" w14:textId="77777777" w:rsidR="00BB5F5A" w:rsidRDefault="00BA6658">
      <w:pPr>
        <w:spacing w:after="30"/>
        <w:ind w:firstLine="0"/>
      </w:pPr>
      <w:r>
        <w:t xml:space="preserve">Gezien de Grondwet, en met name artikel 38; </w:t>
      </w:r>
    </w:p>
    <w:p w14:paraId="071009EA" w14:textId="77777777" w:rsidR="00BB5F5A" w:rsidRDefault="00BA6658">
      <w:pPr>
        <w:spacing w:after="24"/>
        <w:ind w:left="-15"/>
      </w:pPr>
      <w:r>
        <w:t>Gezien Richtlijn 2000/31/EG van het Europees Parlement en de Raad van 8 juni 2000 betreffende bepaalde juridische aspecte</w:t>
      </w:r>
      <w:r>
        <w:t xml:space="preserve">n van de diensten van de informatiemaatschappij, met name elektronische handel, in de interne markt (“Richtlijn inzake elektronische handel”); </w:t>
      </w:r>
    </w:p>
    <w:p w14:paraId="0D58FCC0" w14:textId="77777777" w:rsidR="00BB5F5A" w:rsidRDefault="00BA6658">
      <w:pPr>
        <w:spacing w:after="24"/>
        <w:ind w:left="-15"/>
      </w:pPr>
      <w:r>
        <w:t>Gezien Richtlijn 2005/29/EG van het Europees Parlement en de Raad van 11 mei 2005 betreffende oneerlijke handels</w:t>
      </w:r>
      <w:r>
        <w:t xml:space="preserve">praktijken van ondernemingen jegens consumenten op de interne markt en tot wijziging van Richtlijn 84/450/EEG van de Raad, Richtlijnen 97/7/EG, 98/27/EG en 2002/65/EG van het Europees Parlement en de Raad en Verordening (EG) nr. 2006/2004 van het Europees </w:t>
      </w:r>
      <w:r>
        <w:t xml:space="preserve">Parlement en de Raad (“richtlijn oneerlijke handelspraktijken”). </w:t>
      </w:r>
    </w:p>
    <w:p w14:paraId="29E501B5" w14:textId="77777777" w:rsidR="00BB5F5A" w:rsidRDefault="00BA6658">
      <w:pPr>
        <w:spacing w:after="23"/>
        <w:ind w:left="-15"/>
      </w:pPr>
      <w:r>
        <w:t>Gezien Richtlijn 2010/13/EU van het Europees Parlement en de Raad van 10 maart 2010 betreffende de coördinatie van bepaalde wettelijke en bestuursrechtelijke bepalingen in de lidstaten inzak</w:t>
      </w:r>
      <w:r>
        <w:t xml:space="preserve">e het aanbieden van audiovisuele mediadiensten (richtlijn audiovisuele mediadiensten); </w:t>
      </w:r>
    </w:p>
    <w:p w14:paraId="517F39D2" w14:textId="77777777" w:rsidR="00BB5F5A" w:rsidRDefault="00BA6658">
      <w:pPr>
        <w:ind w:left="-15"/>
      </w:pPr>
      <w:r>
        <w:t>Gezien Richtlijn (EU) 2015/1535 van het Europees Parlement en de Raad van 9 september 2015 betreffende een informatieprocedure op het gebied van technische voorschrifte</w:t>
      </w:r>
      <w:r>
        <w:t xml:space="preserve">n en regels betreffende de diensten van de informatiemaatschappij; </w:t>
      </w:r>
    </w:p>
    <w:p w14:paraId="18DA088E" w14:textId="77777777" w:rsidR="00BB5F5A" w:rsidRDefault="00BA6658">
      <w:pPr>
        <w:spacing w:after="30"/>
        <w:ind w:firstLine="0"/>
      </w:pPr>
      <w:r>
        <w:t xml:space="preserve">Gezien het Wetboek van Bestuursrecht, met name artikel R. 123-20 daarvan; </w:t>
      </w:r>
    </w:p>
    <w:p w14:paraId="7F86EC33" w14:textId="77777777" w:rsidR="00BB5F5A" w:rsidRDefault="00BA6658">
      <w:pPr>
        <w:spacing w:after="25"/>
        <w:ind w:left="-15"/>
      </w:pPr>
      <w:r>
        <w:t xml:space="preserve">Gezien wet nr. 2023-451 van 9 juni 2023 ter regulering van de commerciële invloed en ter bestrijding van misbruik van influencers op sociale netwerken; </w:t>
      </w:r>
    </w:p>
    <w:p w14:paraId="76205EB4" w14:textId="77777777" w:rsidR="00BB5F5A" w:rsidRDefault="00BA6658">
      <w:pPr>
        <w:ind w:left="-15"/>
      </w:pPr>
      <w:r>
        <w:t xml:space="preserve">Gezien wet nr. 2024-364 van 22 april 2024 houdende diverse bepalingen tot aanpassing aan het recht van </w:t>
      </w:r>
      <w:r>
        <w:t xml:space="preserve">de Europese Unie inzake economie, financiën, ecologische transitie, strafrecht, sociaal recht en landbouw, en met name artikel 3, </w:t>
      </w:r>
    </w:p>
    <w:p w14:paraId="52DE1B19" w14:textId="77777777" w:rsidR="00BB5F5A" w:rsidRDefault="00BA6658">
      <w:pPr>
        <w:ind w:firstLine="0"/>
      </w:pPr>
      <w:r>
        <w:t xml:space="preserve">Gezien kennisgeving nr. 2024/0379/FR op 3 juli 2024 aan de Europese Commissie verzonden; </w:t>
      </w:r>
    </w:p>
    <w:p w14:paraId="2DC263BA" w14:textId="77777777" w:rsidR="00BB5F5A" w:rsidRDefault="00BA6658">
      <w:pPr>
        <w:spacing w:after="214"/>
        <w:ind w:right="5040" w:firstLine="0"/>
      </w:pPr>
      <w:r>
        <w:t>De Raad van State (afdeling Financi</w:t>
      </w:r>
      <w:r>
        <w:t xml:space="preserve">ën) gehoord, de Raad van Ministers gehoord, </w:t>
      </w:r>
    </w:p>
    <w:p w14:paraId="1578A1A7" w14:textId="77777777" w:rsidR="00BB5F5A" w:rsidRDefault="00BA6658">
      <w:pPr>
        <w:spacing w:after="146"/>
        <w:ind w:left="1077" w:firstLine="0"/>
      </w:pPr>
      <w:r>
        <w:t xml:space="preserve">Besluiten: </w:t>
      </w:r>
    </w:p>
    <w:p w14:paraId="4FDE374B" w14:textId="77777777" w:rsidR="00BB5F5A" w:rsidRDefault="00BA6658">
      <w:pPr>
        <w:spacing w:after="105" w:line="259" w:lineRule="auto"/>
        <w:ind w:left="10" w:right="1" w:hanging="10"/>
        <w:jc w:val="center"/>
      </w:pPr>
      <w:r>
        <w:rPr>
          <w:rFonts w:ascii="Calibri" w:hAnsi="Calibri"/>
          <w:b/>
        </w:rPr>
        <w:t>Artikel 1</w:t>
      </w:r>
      <w:r>
        <w:rPr>
          <w:rFonts w:ascii="Calibri" w:hAnsi="Calibri"/>
          <w:b/>
          <w:sz w:val="17"/>
          <w:vertAlign w:val="superscript"/>
        </w:rPr>
        <w:t xml:space="preserve"> </w:t>
      </w:r>
    </w:p>
    <w:p w14:paraId="1AFC17DB" w14:textId="77777777" w:rsidR="00BB5F5A" w:rsidRDefault="00BA6658">
      <w:pPr>
        <w:spacing w:after="119"/>
        <w:ind w:left="-15"/>
      </w:pPr>
      <w:r>
        <w:t xml:space="preserve">Wet nr. 2023-451 van 9 juni 2023 ter regulering van commerciële invloed en ter bestrijding van misbruik van influencers op sociale netwerken wordt als volgt gewijzigd: </w:t>
      </w:r>
    </w:p>
    <w:p w14:paraId="542BFDB4" w14:textId="77777777" w:rsidR="00BB5F5A" w:rsidRDefault="00BA6658">
      <w:pPr>
        <w:numPr>
          <w:ilvl w:val="0"/>
          <w:numId w:val="1"/>
        </w:numPr>
        <w:spacing w:after="85"/>
        <w:ind w:hanging="305"/>
      </w:pPr>
      <w:r>
        <w:t>– Artikel 1 wordt v</w:t>
      </w:r>
      <w:r>
        <w:t xml:space="preserve">ervangen door de volgende bepalingen: </w:t>
      </w:r>
    </w:p>
    <w:p w14:paraId="36B0D7BB" w14:textId="77777777" w:rsidR="00BB5F5A" w:rsidRDefault="00BA6658">
      <w:pPr>
        <w:spacing w:after="135"/>
        <w:ind w:left="-15"/>
      </w:pPr>
      <w:r>
        <w:t xml:space="preserve">“ </w:t>
      </w:r>
      <w:r>
        <w:rPr>
          <w:i/>
        </w:rPr>
        <w:t xml:space="preserve">“Artikel 1. – </w:t>
      </w:r>
      <w:r>
        <w:t>Natuurlijke of rechtspersonen die onder bezwarende titel hun reputatie onder hun publiek gebruiken om langs elektronische weg inhoud aan het publiek te communiceren die bedoeld is om, direct of indirec</w:t>
      </w:r>
      <w:r>
        <w:t xml:space="preserve">t, goederen, diensten of enige zaak te promoten en de activiteit van commerciële invloed langs elektronische weg uit te oefenen.”; </w:t>
      </w:r>
    </w:p>
    <w:p w14:paraId="3950E5A5" w14:textId="77777777" w:rsidR="00BB5F5A" w:rsidRDefault="00BA6658">
      <w:pPr>
        <w:numPr>
          <w:ilvl w:val="0"/>
          <w:numId w:val="1"/>
        </w:numPr>
        <w:spacing w:after="79"/>
        <w:ind w:hanging="305"/>
      </w:pPr>
      <w:r>
        <w:t xml:space="preserve">– Artikel 4 wordt vervangen door de volgende bepalingen: </w:t>
      </w:r>
    </w:p>
    <w:p w14:paraId="6F86B412" w14:textId="77777777" w:rsidR="00BB5F5A" w:rsidRDefault="00BA6658">
      <w:pPr>
        <w:ind w:left="-15"/>
      </w:pPr>
      <w:r>
        <w:t xml:space="preserve">“ </w:t>
      </w:r>
      <w:r>
        <w:rPr>
          <w:i/>
        </w:rPr>
        <w:t xml:space="preserve">Artikel 4. – </w:t>
      </w:r>
      <w:r>
        <w:t>I. –  De promotie, direct of indirect, van handelin</w:t>
      </w:r>
      <w:r>
        <w:t>gen, processen, technieken en methoden met een esthetisch doel die risico’s kunnen opleveren voor de gezondheid van de personen als bedoeld in artikel L. 1151-2 van het Wetboek van volksgezondheid en de interventies als bedoeld in artikel L. 6322-1 van dat</w:t>
      </w:r>
      <w:r>
        <w:t xml:space="preserve"> wetboek, is verboden voor personen die de activiteit van commerciële invloed langs elektronische weg uitoefenen. </w:t>
      </w:r>
    </w:p>
    <w:p w14:paraId="1DB6FB2C" w14:textId="77777777" w:rsidR="00BB5F5A" w:rsidRDefault="00BA6658">
      <w:pPr>
        <w:ind w:left="-15"/>
      </w:pPr>
      <w:r>
        <w:lastRenderedPageBreak/>
        <w:t>“II. –  De promotie, direct of indirect, van niet-therapeutische producten, handelingen, processen, technieken en methoden die als vergelijkb</w:t>
      </w:r>
      <w:r>
        <w:t xml:space="preserve">aar of verkiesbaar worden gepresenteerd ten opzichte van of ter vervanging van therapeutische handelingen, protocollen of voorschriften, is verboden voor personen die de activiteit van commerciële invloed langs elektronische weg uitoefenen. </w:t>
      </w:r>
    </w:p>
    <w:p w14:paraId="0FCE785E" w14:textId="77777777" w:rsidR="00BB5F5A" w:rsidRDefault="00BA6658">
      <w:pPr>
        <w:ind w:left="-15"/>
      </w:pPr>
      <w:r>
        <w:t>“III. –  De pr</w:t>
      </w:r>
      <w:r>
        <w:t>omotie, direct of indirect, van producten die als nicotineproducten worden beschouwd en die kunnen worden geconsumeerd en die zijn gemaakt van, zelfs als dat gedeeltelijk is, nicotine, is verboden voor personen die de activiteit van commerciële invloed lan</w:t>
      </w:r>
      <w:r>
        <w:t xml:space="preserve">gs elektronische weg uitoefenen. </w:t>
      </w:r>
    </w:p>
    <w:p w14:paraId="7EEC5628" w14:textId="77777777" w:rsidR="00BB5F5A" w:rsidRDefault="00BA6658">
      <w:pPr>
        <w:spacing w:after="130"/>
        <w:ind w:left="-15"/>
      </w:pPr>
      <w:r>
        <w:t>“IV. –  De promotie, direct of indirect, van dieren die niet voorkomen op de in I van artikel L. 413-1 A van het milieuwetboek bedoelde lijst, is verboden voor personen die de activiteit van commerciële invloed langs elekt</w:t>
      </w:r>
      <w:r>
        <w:t xml:space="preserve">ronische weg uitoefenen. Dit verbod geldt niet voor inrichtingen die overeenkomstig artikel L. 413-3 van dat wetboek gemachtigd zijn om die dieren te houden. </w:t>
      </w:r>
    </w:p>
    <w:p w14:paraId="4BB23C95" w14:textId="77777777" w:rsidR="00BB5F5A" w:rsidRDefault="00BA6658">
      <w:pPr>
        <w:spacing w:after="77"/>
        <w:ind w:left="-15"/>
      </w:pPr>
      <w:r>
        <w:t>“V. –  De promotie, direct of indirect, van de volgende financiële producten en diensten is verbo</w:t>
      </w:r>
      <w:r>
        <w:t xml:space="preserve">den voor personen die de activiteit van commerciële invloed langs elektronische weg uitoefenen: </w:t>
      </w:r>
    </w:p>
    <w:p w14:paraId="0FCB0A4E" w14:textId="77777777" w:rsidR="00BB5F5A" w:rsidRDefault="00BA6658">
      <w:pPr>
        <w:ind w:firstLine="0"/>
      </w:pPr>
      <w:r>
        <w:t>“1</w:t>
      </w:r>
      <w:r>
        <w:rPr>
          <w:sz w:val="17"/>
          <w:vertAlign w:val="superscript"/>
        </w:rPr>
        <w:t xml:space="preserve">o </w:t>
      </w:r>
      <w:r>
        <w:t xml:space="preserve">De in artikel L. 533-12-7 van het monetair en financieel wetboek omschreven financiële overeenkomsten; </w:t>
      </w:r>
    </w:p>
    <w:p w14:paraId="7B571492" w14:textId="77777777" w:rsidR="00BB5F5A" w:rsidRDefault="00BA6658">
      <w:pPr>
        <w:spacing w:after="34"/>
        <w:ind w:left="-15"/>
      </w:pPr>
      <w:r>
        <w:t>“2</w:t>
      </w:r>
      <w:r>
        <w:rPr>
          <w:sz w:val="17"/>
          <w:vertAlign w:val="superscript"/>
        </w:rPr>
        <w:t xml:space="preserve">o </w:t>
      </w:r>
      <w:r>
        <w:t>De voorziening van digitale activa-diensten in de zin van artikel L. 54-10-2 van dat wetboek, met uitzondering van diensten waarvoor de adverteerder is ingeschreven onder de voorwaarden van artikel L. 54-10-3 van dat wetboek of waarvoor toestemming is verl</w:t>
      </w:r>
      <w:r>
        <w:t xml:space="preserve">eend onder de voorwaarden van artikel L. 54-10-5 van dit wetboek; </w:t>
      </w:r>
    </w:p>
    <w:p w14:paraId="56BD14C2" w14:textId="77777777" w:rsidR="00BB5F5A" w:rsidRDefault="00BA6658">
      <w:pPr>
        <w:spacing w:after="31"/>
        <w:ind w:left="-15"/>
      </w:pPr>
      <w:r>
        <w:t>“3</w:t>
      </w:r>
      <w:r>
        <w:rPr>
          <w:sz w:val="17"/>
          <w:vertAlign w:val="superscript"/>
        </w:rPr>
        <w:t xml:space="preserve">o </w:t>
      </w:r>
      <w:r>
        <w:t>Het aan het publiek aanbieden van penningen in de zin van artikel L. 552-3 van hetzelfde wetboek, met uitzondering van wanneer de adverteerder de in artikel L. 552-4 van dit wetboek bed</w:t>
      </w:r>
      <w:r>
        <w:t xml:space="preserve">oelde vergunning heeft verkregen; </w:t>
      </w:r>
    </w:p>
    <w:p w14:paraId="2ED229B9" w14:textId="77777777" w:rsidR="00BB5F5A" w:rsidRDefault="00BA6658">
      <w:pPr>
        <w:ind w:left="-15"/>
      </w:pPr>
      <w:r>
        <w:t>“4</w:t>
      </w:r>
      <w:r>
        <w:rPr>
          <w:sz w:val="17"/>
          <w:vertAlign w:val="superscript"/>
        </w:rPr>
        <w:t xml:space="preserve">o </w:t>
      </w:r>
      <w:r>
        <w:t>Digitale activa, met uitzondering van die welke verband houden met diensten voor de levering waarvan de adverteerder onder de in artikel L. 54-10-3 van dat wetboek vastgestelde voorwaarden is geregistreerd of is goedg</w:t>
      </w:r>
      <w:r>
        <w:t xml:space="preserve">ekeurd onder de voorwaarden van artikel L. 54-10-5 van dit wetboek, namelijk wanneer de adverteerder niet binnen de werkingssfeer van de artikelen L. 54-10-3 en L. 54-10-5 van hetzelfde wetboek valt. </w:t>
      </w:r>
    </w:p>
    <w:p w14:paraId="4F97707A" w14:textId="77777777" w:rsidR="00BB5F5A" w:rsidRDefault="00BA6658">
      <w:pPr>
        <w:ind w:left="-15"/>
      </w:pPr>
      <w:r>
        <w:t>“ “Inbreuken op de bepalingen van deze V worden onderwo</w:t>
      </w:r>
      <w:r>
        <w:t xml:space="preserve">rpen aan de sancties als bedoeld in artikel L. 222-16-1, lid 5, en artikel L. 222-16-2, voorlaatste lid, van het consumentenwetboek. </w:t>
      </w:r>
    </w:p>
    <w:p w14:paraId="7FC2E317" w14:textId="77777777" w:rsidR="00BB5F5A" w:rsidRDefault="00BA6658">
      <w:pPr>
        <w:ind w:left="-15"/>
      </w:pPr>
      <w:r>
        <w:t>“ VI. – De promotie, direct of indirect, van abonnementen op sporttips of -weddenschappen is verboden voor personen die de</w:t>
      </w:r>
      <w:r>
        <w:t xml:space="preserve"> activiteit van commerciële invloed langs elektronische weg uitoefenen. </w:t>
      </w:r>
    </w:p>
    <w:p w14:paraId="728EE356" w14:textId="77777777" w:rsidR="00BB5F5A" w:rsidRDefault="00BA6658">
      <w:pPr>
        <w:ind w:left="-15"/>
      </w:pPr>
      <w:r>
        <w:t xml:space="preserve">“VII. –  Commerciële communicaties langs elektronische weg door de in artikel 1 van deze wet bedoelde personen met betrekking tot kansspelen in de zin van de artikelen L. 320-1 en L. </w:t>
      </w:r>
      <w:r>
        <w:t>320-6 van het wetboek van binnenlandse veiligheid is alleen toegestaan op onlineplatforms die de technische mogelijkheid bieden om alle gebruikers jonger dan achttien jaar van het publiek van dergelijke inhoud uit te sluiten en indien dit uitsluitingsmecha</w:t>
      </w:r>
      <w:r>
        <w:t xml:space="preserve">nisme daadwerkelijk door deze personen wordt geactiveerd. </w:t>
      </w:r>
    </w:p>
    <w:p w14:paraId="6EB44F5A" w14:textId="77777777" w:rsidR="00BB5F5A" w:rsidRDefault="00BA6658">
      <w:pPr>
        <w:ind w:left="-15"/>
      </w:pPr>
      <w:r>
        <w:t>“Deze commerciële communicaties gaan vergezeld van een verwijzing naar het verbod op dergelijke inhoud voor personen jonger dan 18 jaar.  Deze vermelding dient duidelijk, leesbaar en begrijpelijk t</w:t>
      </w:r>
      <w:r>
        <w:t xml:space="preserve">e zijn op elk gebruikt medium. </w:t>
      </w:r>
    </w:p>
    <w:p w14:paraId="16552C4E" w14:textId="77777777" w:rsidR="00BB5F5A" w:rsidRDefault="00BA6658">
      <w:pPr>
        <w:ind w:left="-15"/>
      </w:pPr>
      <w:r>
        <w:t>“De in deze VII bedoelde uitsluitingsmechanismen dienen in overeenstemming te zijn met een referentiekader dat door de regelgevende instantie voor audiovisuele en digitale communicatie is opgesteld na raadpleging van de nati</w:t>
      </w:r>
      <w:r>
        <w:t xml:space="preserve">onale autoriteit voor kansspelen en de nationale commissie voor informatica en vrijheden.  </w:t>
      </w:r>
    </w:p>
    <w:p w14:paraId="5C916282" w14:textId="77777777" w:rsidR="00BB5F5A" w:rsidRDefault="00BA6658">
      <w:pPr>
        <w:ind w:left="-15"/>
      </w:pPr>
      <w:r>
        <w:t xml:space="preserve">“Promotieovereenkomsten met kansspelexploitanten bevatten een clausule op grond waarvan de in artikel 1 van deze wet omschreven personen verklaren kennis te hebben </w:t>
      </w:r>
      <w:r>
        <w:t xml:space="preserve">genomen van de wetten en regelgevingen die van toepassing zijn op commerciële communicaties met betrekking tot kansspelen en zich ertoe te verbinden ze na te leven.  </w:t>
      </w:r>
    </w:p>
    <w:p w14:paraId="507CFB94" w14:textId="77777777" w:rsidR="00BB5F5A" w:rsidRDefault="00BA6658">
      <w:pPr>
        <w:spacing w:after="122"/>
        <w:ind w:left="-15"/>
      </w:pPr>
      <w:r>
        <w:t xml:space="preserve">“Inbreuken op de bepalingen van deze VII worden bestraft met de geldboete als bedoeld in </w:t>
      </w:r>
      <w:r>
        <w:t xml:space="preserve">artikel L. 324-8-1 van het wetboek voor binnenlandse veiligheid.  </w:t>
      </w:r>
    </w:p>
    <w:p w14:paraId="65CC3B40" w14:textId="77777777" w:rsidR="00BB5F5A" w:rsidRDefault="00BA6658">
      <w:pPr>
        <w:spacing w:after="93"/>
        <w:ind w:firstLine="0"/>
      </w:pPr>
      <w:r>
        <w:t>“ VIII. –   Na 2</w:t>
      </w:r>
      <w:r>
        <w:rPr>
          <w:sz w:val="17"/>
          <w:vertAlign w:val="superscript"/>
        </w:rPr>
        <w:t xml:space="preserve">o </w:t>
      </w:r>
      <w:r>
        <w:t xml:space="preserve"> van artikel L. 6323-8-1 van het arbeidswetboek, wordt de volgende alinea ingevoegd: </w:t>
      </w:r>
    </w:p>
    <w:p w14:paraId="6709E1F6" w14:textId="77777777" w:rsidR="00BB5F5A" w:rsidRDefault="00BA6658">
      <w:pPr>
        <w:ind w:left="-15"/>
      </w:pPr>
      <w:r>
        <w:t xml:space="preserve">“Enige verkoop of enig promotieaanbod van een product of enige betaling in ruil voor </w:t>
      </w:r>
      <w:r>
        <w:t xml:space="preserve">een abonnement op de in hetzelfde artikel L. 6323-6 bedoelde programma’s is eveneens verboden.” </w:t>
      </w:r>
    </w:p>
    <w:p w14:paraId="012E80CC" w14:textId="77777777" w:rsidR="00BB5F5A" w:rsidRDefault="00BA6658">
      <w:pPr>
        <w:ind w:left="-15"/>
      </w:pPr>
      <w:r>
        <w:t xml:space="preserve">“ IX. – Overtreding van de bepalingen van I tot en met IV en VI van dit artikel wordt bestraft met de sanctie van artikel L. 132-2 van het consumentenwetboek. </w:t>
      </w:r>
    </w:p>
    <w:p w14:paraId="700FD132" w14:textId="77777777" w:rsidR="00BB5F5A" w:rsidRDefault="00BA6658">
      <w:pPr>
        <w:spacing w:after="143"/>
        <w:ind w:left="-15"/>
      </w:pPr>
      <w:r>
        <w:t>“ Met betrekking tot deze strafbare feiten en het in VII bedoelde strafbare feit kan het de dader volgens de procedures van artikel 131-27 van het Wetboek van Strafrecht ook, definitief of tijdelijk, worden verboden de beroeps- of sociale activiteit in he</w:t>
      </w:r>
      <w:r>
        <w:t xml:space="preserve">t kader waarvan het strafbare feit werd gepleegd of de uitoefening van commerciële invloed langs elektronische weg als omschreven in artikel 1 van deze wet, uit te oefenen. </w:t>
      </w:r>
    </w:p>
    <w:p w14:paraId="29D9691F" w14:textId="77777777" w:rsidR="00BB5F5A" w:rsidRDefault="00BA6658">
      <w:pPr>
        <w:spacing w:after="81"/>
        <w:ind w:firstLine="0"/>
      </w:pPr>
      <w:r>
        <w:t>“ Na 31</w:t>
      </w:r>
      <w:r>
        <w:rPr>
          <w:sz w:val="17"/>
          <w:vertAlign w:val="superscript"/>
        </w:rPr>
        <w:t xml:space="preserve">o </w:t>
      </w:r>
      <w:r>
        <w:t xml:space="preserve"> van artikel L. 511-7 van het consumentenwetboek wordt 32</w:t>
      </w:r>
      <w:r>
        <w:rPr>
          <w:sz w:val="17"/>
          <w:vertAlign w:val="superscript"/>
        </w:rPr>
        <w:t xml:space="preserve">o </w:t>
      </w:r>
      <w:r>
        <w:t xml:space="preserve">ingevoegd als </w:t>
      </w:r>
      <w:r>
        <w:t xml:space="preserve">volgt: </w:t>
      </w:r>
    </w:p>
    <w:p w14:paraId="14A29651" w14:textId="77777777" w:rsidR="00BB5F5A" w:rsidRDefault="00BA6658">
      <w:pPr>
        <w:spacing w:after="0" w:line="302" w:lineRule="auto"/>
        <w:ind w:left="-15" w:right="-15"/>
        <w:jc w:val="left"/>
      </w:pPr>
      <w:r>
        <w:lastRenderedPageBreak/>
        <w:t>“32</w:t>
      </w:r>
      <w:r>
        <w:rPr>
          <w:sz w:val="17"/>
          <w:vertAlign w:val="superscript"/>
        </w:rPr>
        <w:t xml:space="preserve">o </w:t>
      </w:r>
      <w:r>
        <w:t xml:space="preserve">Bij V van artikel 4 van wet nr. 2023-451 van 9 juni 2023 ter regulering van de commerciële invloed en ter bestrijding van misbruik van influencers op sociale netwerken.” III. –  Artikel 5 wordt vervangen door de volgende bepalingen: </w:t>
      </w:r>
    </w:p>
    <w:p w14:paraId="3C6D62EA" w14:textId="77777777" w:rsidR="00BB5F5A" w:rsidRDefault="00BA6658">
      <w:pPr>
        <w:ind w:left="-15"/>
      </w:pPr>
      <w:r>
        <w:t xml:space="preserve">“ </w:t>
      </w:r>
      <w:r>
        <w:rPr>
          <w:i/>
        </w:rPr>
        <w:t>Artikel</w:t>
      </w:r>
      <w:r>
        <w:rPr>
          <w:i/>
        </w:rPr>
        <w:t xml:space="preserve"> 5. – </w:t>
      </w:r>
      <w:r>
        <w:t xml:space="preserve">I. – Inhoud die door de in artikel 1 van deze wet bedoelde personen wordt meegedeeld en die afbeeldingen bevat die worden onderworpen aan: </w:t>
      </w:r>
    </w:p>
    <w:p w14:paraId="4B787B68" w14:textId="77777777" w:rsidR="00BB5F5A" w:rsidRDefault="00BA6658">
      <w:pPr>
        <w:spacing w:after="31"/>
        <w:ind w:left="-15"/>
      </w:pPr>
      <w:r>
        <w:t>“1</w:t>
      </w:r>
      <w:r>
        <w:rPr>
          <w:sz w:val="17"/>
          <w:vertAlign w:val="superscript"/>
        </w:rPr>
        <w:t xml:space="preserve">o </w:t>
      </w:r>
      <w:r>
        <w:t>Wijziging door een beeldverwerkingsproces om het silhouet te verfijnen of te verdikken of het uiterlijk va</w:t>
      </w:r>
      <w:r>
        <w:t xml:space="preserve">n het gezicht te veranderen, gaat vergezeld van de volgende termen: “Bewerkte afbeeldingen”; </w:t>
      </w:r>
    </w:p>
    <w:p w14:paraId="68231ACC" w14:textId="77777777" w:rsidR="00BB5F5A" w:rsidRDefault="00BA6658">
      <w:pPr>
        <w:ind w:left="-15"/>
      </w:pPr>
      <w:r>
        <w:t>“2</w:t>
      </w:r>
      <w:r>
        <w:rPr>
          <w:sz w:val="17"/>
          <w:vertAlign w:val="superscript"/>
        </w:rPr>
        <w:t xml:space="preserve">o </w:t>
      </w:r>
      <w:r>
        <w:t>Productie door middel van een kunstmatig-intelligentieproces om een gezicht of silhouet te vertegenwoordigen, gaat vergezeld van de volgende termen: “Virtuele</w:t>
      </w:r>
      <w:r>
        <w:t xml:space="preserve"> afbeeldingen”. </w:t>
      </w:r>
    </w:p>
    <w:p w14:paraId="25C7F208" w14:textId="77777777" w:rsidR="00BB5F5A" w:rsidRDefault="00BA6658">
      <w:pPr>
        <w:ind w:left="-15"/>
      </w:pPr>
      <w:r>
        <w:t xml:space="preserve">“ De termen in dit I dienen duidelijk, leesbaar en begrijpelijk te zijn op elk gebruikt medium. </w:t>
      </w:r>
      <w:r>
        <w:t xml:space="preserve">Zij kunnen worden vervangen door een gelijkwaardige term die is aangepast aan de kenmerken van de beïnvloedingsactiviteit en het formaat van het gebruikte communicatiemedium. </w:t>
      </w:r>
    </w:p>
    <w:p w14:paraId="029CE24B" w14:textId="77777777" w:rsidR="00BB5F5A" w:rsidRDefault="00BA6658">
      <w:pPr>
        <w:ind w:left="-15"/>
      </w:pPr>
      <w:r>
        <w:t>“ II. – Indien de promotie wordt uitgevoerd door de in artikel 1 van deze wet be</w:t>
      </w:r>
      <w:r>
        <w:t>doelde personen, en betrekking heeft op de inschrijving voor een beroepsopleiding als bedoeld in artikel L. 6313-1 van het arbeidswetboek, gefinancierd door een van de in artikel L. 6316-1 van dat wetboek bedoelde organen, omvat de verwijzing in artikel 5-</w:t>
      </w:r>
      <w:r>
        <w:t>2 van deze wet informatie met betrekking tot de bijbehorende financieringsregels, toezeggingsregels en de regels om in aanmerking te komen, de identificatie van de aanbieder(s) die verantwoordelijk is (zijn) voor die opleidingsprogramma’s en van de aanbied</w:t>
      </w:r>
      <w:r>
        <w:t xml:space="preserve">er waarnaar wordt verwezen in de elektronische dienst als bedoeld in artikel L. 6323-9 van hetzelfde wetboek. </w:t>
      </w:r>
    </w:p>
    <w:p w14:paraId="57A2125D" w14:textId="77777777" w:rsidR="00BB5F5A" w:rsidRDefault="00BA6658">
      <w:pPr>
        <w:ind w:left="-15"/>
      </w:pPr>
      <w:r>
        <w:t>“ III. – Overtreding van de bepalingen van I en II van dit artikel wordt bestraft met een gevangenisstraf van één jaar en een geldboete van 4 500</w:t>
      </w:r>
      <w:r>
        <w:t xml:space="preserve"> EUR. </w:t>
      </w:r>
    </w:p>
    <w:p w14:paraId="7FA75FB0" w14:textId="77777777" w:rsidR="00BB5F5A" w:rsidRDefault="00BA6658">
      <w:pPr>
        <w:spacing w:after="143"/>
        <w:ind w:firstLine="0"/>
      </w:pPr>
      <w:r>
        <w:t xml:space="preserve">“ IV. – De gedetailleerde regels voor de toepassing van I en II van dit artikel worden vastgesteld bij besluit, na de Raad van State te hebben gehoord.”; </w:t>
      </w:r>
    </w:p>
    <w:p w14:paraId="530ED4FA" w14:textId="77777777" w:rsidR="00BB5F5A" w:rsidRDefault="00BA6658">
      <w:pPr>
        <w:spacing w:after="92"/>
        <w:ind w:firstLine="0"/>
      </w:pPr>
      <w:r>
        <w:t xml:space="preserve">IV. – Na artikel 5 worden de artikelen 5-1 en 5-2 als volgt ingevoegd: </w:t>
      </w:r>
    </w:p>
    <w:p w14:paraId="7B0D6657" w14:textId="77777777" w:rsidR="00BB5F5A" w:rsidRDefault="00BA6658">
      <w:pPr>
        <w:ind w:left="-15"/>
      </w:pPr>
      <w:r>
        <w:t xml:space="preserve">“ </w:t>
      </w:r>
      <w:r>
        <w:rPr>
          <w:i/>
        </w:rPr>
        <w:t xml:space="preserve">Artikel 5-1. – </w:t>
      </w:r>
      <w:r>
        <w:t xml:space="preserve">I. – </w:t>
      </w:r>
      <w:r>
        <w:t>De bepalingen van artikel 4, leden I tot en met III, zijn niet van toepassing op aanbieders van mediadiensten in de zin van Richtlijn 2010/13/EU van het Europees Parlement en de Raad van 10 maart 2010 die onder de bevoegdheid van een andere lidstaat van de</w:t>
      </w:r>
      <w:r>
        <w:t xml:space="preserve"> Europese Economische Ruimte in de zin van artikel 2, lid 2, van die richtlijn vallen. Ze zijn daarentegen van toepassing op dergelijke leveranciers wanneer zij onder de bevoegdheid van Frankrijk vallen. </w:t>
      </w:r>
    </w:p>
    <w:p w14:paraId="4C1C0A8C" w14:textId="77777777" w:rsidR="00BB5F5A" w:rsidRDefault="00BA6658">
      <w:pPr>
        <w:ind w:left="-15"/>
      </w:pPr>
      <w:r>
        <w:t>“ Wanneer echter aan de in artikel 3, leden 2 tot e</w:t>
      </w:r>
      <w:r>
        <w:t>n met 3, of artikel 4, leden 2 tot en met 5, van die richtlijn bedoelde voorwaarden is voldaan en aan het einde van de in die bepalingen vastgestelde procedure, stelt de administratieve autoriteit de betrokkene in kennis van de op hem of haar toepasselijke</w:t>
      </w:r>
      <w:r>
        <w:t xml:space="preserve"> bepalingen, met inachtneming van de toepasselijke sancties, en van de betrokken dienst. </w:t>
      </w:r>
    </w:p>
    <w:p w14:paraId="6ACD68E9" w14:textId="77777777" w:rsidR="00BB5F5A" w:rsidRDefault="00BA6658">
      <w:pPr>
        <w:ind w:left="-15"/>
      </w:pPr>
      <w:r>
        <w:t>“ II. – Behoudens het bepaalde in I zijn, wat de toepassing van de bepalingen van I tot en met III van artikel 4 op aanbieders van mediadiensten betreft, de bepalinge</w:t>
      </w:r>
      <w:r>
        <w:t xml:space="preserve">n van de artikelen 4 en 5 niet van toepassing op personen die gevestigd zijn in een andere staat die partij is bij de Europese Economische Ruimte. </w:t>
      </w:r>
    </w:p>
    <w:p w14:paraId="653E9A7E" w14:textId="77777777" w:rsidR="00BB5F5A" w:rsidRDefault="00BA6658">
      <w:pPr>
        <w:ind w:left="-15"/>
      </w:pPr>
      <w:r>
        <w:t>“ Wanneer echter aan de voorwaarden van artikel 3, leden 4 tot en met 5, van Richtlijn 2000/31/EG van het Eu</w:t>
      </w:r>
      <w:r>
        <w:t xml:space="preserve">ropees Parlement en de Raad van 8 juni 2000 is voldaan en aan het einde van de in die bepalingen vastgestelde procedure, stelt de administratieve autoriteit de betrokkene in kennis van de bepalingen die op hem of haar van toepassing zijn, met inachtneming </w:t>
      </w:r>
      <w:r>
        <w:t xml:space="preserve">van de toepasselijke sancties, en van de betrokken dienst. </w:t>
      </w:r>
    </w:p>
    <w:p w14:paraId="2DB9CAB0" w14:textId="77777777" w:rsidR="00BB5F5A" w:rsidRDefault="00BA6658">
      <w:pPr>
        <w:spacing w:after="92"/>
        <w:ind w:firstLine="0"/>
      </w:pPr>
      <w:r>
        <w:t xml:space="preserve">“ III. – De uitvoeringsprocedures voor dit artikel worden vastgesteld bij decreet van de Raad van State. </w:t>
      </w:r>
    </w:p>
    <w:p w14:paraId="4BA17F87" w14:textId="77777777" w:rsidR="00BB5F5A" w:rsidRDefault="00BA6658">
      <w:pPr>
        <w:ind w:left="-15"/>
      </w:pPr>
      <w:r>
        <w:t xml:space="preserve">“ </w:t>
      </w:r>
      <w:r>
        <w:rPr>
          <w:i/>
        </w:rPr>
        <w:t xml:space="preserve">Artikel 5-2. – </w:t>
      </w:r>
      <w:r>
        <w:t>Het is een misleidende handelspraktijk in de zin van artikel L. 121-3 van</w:t>
      </w:r>
      <w:r>
        <w:t xml:space="preserve"> het consumentenwetboek en onder de bepalingen van dit artikel, als een natuurlijke of rechtspersoon die een beïnvloedingsactiviteit in de zin van artikel 1 van deze wet uitoefent, niet op een duidelijke, leesbare en begrijpelijke wijze, op elk gebruikt me</w:t>
      </w:r>
      <w:r>
        <w:t xml:space="preserve">dium, het commerciële voornemen dat hij heeft, aanduidt, indien dat voornemen niet reeds uit de context blijkt. </w:t>
      </w:r>
    </w:p>
    <w:p w14:paraId="0DA643B9" w14:textId="77777777" w:rsidR="00BB5F5A" w:rsidRDefault="00BA6658">
      <w:pPr>
        <w:spacing w:after="149"/>
        <w:ind w:left="-15"/>
      </w:pPr>
      <w:r>
        <w:t xml:space="preserve">“ Het commerciële voornemen kan uitdrukkelijk worden aangegeven door het gebruik van de termen “reclame” of “commerciële samenwerking” of door </w:t>
      </w:r>
      <w:r>
        <w:t xml:space="preserve">een gelijkwaardige term die is aangepast aan de kenmerken van de beïnvloedingsactiviteit en de indeling van het gebruikte medium.”; </w:t>
      </w:r>
    </w:p>
    <w:p w14:paraId="3E80D657" w14:textId="77777777" w:rsidR="00BB5F5A" w:rsidRDefault="00BA6658">
      <w:pPr>
        <w:spacing w:after="86"/>
        <w:ind w:firstLine="0"/>
      </w:pPr>
      <w:r>
        <w:t xml:space="preserve">V. – Artikel 9 wordt vervangen door de volgende bepalingen: </w:t>
      </w:r>
    </w:p>
    <w:p w14:paraId="6FABA20B" w14:textId="77777777" w:rsidR="00BB5F5A" w:rsidRDefault="00BA6658">
      <w:pPr>
        <w:ind w:left="-15"/>
      </w:pPr>
      <w:r>
        <w:t xml:space="preserve">“ </w:t>
      </w:r>
      <w:r>
        <w:rPr>
          <w:i/>
        </w:rPr>
        <w:t xml:space="preserve">Artikel 9. – </w:t>
      </w:r>
      <w:r>
        <w:t>I. – Wanneer zij de in artikel 1 omschreven act</w:t>
      </w:r>
      <w:r>
        <w:t>iviteit uitoefenen en niet zijn gevestigd op het grondgebied van een lidstaat van de Europese Unie, de Zwitserse Bondsstaat of de Europese Economische Ruimte en zich richten op een publiek in Frankrijk, wijzen rechtspersonen of natuurlijke personen die zic</w:t>
      </w:r>
      <w:r>
        <w:t xml:space="preserve">h bezighouden met een zelfstandige activiteit onder de status als gedefinieerd in de artikelen L. 526-6 tot en met L. 526-21 van </w:t>
      </w:r>
      <w:r>
        <w:lastRenderedPageBreak/>
        <w:t>het handelswetboek of de artikelen L. 526-22 tot en met L. 526-26 van dat wetboek, schriftelijk een natuurlijke of rechtspersoo</w:t>
      </w:r>
      <w:r>
        <w:t xml:space="preserve">n aan die instaat voor hun vertegenwoordiging op het grondgebied van de Europese Unie. </w:t>
      </w:r>
    </w:p>
    <w:p w14:paraId="2674630E" w14:textId="77777777" w:rsidR="00BB5F5A" w:rsidRDefault="00BA6658">
      <w:pPr>
        <w:ind w:left="-15"/>
      </w:pPr>
      <w:r>
        <w:t>“ Deze vertegenwoordiging is bedoeld om de conformiteit te garanderen van overeenkomsten die strekken tot of resulteren in de implementatie van een activiteit van comme</w:t>
      </w:r>
      <w:r>
        <w:t>rciële invloed langs elektronische weg, gericht op, met name, een op Frans grondgebied gevestigd publiek. De aangewezen vertegenwoordiging is tevens verantwoordelijk voor het beantwoorden, naast of in plaats van de in de eerste alinea van deze I bedoelde p</w:t>
      </w:r>
      <w:r>
        <w:t xml:space="preserve">ersonen, van alle verzoeken van de bevoegde administratieve of rechterlijke instanties om naleving van deze wet. </w:t>
      </w:r>
    </w:p>
    <w:p w14:paraId="5A08C8A8" w14:textId="77777777" w:rsidR="00BB5F5A" w:rsidRDefault="00BA6658">
      <w:pPr>
        <w:ind w:left="-15"/>
      </w:pPr>
      <w:r>
        <w:t>“ De in de eerste alinea bedoelde personen verlenen de aangewezen persoon de nodige bevoegdheden en voldoende middelen om een doeltreffende sa</w:t>
      </w:r>
      <w:r>
        <w:t xml:space="preserve">menwerking met de bevoegde autoriteiten te verzekeren teneinde aan deze wet te voldoen. </w:t>
      </w:r>
    </w:p>
    <w:p w14:paraId="1E06B431" w14:textId="77777777" w:rsidR="00BB5F5A" w:rsidRDefault="00BA6658">
      <w:pPr>
        <w:ind w:left="-15"/>
      </w:pPr>
      <w:r>
        <w:t xml:space="preserve">“ </w:t>
      </w:r>
      <w:r>
        <w:t xml:space="preserve">De in de eerste alinea bedoelde personen delen de bevoegde administratieve autoriteiten op verzoek de naam, het postadres, het e-mailadres en het telefoonnummer mee van de overeenkomstig die eerste alinea aangewezen persoon. </w:t>
      </w:r>
    </w:p>
    <w:p w14:paraId="023B8981" w14:textId="77777777" w:rsidR="00BB5F5A" w:rsidRDefault="00BA6658">
      <w:pPr>
        <w:ind w:firstLine="0"/>
      </w:pPr>
      <w:r>
        <w:t>“Deze benaming vormt geen vest</w:t>
      </w:r>
      <w:r>
        <w:t xml:space="preserve">iging in de Europese Unie.  </w:t>
      </w:r>
    </w:p>
    <w:p w14:paraId="4116DB33" w14:textId="77777777" w:rsidR="00BB5F5A" w:rsidRDefault="00BA6658">
      <w:pPr>
        <w:ind w:left="-15"/>
      </w:pPr>
      <w:r>
        <w:t>“ II. – Een persoon die de in artikel 1 omschreven activiteit uitoefent en buiten de Europese Unie, de Zwitserse Bondsstaat of de Europese Economische Ruimte is gevestigd, is verplicht een burgerverzekering af te sluiten bij ee</w:t>
      </w:r>
      <w:r>
        <w:t>n in de Europese Unie gevestigde verzekeraar, die de financiële gevolgen van zijn beroepsaansprakelijkheid garandeert, wanneer deze activiteit, zelfs incidenteel, gericht is op een publiek dat op Frans grondgebied gevestigd is. “III. –  De wijze van uitvoe</w:t>
      </w:r>
      <w:r>
        <w:t xml:space="preserve">ring van dit artikel wordt bij besluit vastgesteld na overleg met de Raad van State.” </w:t>
      </w:r>
    </w:p>
    <w:p w14:paraId="24E41C5B" w14:textId="77777777" w:rsidR="00BB5F5A" w:rsidRDefault="00BA6658">
      <w:pPr>
        <w:spacing w:after="45" w:line="259" w:lineRule="auto"/>
        <w:ind w:left="10" w:right="1" w:hanging="10"/>
        <w:jc w:val="center"/>
      </w:pPr>
      <w:r>
        <w:rPr>
          <w:rFonts w:ascii="Calibri" w:hAnsi="Calibri"/>
          <w:b/>
        </w:rPr>
        <w:t xml:space="preserve">Artikel 2 </w:t>
      </w:r>
    </w:p>
    <w:p w14:paraId="5E209DF5" w14:textId="77777777" w:rsidR="00BB5F5A" w:rsidRDefault="00BA6658">
      <w:pPr>
        <w:spacing w:after="76" w:line="216" w:lineRule="auto"/>
        <w:ind w:left="-15" w:right="-15"/>
        <w:jc w:val="left"/>
      </w:pPr>
      <w:r>
        <w:t xml:space="preserve">De minister-president en de minister van Economie, Financiën en Industrie zijn ieder voor zich verantwoordelijk voor de toepassing van dit besluit, dat wordt bekendgemaakt in het </w:t>
      </w:r>
      <w:r>
        <w:rPr>
          <w:i/>
        </w:rPr>
        <w:t xml:space="preserve">Staatsblad </w:t>
      </w:r>
      <w:r>
        <w:t xml:space="preserve">van de Franse Republiek. </w:t>
      </w:r>
    </w:p>
    <w:p w14:paraId="2458A41C" w14:textId="77777777" w:rsidR="00BB5F5A" w:rsidRDefault="00BA6658">
      <w:pPr>
        <w:ind w:firstLine="0"/>
      </w:pPr>
      <w:r>
        <w:t xml:space="preserve">Gedaan op 6 november 2024. </w:t>
      </w:r>
    </w:p>
    <w:p w14:paraId="779C936B" w14:textId="77777777" w:rsidR="00BB5F5A" w:rsidRDefault="00BA6658">
      <w:pPr>
        <w:spacing w:after="70" w:line="259" w:lineRule="auto"/>
        <w:ind w:left="10" w:right="416" w:hanging="10"/>
        <w:jc w:val="right"/>
      </w:pPr>
      <w:r>
        <w:t>E</w:t>
      </w:r>
      <w:r>
        <w:rPr>
          <w:sz w:val="15"/>
        </w:rPr>
        <w:t xml:space="preserve">MMANUEL </w:t>
      </w:r>
      <w:r>
        <w:t>M</w:t>
      </w:r>
      <w:r>
        <w:rPr>
          <w:sz w:val="15"/>
        </w:rPr>
        <w:t>AC</w:t>
      </w:r>
      <w:r>
        <w:rPr>
          <w:sz w:val="15"/>
        </w:rPr>
        <w:t xml:space="preserve">RON </w:t>
      </w:r>
    </w:p>
    <w:p w14:paraId="4CD07A7D" w14:textId="77777777" w:rsidR="00BB5F5A" w:rsidRDefault="00BA6658">
      <w:pPr>
        <w:spacing w:after="73" w:line="259" w:lineRule="auto"/>
        <w:ind w:left="544" w:firstLine="0"/>
        <w:jc w:val="left"/>
      </w:pPr>
      <w:r>
        <w:rPr>
          <w:sz w:val="18"/>
        </w:rPr>
        <w:t xml:space="preserve">Door de president van de Republiek: </w:t>
      </w:r>
    </w:p>
    <w:p w14:paraId="74F7E8BF" w14:textId="77777777" w:rsidR="00BB5F5A" w:rsidRDefault="00BA6658">
      <w:pPr>
        <w:spacing w:after="8" w:line="259" w:lineRule="auto"/>
        <w:ind w:left="0" w:firstLine="0"/>
        <w:jc w:val="left"/>
      </w:pPr>
      <w:r>
        <w:rPr>
          <w:i/>
        </w:rPr>
        <w:t xml:space="preserve">De Minister-president, </w:t>
      </w:r>
    </w:p>
    <w:p w14:paraId="65A8D155" w14:textId="77777777" w:rsidR="00BB5F5A" w:rsidRDefault="00BA6658">
      <w:pPr>
        <w:pStyle w:val="Heading1"/>
        <w:spacing w:after="47"/>
        <w:ind w:left="206" w:right="0"/>
      </w:pPr>
      <w:r>
        <w:rPr>
          <w:sz w:val="22"/>
        </w:rPr>
        <w:t>M</w:t>
      </w:r>
      <w:r>
        <w:t xml:space="preserve">ICHEL </w:t>
      </w:r>
      <w:r>
        <w:rPr>
          <w:sz w:val="22"/>
        </w:rPr>
        <w:t>B</w:t>
      </w:r>
      <w:r>
        <w:t xml:space="preserve">ARNIER </w:t>
      </w:r>
    </w:p>
    <w:p w14:paraId="1873A417" w14:textId="2CF6FE33" w:rsidR="00BB5F5A" w:rsidRDefault="00BA6658">
      <w:pPr>
        <w:spacing w:after="54" w:line="216" w:lineRule="auto"/>
        <w:ind w:left="7307" w:firstLine="0"/>
        <w:jc w:val="center"/>
      </w:pPr>
      <w:r>
        <w:rPr>
          <w:i/>
        </w:rPr>
        <w:t xml:space="preserve">De minister van Economie, Financiën en Industrie </w:t>
      </w:r>
    </w:p>
    <w:p w14:paraId="276AC3A6" w14:textId="23F96FBD" w:rsidR="00BB5F5A" w:rsidRDefault="00BA6658">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E12EE" w14:textId="77777777" w:rsidR="00BA6658" w:rsidRDefault="00BA6658">
      <w:pPr>
        <w:spacing w:after="0" w:line="240" w:lineRule="auto"/>
      </w:pPr>
      <w:r>
        <w:separator/>
      </w:r>
    </w:p>
  </w:endnote>
  <w:endnote w:type="continuationSeparator" w:id="0">
    <w:p w14:paraId="6906A78E" w14:textId="77777777" w:rsidR="00BA6658" w:rsidRDefault="00BA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ECD6" w14:textId="77777777" w:rsidR="00BA6658" w:rsidRDefault="00BA6658">
      <w:pPr>
        <w:spacing w:after="0" w:line="240" w:lineRule="auto"/>
      </w:pPr>
      <w:r>
        <w:separator/>
      </w:r>
    </w:p>
  </w:footnote>
  <w:footnote w:type="continuationSeparator" w:id="0">
    <w:p w14:paraId="4AE977C5" w14:textId="77777777" w:rsidR="00BA6658" w:rsidRDefault="00BA6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BA6658">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color w:val="0060B0"/>
        <w:sz w:val="18"/>
      </w:rPr>
      <w:t xml:space="preserve">STAATSBLAD VAN DE FRANSE REPUBLIEK </w:t>
    </w:r>
    <w:r>
      <w:rPr>
        <w:rFonts w:ascii="Calibri" w:hAnsi="Calibri"/>
        <w:sz w:val="16"/>
      </w:rPr>
      <w:t xml:space="preserve">Tekst 18 van 120 </w:t>
    </w:r>
  </w:p>
  <w:p w14:paraId="7D2344F0" w14:textId="77777777" w:rsidR="00BB5F5A" w:rsidRDefault="00BA6658">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BA6658">
    <w:pPr>
      <w:tabs>
        <w:tab w:val="center" w:pos="4818"/>
        <w:tab w:val="right" w:pos="9922"/>
      </w:tabs>
      <w:spacing w:after="0" w:line="259" w:lineRule="auto"/>
      <w:ind w:left="0" w:firstLine="0"/>
      <w:jc w:val="left"/>
    </w:pPr>
    <w:r>
      <w:rPr>
        <w:rFonts w:ascii="Calibri" w:hAnsi="Calibri"/>
        <w:sz w:val="16"/>
      </w:rPr>
      <w:t xml:space="preserve">07 </w:t>
    </w:r>
    <w:r>
      <w:rPr>
        <w:rFonts w:ascii="Calibri" w:hAnsi="Calibri"/>
        <w:sz w:val="16"/>
      </w:rPr>
      <w:t xml:space="preserve">november 2024 </w:t>
    </w:r>
    <w:r>
      <w:rPr>
        <w:rFonts w:ascii="Calibri" w:hAnsi="Calibri"/>
        <w:color w:val="0060B0"/>
        <w:sz w:val="18"/>
      </w:rPr>
      <w:t xml:space="preserve">STAATSBLAD VAN DE FRANSE REPUBLIEK </w:t>
    </w:r>
    <w:r>
      <w:rPr>
        <w:rFonts w:ascii="Calibri" w:hAnsi="Calibri"/>
        <w:sz w:val="16"/>
      </w:rPr>
      <w:t xml:space="preserve">Tekst 18 van 120 </w:t>
    </w:r>
  </w:p>
  <w:p w14:paraId="03F43403" w14:textId="77777777" w:rsidR="00BB5F5A" w:rsidRDefault="00BA6658">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BA6658">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color w:val="0060B0"/>
        <w:sz w:val="18"/>
      </w:rPr>
      <w:t xml:space="preserve">STAATSBLAD VAN DE FRANSE REPUBLIEK </w:t>
    </w:r>
    <w:r>
      <w:rPr>
        <w:rFonts w:ascii="Calibri" w:hAnsi="Calibri"/>
        <w:sz w:val="16"/>
      </w:rPr>
      <w:t xml:space="preserve">Tekst 18 van 120 </w:t>
    </w:r>
  </w:p>
  <w:p w14:paraId="3D44B973" w14:textId="77777777" w:rsidR="00BB5F5A" w:rsidRDefault="00BA6658">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4E1BCE"/>
    <w:rsid w:val="00AC55CF"/>
    <w:rsid w:val="00BA6658"/>
    <w:rsid w:val="00BB5F5A"/>
    <w:rsid w:val="00C256E0"/>
    <w:rsid w:val="00D13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2434</Words>
  <Characters>13562</Characters>
  <Application>Microsoft Office Word</Application>
  <DocSecurity>0</DocSecurity>
  <Lines>188</Lines>
  <Paragraphs>89</Paragraphs>
  <ScaleCrop>false</ScaleCrop>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2024-12-17T14:43:00Z</dcterms:created>
  <dcterms:modified xsi:type="dcterms:W3CDTF">2024-12-17T14:43:00Z</dcterms:modified>
</cp:coreProperties>
</file>