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3130B3">
      <w:pPr>
        <w:spacing w:after="324" w:line="259" w:lineRule="auto"/>
        <w:ind w:left="0" w:right="1" w:firstLine="0"/>
        <w:jc w:val="center"/>
      </w:pPr>
      <w:r>
        <w:rPr>
          <w:rFonts w:ascii="Calibri" w:hAnsi="Calibri"/>
          <w:color w:val="0093D1"/>
          <w:sz w:val="43"/>
        </w:rPr>
        <w:t xml:space="preserve">Dekret, förordningar, cirkulär </w:t>
      </w:r>
    </w:p>
    <w:p w14:paraId="4AC62185" w14:textId="77777777" w:rsidR="00BB5F5A" w:rsidRDefault="003130B3">
      <w:pPr>
        <w:spacing w:after="420" w:line="259" w:lineRule="auto"/>
        <w:ind w:left="0" w:right="1" w:firstLine="0"/>
        <w:jc w:val="center"/>
      </w:pPr>
      <w:r>
        <w:rPr>
          <w:rFonts w:ascii="Calibri" w:hAnsi="Calibri"/>
          <w:color w:val="393C96"/>
          <w:sz w:val="28"/>
        </w:rPr>
        <w:t xml:space="preserve">ALLMÄNNA TEXTER </w:t>
      </w:r>
    </w:p>
    <w:p w14:paraId="2E00BDAA" w14:textId="77777777" w:rsidR="00BB5F5A" w:rsidRDefault="003130B3">
      <w:pPr>
        <w:pStyle w:val="Heading1"/>
        <w:spacing w:after="273"/>
        <w:ind w:right="0"/>
        <w:jc w:val="center"/>
      </w:pPr>
      <w:r>
        <w:rPr>
          <w:rFonts w:ascii="Calibri" w:hAnsi="Calibri"/>
          <w:b/>
          <w:color w:val="393C96"/>
          <w:sz w:val="20"/>
        </w:rPr>
        <w:t xml:space="preserve">MINISTERIET FÖR EKONOMI, FINANS OCH INDUSTRI </w:t>
      </w:r>
    </w:p>
    <w:p w14:paraId="6D78EE22" w14:textId="77777777" w:rsidR="00BB5F5A" w:rsidRDefault="003130B3">
      <w:pPr>
        <w:spacing w:after="130" w:line="216" w:lineRule="auto"/>
        <w:ind w:right="1" w:hanging="215"/>
      </w:pPr>
      <w:r>
        <w:rPr>
          <w:rFonts w:ascii="Calibri" w:hAnsi="Calibri"/>
          <w:b/>
          <w:color w:val="5C5D61"/>
        </w:rPr>
        <w:t>Förordning nr </w:t>
      </w:r>
      <w:proofErr w:type="gramStart"/>
      <w:r>
        <w:rPr>
          <w:rFonts w:ascii="Calibri" w:hAnsi="Calibri"/>
          <w:b/>
          <w:color w:val="5C5D61"/>
        </w:rPr>
        <w:t>2024-978</w:t>
      </w:r>
      <w:proofErr w:type="gramEnd"/>
      <w:r>
        <w:rPr>
          <w:rFonts w:ascii="Calibri" w:hAnsi="Calibri"/>
          <w:b/>
          <w:color w:val="5C5D61"/>
        </w:rPr>
        <w:t xml:space="preserve"> av den 6 november 2024 om ändring av lag nr 2023-451 av den 9 juni 2023 som syftar till att reglera kommersiellt inflytande och bekämpa missbruk av </w:t>
      </w:r>
      <w:proofErr w:type="spellStart"/>
      <w:r>
        <w:rPr>
          <w:rFonts w:ascii="Calibri" w:hAnsi="Calibri"/>
          <w:b/>
          <w:color w:val="5C5D61"/>
        </w:rPr>
        <w:t>influerare</w:t>
      </w:r>
      <w:proofErr w:type="spellEnd"/>
      <w:r>
        <w:rPr>
          <w:rFonts w:ascii="Calibri" w:hAnsi="Calibri"/>
          <w:b/>
          <w:color w:val="5C5D61"/>
        </w:rPr>
        <w:t xml:space="preserve"> på sociala nätverk </w:t>
      </w:r>
    </w:p>
    <w:p w14:paraId="53548437" w14:textId="77777777" w:rsidR="00BB5F5A" w:rsidRDefault="003130B3">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3130B3">
      <w:pPr>
        <w:ind w:firstLine="0"/>
      </w:pPr>
      <w:r>
        <w:t>Republikens president utfärdar dett</w:t>
      </w:r>
      <w:r>
        <w:t xml:space="preserve">a beslut </w:t>
      </w:r>
    </w:p>
    <w:p w14:paraId="60771B53" w14:textId="77777777" w:rsidR="00BB5F5A" w:rsidRDefault="003130B3">
      <w:pPr>
        <w:spacing w:after="88"/>
        <w:ind w:firstLine="0"/>
      </w:pPr>
      <w:r>
        <w:t xml:space="preserve">på grundval av rapporten från premiärministern och ministern för ekonomi, finans och industri, </w:t>
      </w:r>
    </w:p>
    <w:p w14:paraId="54602248" w14:textId="77777777" w:rsidR="00BB5F5A" w:rsidRDefault="003130B3">
      <w:pPr>
        <w:spacing w:after="30"/>
        <w:ind w:firstLine="0"/>
      </w:pPr>
      <w:r>
        <w:t xml:space="preserve">med beaktande av konstitutionen, särskilt artikel 38 däri, </w:t>
      </w:r>
    </w:p>
    <w:p w14:paraId="071009EA" w14:textId="77777777" w:rsidR="00BB5F5A" w:rsidRDefault="003130B3">
      <w:pPr>
        <w:spacing w:after="24"/>
        <w:ind w:left="-15"/>
      </w:pPr>
      <w:r>
        <w:t>med beaktande av Europaparlamentets och rådets direktiv 2000/31/EG av den 8 juni 2000 om v</w:t>
      </w:r>
      <w:r>
        <w:t xml:space="preserve">issa rättsliga aspekter på informationssamhällets tjänster, särskilt elektronisk handel, på den inre marknaden (”Direktiv om elektronisk handel”), </w:t>
      </w:r>
    </w:p>
    <w:p w14:paraId="0D58FCC0" w14:textId="77777777" w:rsidR="00BB5F5A" w:rsidRDefault="003130B3">
      <w:pPr>
        <w:spacing w:after="24"/>
        <w:ind w:left="-15"/>
      </w:pPr>
      <w:r>
        <w:t>med beaktande av Europaparlamentets och rådets direktiv 2005/29/EG av den 11 maj 2005 om otillbörliga affärs</w:t>
      </w:r>
      <w:r>
        <w:t>metoder som tillämpas av näringsidkare gentemot konsumenter på den inre marknaden och om ändring av rådets direktiv 84/450/EEG och Europaparlamentets och rådets direktiv 97/7/EG, 98/27/EG och 2002/65/EG samt Europaparlamentets och rådets förordning (EG) nr</w:t>
      </w:r>
      <w:r>
        <w:t xml:space="preserve"> 2006/2004 (direktiv om otillbörliga affärsmetoder), </w:t>
      </w:r>
    </w:p>
    <w:p w14:paraId="29E501B5" w14:textId="77777777" w:rsidR="00BB5F5A" w:rsidRDefault="003130B3">
      <w:pPr>
        <w:spacing w:after="23"/>
        <w:ind w:left="-15"/>
      </w:pPr>
      <w:r>
        <w:t>med beaktande av Europaparlamentets och rådets direktiv 2010/13/EU av den 10 mars 2010 om samordning av vissa bestämmelser som fastställs i medlemsstaternas lagar och andra författningar om tillhandahål</w:t>
      </w:r>
      <w:r>
        <w:t xml:space="preserve">lande av audiovisuella medietjänster (direktiv om audiovisuella medietjänster), </w:t>
      </w:r>
    </w:p>
    <w:p w14:paraId="517F39D2" w14:textId="77777777" w:rsidR="00BB5F5A" w:rsidRDefault="003130B3">
      <w:pPr>
        <w:ind w:left="-15"/>
      </w:pPr>
      <w:r>
        <w:t xml:space="preserve">med beaktande av Europaparlamentets och rådets direktiv (EU) 2015/1535 av den 9 september 2015 om ett informationsförfarande beträffande tekniska föreskrifter och beträffande </w:t>
      </w:r>
      <w:r>
        <w:t xml:space="preserve">föreskrifter för informationssamhällets tjänster, </w:t>
      </w:r>
    </w:p>
    <w:p w14:paraId="18DA088E" w14:textId="77777777" w:rsidR="00BB5F5A" w:rsidRDefault="003130B3">
      <w:pPr>
        <w:spacing w:after="30"/>
        <w:ind w:firstLine="0"/>
      </w:pPr>
      <w:r>
        <w:t xml:space="preserve">med beaktande av lagen om förvaltningsdomstolar, särskilt artikel R. </w:t>
      </w:r>
      <w:proofErr w:type="gramStart"/>
      <w:r>
        <w:t>123-20</w:t>
      </w:r>
      <w:proofErr w:type="gramEnd"/>
      <w:r>
        <w:t xml:space="preserve"> däri, </w:t>
      </w:r>
    </w:p>
    <w:p w14:paraId="7F86EC33" w14:textId="77777777" w:rsidR="00BB5F5A" w:rsidRDefault="003130B3">
      <w:pPr>
        <w:spacing w:after="25"/>
        <w:ind w:left="-15"/>
      </w:pPr>
      <w:r>
        <w:t>med beaktande av lag nr </w:t>
      </w:r>
      <w:proofErr w:type="gramStart"/>
      <w:r>
        <w:t>2023-451</w:t>
      </w:r>
      <w:proofErr w:type="gramEnd"/>
      <w:r>
        <w:t xml:space="preserve"> av den 9 juni 2023 som syftar till att reglera kommersiellt inflytande och bekämpa missbruk av </w:t>
      </w:r>
      <w:proofErr w:type="spellStart"/>
      <w:r>
        <w:t>influerare</w:t>
      </w:r>
      <w:proofErr w:type="spellEnd"/>
      <w:r>
        <w:t xml:space="preserve"> på sociala nätverk, </w:t>
      </w:r>
    </w:p>
    <w:p w14:paraId="76205EB4" w14:textId="77777777" w:rsidR="00BB5F5A" w:rsidRDefault="003130B3">
      <w:pPr>
        <w:ind w:left="-15"/>
      </w:pPr>
      <w:r>
        <w:t>med beaktande av lag nr </w:t>
      </w:r>
      <w:proofErr w:type="gramStart"/>
      <w:r>
        <w:t>2024-364</w:t>
      </w:r>
      <w:proofErr w:type="gramEnd"/>
      <w:r>
        <w:t xml:space="preserve"> av den 22 april 2024 om olika bestämmelser om anpassning till u</w:t>
      </w:r>
      <w:r>
        <w:t xml:space="preserve">nionsrätten av frågor som rör ekonomi, finans, den ekologiska omställningen, straffrätt, socialrätt och jordbruksfrågor, särskilt artikel 3 däri, </w:t>
      </w:r>
    </w:p>
    <w:p w14:paraId="52DE1B19" w14:textId="77777777" w:rsidR="00BB5F5A" w:rsidRDefault="003130B3">
      <w:pPr>
        <w:ind w:firstLine="0"/>
      </w:pPr>
      <w:r>
        <w:t xml:space="preserve">med beaktande av anmälan nr 2024/0379/FR som inlämnades till Europeiska kommissionen den 3 juli 2024, </w:t>
      </w:r>
    </w:p>
    <w:p w14:paraId="2DC263BA" w14:textId="77777777" w:rsidR="00BB5F5A" w:rsidRDefault="003130B3">
      <w:pPr>
        <w:spacing w:after="214"/>
        <w:ind w:right="5040" w:firstLine="0"/>
      </w:pPr>
      <w:r>
        <w:t xml:space="preserve">efter </w:t>
      </w:r>
      <w:r>
        <w:t xml:space="preserve">att ha hört statsrådet (finansavdelningen), efter att ha hört ministerrådet. </w:t>
      </w:r>
    </w:p>
    <w:p w14:paraId="1578A1A7" w14:textId="77777777" w:rsidR="00BB5F5A" w:rsidRDefault="003130B3">
      <w:pPr>
        <w:spacing w:after="146"/>
        <w:ind w:left="1077" w:firstLine="0"/>
      </w:pPr>
      <w:r>
        <w:t xml:space="preserve">Härmed föreskrivs följande. </w:t>
      </w:r>
    </w:p>
    <w:p w14:paraId="4FDE374B" w14:textId="77777777" w:rsidR="00BB5F5A" w:rsidRDefault="003130B3">
      <w:pPr>
        <w:spacing w:after="105" w:line="259" w:lineRule="auto"/>
        <w:ind w:left="10" w:right="1" w:hanging="10"/>
        <w:jc w:val="center"/>
      </w:pPr>
      <w:r>
        <w:rPr>
          <w:rFonts w:ascii="Calibri" w:hAnsi="Calibri"/>
          <w:b/>
        </w:rPr>
        <w:t>Artikel 1</w:t>
      </w:r>
      <w:r>
        <w:rPr>
          <w:rFonts w:ascii="Calibri" w:hAnsi="Calibri"/>
          <w:b/>
          <w:sz w:val="17"/>
          <w:vertAlign w:val="superscript"/>
        </w:rPr>
        <w:t xml:space="preserve"> </w:t>
      </w:r>
    </w:p>
    <w:p w14:paraId="1AFC17DB" w14:textId="77777777" w:rsidR="00BB5F5A" w:rsidRDefault="003130B3">
      <w:pPr>
        <w:spacing w:after="119"/>
        <w:ind w:left="-15"/>
      </w:pPr>
      <w:r>
        <w:t xml:space="preserve">Lag nr </w:t>
      </w:r>
      <w:proofErr w:type="gramStart"/>
      <w:r>
        <w:t>2023-451</w:t>
      </w:r>
      <w:proofErr w:type="gramEnd"/>
      <w:r>
        <w:t xml:space="preserve"> av den 9 juni 2023, som syftar till att reglera kommersiellt inflytande och bekämpa missbruk av </w:t>
      </w:r>
      <w:proofErr w:type="spellStart"/>
      <w:r>
        <w:t>influerare</w:t>
      </w:r>
      <w:proofErr w:type="spellEnd"/>
      <w:r>
        <w:t xml:space="preserve"> på sociala nätv</w:t>
      </w:r>
      <w:r>
        <w:t xml:space="preserve">erk, ändras på följande sätt: </w:t>
      </w:r>
    </w:p>
    <w:p w14:paraId="542BFDB4" w14:textId="77777777" w:rsidR="00BB5F5A" w:rsidRDefault="003130B3">
      <w:pPr>
        <w:numPr>
          <w:ilvl w:val="0"/>
          <w:numId w:val="1"/>
        </w:numPr>
        <w:spacing w:after="85"/>
        <w:ind w:hanging="305"/>
      </w:pPr>
      <w:r>
        <w:t xml:space="preserve">– Artikel 1 ska ersättas med följande bestämmelser: </w:t>
      </w:r>
    </w:p>
    <w:p w14:paraId="36B0D7BB" w14:textId="77777777" w:rsidR="00BB5F5A" w:rsidRDefault="003130B3">
      <w:pPr>
        <w:spacing w:after="135"/>
        <w:ind w:left="-15"/>
      </w:pPr>
      <w:r>
        <w:t xml:space="preserve">” </w:t>
      </w:r>
      <w:r>
        <w:rPr>
          <w:i/>
        </w:rPr>
        <w:t xml:space="preserve">”Artikel 1. – </w:t>
      </w:r>
      <w:r>
        <w:t>Fysiska eller juridiska personer som mot ersättning använder sitt anseende bland sin publik för att på elektronisk väg förmedla innehåll som är avsett att d</w:t>
      </w:r>
      <w:r>
        <w:t xml:space="preserve">irekt eller indirekt främja varor, tjänster eller något annat skäl, utövar kommersiell påverkan på elektronisk väg.” </w:t>
      </w:r>
    </w:p>
    <w:p w14:paraId="3950E5A5" w14:textId="77777777" w:rsidR="00BB5F5A" w:rsidRDefault="003130B3">
      <w:pPr>
        <w:numPr>
          <w:ilvl w:val="0"/>
          <w:numId w:val="1"/>
        </w:numPr>
        <w:spacing w:after="79"/>
        <w:ind w:hanging="305"/>
      </w:pPr>
      <w:r>
        <w:t xml:space="preserve">– Artikel 4 ska ersättas med följande bestämmelser: </w:t>
      </w:r>
    </w:p>
    <w:p w14:paraId="6F86B412" w14:textId="77777777" w:rsidR="00BB5F5A" w:rsidRDefault="003130B3">
      <w:pPr>
        <w:ind w:left="-15"/>
      </w:pPr>
      <w:r>
        <w:t xml:space="preserve">” </w:t>
      </w:r>
      <w:r>
        <w:rPr>
          <w:i/>
        </w:rPr>
        <w:t xml:space="preserve">Artikel 4. – </w:t>
      </w:r>
      <w:r>
        <w:t>I. –  All direkt eller indirekt marknadsföring av handlingar, processe</w:t>
      </w:r>
      <w:r>
        <w:t>r, tekniker och metoder med estetiskt syfte som kan innebära hälsorisker för de personer som avses i artikel L. </w:t>
      </w:r>
      <w:proofErr w:type="gramStart"/>
      <w:r>
        <w:t>1151-2</w:t>
      </w:r>
      <w:proofErr w:type="gramEnd"/>
      <w:r>
        <w:t xml:space="preserve"> i folkhälsolagen och de ingripanden som avses i artikel L. 6322-1 i samma lag är förbjudna för personer som utövar kommersiellt inflytand</w:t>
      </w:r>
      <w:r>
        <w:t xml:space="preserve">e på elektronisk väg. </w:t>
      </w:r>
    </w:p>
    <w:p w14:paraId="1DB6FB2C" w14:textId="77777777" w:rsidR="00BB5F5A" w:rsidRDefault="003130B3">
      <w:pPr>
        <w:ind w:left="-15"/>
      </w:pPr>
      <w:r>
        <w:t xml:space="preserve">”II. –  All direkt eller indirekt marknadsföring av icke-terapeutiska produkter, handlingar, processer, tekniker och metoder som presenteras som jämförbara eller att föredra i förhållande till eller som ersättning för terapeutiska </w:t>
      </w:r>
      <w:r>
        <w:lastRenderedPageBreak/>
        <w:t>ha</w:t>
      </w:r>
      <w:r>
        <w:t xml:space="preserve">ndlingar, protokoll eller recept ska vara förbjudet för personer som utövar kommersiellt inflytande på elektronisk väg. </w:t>
      </w:r>
    </w:p>
    <w:p w14:paraId="0FCE785E" w14:textId="77777777" w:rsidR="00BB5F5A" w:rsidRDefault="003130B3">
      <w:pPr>
        <w:ind w:left="-15"/>
      </w:pPr>
      <w:r>
        <w:t>”III. –  All direkt eller indirekt marknadsföring av produkter som betraktas som nikotinprodukter och som kan konsumeras och som är til</w:t>
      </w:r>
      <w:r>
        <w:t xml:space="preserve">lverkade av, även delvis, nikotin ska vara förbjudet för personer som utövar kommersiellt inflytande på elektronisk väg. </w:t>
      </w:r>
    </w:p>
    <w:p w14:paraId="7EEC5628" w14:textId="77777777" w:rsidR="00BB5F5A" w:rsidRDefault="003130B3">
      <w:pPr>
        <w:spacing w:after="130"/>
        <w:ind w:left="-15"/>
      </w:pPr>
      <w:r>
        <w:t>”IV. –  All direkt eller indirekt marknadsföring av djur som inte är upptagna i den förteckning som avses i artikel L. </w:t>
      </w:r>
      <w:proofErr w:type="gramStart"/>
      <w:r>
        <w:t>413-1</w:t>
      </w:r>
      <w:proofErr w:type="gramEnd"/>
      <w:r>
        <w:t> A i miljö</w:t>
      </w:r>
      <w:r>
        <w:t>lagen är förbjuden för personer som utövar kommersiell påverkan på elektronisk väg. Detta förbud gäller inte anläggningar som har tillstånd att hålla dessa djur i enlighet med artikel L. </w:t>
      </w:r>
      <w:proofErr w:type="gramStart"/>
      <w:r>
        <w:t>413-3</w:t>
      </w:r>
      <w:proofErr w:type="gramEnd"/>
      <w:r>
        <w:t xml:space="preserve"> i samma lag. </w:t>
      </w:r>
    </w:p>
    <w:p w14:paraId="4BB23C95" w14:textId="77777777" w:rsidR="00BB5F5A" w:rsidRDefault="003130B3">
      <w:pPr>
        <w:spacing w:after="77"/>
        <w:ind w:left="-15"/>
      </w:pPr>
      <w:r>
        <w:t>”V. –  All direkt eller indirekt marknadsföring a</w:t>
      </w:r>
      <w:r>
        <w:t xml:space="preserve">v följande finansiella produkter och tjänster ska vara förbjuden för personer som utövar kommersiell verksamhet på elektronisk väg: </w:t>
      </w:r>
    </w:p>
    <w:p w14:paraId="0FCB0A4E" w14:textId="77777777" w:rsidR="00BB5F5A" w:rsidRDefault="003130B3">
      <w:pPr>
        <w:ind w:firstLine="0"/>
      </w:pPr>
      <w:r>
        <w:t>1</w:t>
      </w:r>
      <w:r>
        <w:rPr>
          <w:sz w:val="17"/>
          <w:vertAlign w:val="superscript"/>
        </w:rPr>
        <w:t xml:space="preserve">o </w:t>
      </w:r>
      <w:r>
        <w:t xml:space="preserve">De finansiella avtal som avses i artikel L. 533-12-7 i penning- och finanslagen. </w:t>
      </w:r>
    </w:p>
    <w:p w14:paraId="7B571492" w14:textId="77777777" w:rsidR="00BB5F5A" w:rsidRDefault="003130B3">
      <w:pPr>
        <w:spacing w:after="34"/>
        <w:ind w:left="-15"/>
      </w:pPr>
      <w:r>
        <w:t>2</w:t>
      </w:r>
      <w:r>
        <w:rPr>
          <w:sz w:val="17"/>
          <w:vertAlign w:val="superscript"/>
        </w:rPr>
        <w:t xml:space="preserve">o </w:t>
      </w:r>
      <w:r>
        <w:t xml:space="preserve">Tillhandahållande av digitala tillgångstjänster, i den mening som avses i artikel L. 54-10-2 i nämnda lag, med undantag för sådana tjänster för vilka annonsören är registrerad på de villkor som anges i artikel L. 54-10-3 i nämnda lag eller som är tillåtna </w:t>
      </w:r>
      <w:r>
        <w:t xml:space="preserve">enligt villkoren i artikel L. 54-10-5 i denna lag. </w:t>
      </w:r>
    </w:p>
    <w:p w14:paraId="56BD14C2" w14:textId="77777777" w:rsidR="00BB5F5A" w:rsidRDefault="003130B3">
      <w:pPr>
        <w:spacing w:after="31"/>
        <w:ind w:left="-15"/>
      </w:pPr>
      <w:r>
        <w:t>3</w:t>
      </w:r>
      <w:r>
        <w:rPr>
          <w:sz w:val="17"/>
          <w:vertAlign w:val="superscript"/>
        </w:rPr>
        <w:t xml:space="preserve">o </w:t>
      </w:r>
      <w:r>
        <w:t>Offentliga symboliska erbjudanden i den mening som avses i artikel L. </w:t>
      </w:r>
      <w:proofErr w:type="gramStart"/>
      <w:r>
        <w:t>552-3</w:t>
      </w:r>
      <w:proofErr w:type="gramEnd"/>
      <w:r>
        <w:t xml:space="preserve"> i samma lag, utom när annonsören har erhållit den visering som föreskrivs i artikel L. 552-4 i denna lag. </w:t>
      </w:r>
    </w:p>
    <w:p w14:paraId="2ED229B9" w14:textId="77777777" w:rsidR="00BB5F5A" w:rsidRDefault="003130B3">
      <w:pPr>
        <w:ind w:left="-15"/>
      </w:pPr>
      <w:r>
        <w:t>4</w:t>
      </w:r>
      <w:r>
        <w:rPr>
          <w:sz w:val="17"/>
          <w:vertAlign w:val="superscript"/>
        </w:rPr>
        <w:t xml:space="preserve">o </w:t>
      </w:r>
      <w:r>
        <w:t>Digitala tillgå</w:t>
      </w:r>
      <w:r>
        <w:t>ngar, utom sådana som rör tjänster för vilka annonsören är registrerad på de villkor som anges i artikel L. 54-10-3 i nämnda lag eller godkänd på de villkor som anges i artikel L. 54-10-5 i denna lag, det vill säga när annonsören inte omfattas av tillämpni</w:t>
      </w:r>
      <w:r>
        <w:t xml:space="preserve">ngsområdet för artiklarna L. 54-10-3 och L. 54-10-5 i samma lag. </w:t>
      </w:r>
    </w:p>
    <w:p w14:paraId="4F97707A" w14:textId="77777777" w:rsidR="00BB5F5A" w:rsidRDefault="003130B3">
      <w:pPr>
        <w:ind w:left="-15"/>
      </w:pPr>
      <w:r>
        <w:t xml:space="preserve">” ”Överträdelser av bestämmelserna i detta V ska bli föremål för de påföljder som föreskrivs i artikel L. 222-16-1 femte stycket och artikel L. 222-16-2 näst sista stycket i konsumentlagen. </w:t>
      </w:r>
    </w:p>
    <w:p w14:paraId="7FC2E317" w14:textId="77777777" w:rsidR="00BB5F5A" w:rsidRDefault="003130B3">
      <w:pPr>
        <w:ind w:left="-15"/>
      </w:pPr>
      <w:r>
        <w:t xml:space="preserve">” VI. – All direkt eller indirekt marknadsföring av prenumerationer på sporttips eller vadhållning ska vara förbjuden för personer som utövar kommersiellt inflytande på elektronisk väg. </w:t>
      </w:r>
    </w:p>
    <w:p w14:paraId="728EE356" w14:textId="77777777" w:rsidR="00BB5F5A" w:rsidRDefault="003130B3">
      <w:pPr>
        <w:ind w:left="-15"/>
      </w:pPr>
      <w:r>
        <w:t>”VII. – Kommersiella meddelanden på elektronisk väg från de personer</w:t>
      </w:r>
      <w:r>
        <w:t xml:space="preserve"> som avses i artikel 1 i denna lag om hasardspel i den mening som avses i artiklarna L. </w:t>
      </w:r>
      <w:proofErr w:type="gramStart"/>
      <w:r>
        <w:t>320-1</w:t>
      </w:r>
      <w:proofErr w:type="gramEnd"/>
      <w:r>
        <w:t xml:space="preserve"> och L. 320-6 i lagen om inre säkerhet är endast tillåtna på </w:t>
      </w:r>
      <w:proofErr w:type="spellStart"/>
      <w:r>
        <w:t>onlineplattformar</w:t>
      </w:r>
      <w:proofErr w:type="spellEnd"/>
      <w:r>
        <w:t xml:space="preserve"> som erbjuder en teknisk möjlighet att utesluta alla användare som är yngre än arton </w:t>
      </w:r>
      <w:r>
        <w:t xml:space="preserve">år från publiken av sådant innehåll och om denna uteslutningsmekanism faktiskt aktiveras av dessa personer. </w:t>
      </w:r>
    </w:p>
    <w:p w14:paraId="6EB44F5A" w14:textId="77777777" w:rsidR="00BB5F5A" w:rsidRDefault="003130B3">
      <w:pPr>
        <w:ind w:left="-15"/>
      </w:pPr>
      <w:r>
        <w:t xml:space="preserve">”Sådana kommersiella meddelanden ska åtföljas av en hänvisning till förbudet mot sådant innehåll för personer under 18 år.  Denna uppgift ska vara </w:t>
      </w:r>
      <w:r>
        <w:t xml:space="preserve">tydlig, läsbar och begriplig på vilket medium som helst som används. </w:t>
      </w:r>
    </w:p>
    <w:p w14:paraId="16552C4E" w14:textId="77777777" w:rsidR="00BB5F5A" w:rsidRDefault="003130B3">
      <w:pPr>
        <w:ind w:left="-15"/>
      </w:pPr>
      <w:r>
        <w:t>”De uteslutningsmekanismer som föreskrivs i detta VII ska överensstämma med en referensram som utarbetats av tillsynsmyndigheten för audiovisuell och digital kommunikation efter samråd m</w:t>
      </w:r>
      <w:r>
        <w:t xml:space="preserve">ed den nationella lotterimyndigheten och den nationella kommissionen för informationsteknik och friheter.  </w:t>
      </w:r>
    </w:p>
    <w:p w14:paraId="5C916282" w14:textId="77777777" w:rsidR="00BB5F5A" w:rsidRDefault="003130B3">
      <w:pPr>
        <w:ind w:left="-15"/>
      </w:pPr>
      <w:r>
        <w:t>”Avtal om säljfrämjande åtgärder med spelaktörer ska innehålla en klausul genom vilken de personer som definieras i artikel 1 i denna lag intygar at</w:t>
      </w:r>
      <w:r>
        <w:t xml:space="preserve">t de har tagit del av de lagar och andra författningar som är tillämpliga på kommersiella meddelanden om hasardspel och åtar sig att följa dem.  </w:t>
      </w:r>
    </w:p>
    <w:p w14:paraId="507CFB94" w14:textId="77777777" w:rsidR="00BB5F5A" w:rsidRDefault="003130B3">
      <w:pPr>
        <w:spacing w:after="122"/>
        <w:ind w:left="-15"/>
      </w:pPr>
      <w:r>
        <w:t>”Överträdelser av bestämmelserna i denna VII ska dömas till böter enligt artikel L. 324-8-1 i lagen om inre sä</w:t>
      </w:r>
      <w:r>
        <w:t xml:space="preserve">kerhet.  </w:t>
      </w:r>
    </w:p>
    <w:p w14:paraId="65CC3B40" w14:textId="77777777" w:rsidR="00BB5F5A" w:rsidRDefault="003130B3">
      <w:pPr>
        <w:spacing w:after="93"/>
        <w:ind w:firstLine="0"/>
      </w:pPr>
      <w:r>
        <w:t>” VIII. – Efter 2</w:t>
      </w:r>
      <w:r>
        <w:rPr>
          <w:sz w:val="17"/>
          <w:vertAlign w:val="superscript"/>
        </w:rPr>
        <w:t xml:space="preserve">o </w:t>
      </w:r>
      <w:r>
        <w:t xml:space="preserve">i artikel L. 6323-8-1 i lagen om arbete ska följande stycke införas: </w:t>
      </w:r>
    </w:p>
    <w:p w14:paraId="6709E1F6" w14:textId="77777777" w:rsidR="00BB5F5A" w:rsidRDefault="003130B3">
      <w:pPr>
        <w:ind w:left="-15"/>
      </w:pPr>
      <w:r>
        <w:t>”Varje försäljning eller erbjudande av en produkt eller betalning som motprestation för abonnemang på program som avses i samma artikel L. </w:t>
      </w:r>
      <w:proofErr w:type="gramStart"/>
      <w:r>
        <w:t>6323-6</w:t>
      </w:r>
      <w:proofErr w:type="gramEnd"/>
      <w:r>
        <w:t xml:space="preserve"> är också fö</w:t>
      </w:r>
      <w:r>
        <w:t xml:space="preserve">rbjuden.” </w:t>
      </w:r>
    </w:p>
    <w:p w14:paraId="012E80CC" w14:textId="77777777" w:rsidR="00BB5F5A" w:rsidRDefault="003130B3">
      <w:pPr>
        <w:ind w:left="-15"/>
      </w:pPr>
      <w:r>
        <w:t>” IX. – Överträdelser av bestämmelserna i I–IV och VI i denna artikel ska bestraffas med den påföljd som föreskrivs i artikel L. </w:t>
      </w:r>
      <w:proofErr w:type="gramStart"/>
      <w:r>
        <w:t>132-2</w:t>
      </w:r>
      <w:proofErr w:type="gramEnd"/>
      <w:r>
        <w:t xml:space="preserve"> i konsumentlagen. </w:t>
      </w:r>
    </w:p>
    <w:p w14:paraId="700FD132" w14:textId="77777777" w:rsidR="00BB5F5A" w:rsidRDefault="003130B3">
      <w:pPr>
        <w:spacing w:after="143"/>
        <w:ind w:left="-15"/>
      </w:pPr>
      <w:r>
        <w:t>” När det gäller dessa brott och det brott som avses i VII kan gärningsmannen även förbjuda</w:t>
      </w:r>
      <w:r>
        <w:t xml:space="preserve">s, antingen definitivt eller tillfälligt, i enlighet med de förfaranden som föreskrivs i artikel </w:t>
      </w:r>
      <w:proofErr w:type="gramStart"/>
      <w:r>
        <w:t>131-27</w:t>
      </w:r>
      <w:proofErr w:type="gramEnd"/>
      <w:r>
        <w:t xml:space="preserve"> i strafflagen, att utöva den yrkesmässiga eller sociala verksamhet som brottet begicks eller utöva kommersiell påverkan på elektronisk väg enligt artike</w:t>
      </w:r>
      <w:r>
        <w:t xml:space="preserve">l 1 i denna lag. </w:t>
      </w:r>
    </w:p>
    <w:p w14:paraId="29D9691F" w14:textId="77777777" w:rsidR="00BB5F5A" w:rsidRDefault="003130B3">
      <w:pPr>
        <w:spacing w:after="81"/>
        <w:ind w:firstLine="0"/>
      </w:pPr>
      <w:r>
        <w:t>” X. – Efter 31</w:t>
      </w:r>
      <w:r>
        <w:rPr>
          <w:sz w:val="17"/>
          <w:vertAlign w:val="superscript"/>
        </w:rPr>
        <w:t xml:space="preserve">o </w:t>
      </w:r>
      <w:r>
        <w:t>i artikel L. </w:t>
      </w:r>
      <w:proofErr w:type="gramStart"/>
      <w:r>
        <w:t>511-7</w:t>
      </w:r>
      <w:proofErr w:type="gramEnd"/>
      <w:r>
        <w:t xml:space="preserve"> i konsumentlagen ska 32</w:t>
      </w:r>
      <w:r>
        <w:rPr>
          <w:sz w:val="17"/>
          <w:vertAlign w:val="superscript"/>
        </w:rPr>
        <w:t xml:space="preserve">o </w:t>
      </w:r>
      <w:r>
        <w:t xml:space="preserve">införas med följande lydelse: </w:t>
      </w:r>
    </w:p>
    <w:p w14:paraId="14A29651" w14:textId="77777777" w:rsidR="00BB5F5A" w:rsidRDefault="003130B3">
      <w:pPr>
        <w:spacing w:after="0" w:line="302" w:lineRule="auto"/>
        <w:ind w:left="-15" w:right="-15"/>
        <w:jc w:val="left"/>
      </w:pPr>
      <w:r>
        <w:t>32</w:t>
      </w:r>
      <w:r>
        <w:rPr>
          <w:sz w:val="17"/>
          <w:vertAlign w:val="superscript"/>
        </w:rPr>
        <w:t xml:space="preserve">o </w:t>
      </w:r>
      <w:r>
        <w:t>Genom V i artikel 4 i lag nr </w:t>
      </w:r>
      <w:proofErr w:type="gramStart"/>
      <w:r>
        <w:t>2023-451</w:t>
      </w:r>
      <w:proofErr w:type="gramEnd"/>
      <w:r>
        <w:t xml:space="preserve"> av den 9 juni 2023 som syftar till att reglera kommersiellt inflytande och bekämpa missbruk av </w:t>
      </w:r>
      <w:proofErr w:type="spellStart"/>
      <w:r>
        <w:t>influerar</w:t>
      </w:r>
      <w:r>
        <w:t>e</w:t>
      </w:r>
      <w:proofErr w:type="spellEnd"/>
      <w:r>
        <w:t xml:space="preserve"> på sociala nätverk.” III. </w:t>
      </w:r>
      <w:proofErr w:type="gramStart"/>
      <w:r>
        <w:t>–  Artikel</w:t>
      </w:r>
      <w:proofErr w:type="gramEnd"/>
      <w:r>
        <w:t xml:space="preserve"> 5 ska ersättas med följande bestämmelser: </w:t>
      </w:r>
    </w:p>
    <w:p w14:paraId="3C6D62EA" w14:textId="77777777" w:rsidR="00BB5F5A" w:rsidRDefault="003130B3">
      <w:pPr>
        <w:ind w:left="-15"/>
      </w:pPr>
      <w:r>
        <w:t xml:space="preserve">” </w:t>
      </w:r>
      <w:r>
        <w:rPr>
          <w:i/>
        </w:rPr>
        <w:t xml:space="preserve">Artikel 5. – </w:t>
      </w:r>
      <w:r>
        <w:t xml:space="preserve">I. – Innehåll som meddelats av de personer som avses i artikel 1 i denna lag och som innehåller bilder som har utsatts för: </w:t>
      </w:r>
    </w:p>
    <w:p w14:paraId="4B787B68" w14:textId="77777777" w:rsidR="00BB5F5A" w:rsidRDefault="003130B3">
      <w:pPr>
        <w:spacing w:after="31"/>
        <w:ind w:left="-15"/>
      </w:pPr>
      <w:r>
        <w:lastRenderedPageBreak/>
        <w:t>”1</w:t>
      </w:r>
      <w:r>
        <w:rPr>
          <w:sz w:val="17"/>
          <w:vertAlign w:val="superscript"/>
        </w:rPr>
        <w:t xml:space="preserve">o </w:t>
      </w:r>
      <w:r>
        <w:t>Ändringar genom bildbearbetnin</w:t>
      </w:r>
      <w:r>
        <w:t xml:space="preserve">g för att förfina eller tjocka silhuetten eller ändra ansiktets utseende ska åtföljas av följande begrepp: ”Redigerade bilder”. </w:t>
      </w:r>
    </w:p>
    <w:p w14:paraId="68231ACC" w14:textId="77777777" w:rsidR="00BB5F5A" w:rsidRDefault="003130B3">
      <w:pPr>
        <w:ind w:left="-15"/>
      </w:pPr>
      <w:r>
        <w:t>”2</w:t>
      </w:r>
      <w:r>
        <w:rPr>
          <w:sz w:val="17"/>
          <w:vertAlign w:val="superscript"/>
        </w:rPr>
        <w:t xml:space="preserve">o </w:t>
      </w:r>
      <w:r>
        <w:t xml:space="preserve">Framställning genom en process för artificiell intelligens för att representera ett ansikte eller en silhuett ska åtföljas </w:t>
      </w:r>
      <w:r>
        <w:t xml:space="preserve">av följande begrepp: ”Virtuella bilder”. </w:t>
      </w:r>
    </w:p>
    <w:p w14:paraId="25C7F208" w14:textId="77777777" w:rsidR="00BB5F5A" w:rsidRDefault="003130B3">
      <w:pPr>
        <w:ind w:left="-15"/>
      </w:pPr>
      <w:r>
        <w:t xml:space="preserve">” </w:t>
      </w:r>
      <w:r>
        <w:t xml:space="preserve">”De begrepp som fastställs i detta dokument ska vara tydliga, läsbara och begripliga på alla medier som används. De får ersättas med ett likvärdigt begrepp som är anpassat till inflytandets egenskaper och formatet på det kommunikationsmedium som används. </w:t>
      </w:r>
    </w:p>
    <w:p w14:paraId="029CE24B" w14:textId="77777777" w:rsidR="00BB5F5A" w:rsidRDefault="003130B3">
      <w:pPr>
        <w:ind w:left="-15"/>
      </w:pPr>
      <w:r>
        <w:t>” II. – Om marknadsföringen utförs av de personer som avses i artikel 1 i denna lag och avser registrering av en sådan yrkesutbildning som avses i artikel L. 6313-1 i lagen om arbete och som finansieras av ett av de organ som avses i artikel L. 6316-1 i sa</w:t>
      </w:r>
      <w:r>
        <w:t>mma lag, ska den hänvisning som avses i artikel 5-2 i denna lag innehålla uppgifter om tillhörande finansiering, åtaganden och regler för stödberättigande, identifiering av den eller de leverantörer som ansvarar för utbildningsprogrammen och den leverantör</w:t>
      </w:r>
      <w:r>
        <w:t xml:space="preserve"> som hänvisar till den elektroniska tjänst som avses i artikel L. 6323-9 i samma lag. </w:t>
      </w:r>
    </w:p>
    <w:p w14:paraId="57A2125D" w14:textId="77777777" w:rsidR="00BB5F5A" w:rsidRDefault="003130B3">
      <w:pPr>
        <w:ind w:left="-15"/>
      </w:pPr>
      <w:r>
        <w:t xml:space="preserve">” III. – Vid överträdelse av bestämmelserna i </w:t>
      </w:r>
      <w:proofErr w:type="spellStart"/>
      <w:r>
        <w:t>I</w:t>
      </w:r>
      <w:proofErr w:type="spellEnd"/>
      <w:r>
        <w:t xml:space="preserve"> och II i denna artikel döms ett års fängelse och böter på 4 500 euro. </w:t>
      </w:r>
    </w:p>
    <w:p w14:paraId="7FA75FB0" w14:textId="77777777" w:rsidR="00BB5F5A" w:rsidRDefault="003130B3">
      <w:pPr>
        <w:spacing w:after="143"/>
        <w:ind w:firstLine="0"/>
      </w:pPr>
      <w:r>
        <w:t xml:space="preserve">” IV. – Tillämpningsföreskrifterna för I och II i </w:t>
      </w:r>
      <w:r>
        <w:t xml:space="preserve">denna artikel ska fastställas genom dekret efter det att Högsta förvaltningsdomstolen har hörts.” </w:t>
      </w:r>
    </w:p>
    <w:p w14:paraId="530ED4FA" w14:textId="77777777" w:rsidR="00BB5F5A" w:rsidRDefault="003130B3">
      <w:pPr>
        <w:spacing w:after="92"/>
        <w:ind w:firstLine="0"/>
      </w:pPr>
      <w:r>
        <w:t xml:space="preserve">IV. – Efter artikel 5 ska de två artiklarna </w:t>
      </w:r>
      <w:proofErr w:type="gramStart"/>
      <w:r>
        <w:t>5-1</w:t>
      </w:r>
      <w:proofErr w:type="gramEnd"/>
      <w:r>
        <w:t xml:space="preserve"> och 5-2 införas med följande lydelse: </w:t>
      </w:r>
    </w:p>
    <w:p w14:paraId="7B0D6657" w14:textId="77777777" w:rsidR="00BB5F5A" w:rsidRDefault="003130B3">
      <w:pPr>
        <w:ind w:left="-15"/>
      </w:pPr>
      <w:r>
        <w:t xml:space="preserve">” </w:t>
      </w:r>
      <w:r>
        <w:rPr>
          <w:i/>
        </w:rPr>
        <w:t>Artikel </w:t>
      </w:r>
      <w:proofErr w:type="gramStart"/>
      <w:r>
        <w:rPr>
          <w:i/>
        </w:rPr>
        <w:t>5-1</w:t>
      </w:r>
      <w:proofErr w:type="gramEnd"/>
      <w:r>
        <w:rPr>
          <w:i/>
        </w:rPr>
        <w:t xml:space="preserve">. – </w:t>
      </w:r>
      <w:r>
        <w:t>I. – Bestämmelserna i I–III i artikel 4 ska inte gäll</w:t>
      </w:r>
      <w:r>
        <w:t>a för leverantörer av medietjänster i den mening som avses i Europaparlamentets och rådets direktiv 2010/13/EU av den 10 mars 2010 som omfattas av behörigheten för en annan medlemsstat i Europeiska ekonomiska samarbetsområdet i den mening som avses i artik</w:t>
      </w:r>
      <w:r>
        <w:t xml:space="preserve">el 2.2 i det direktivet. De gäller däremot för sådana leverantörer om de omfattas av fransk jurisdiktion. </w:t>
      </w:r>
    </w:p>
    <w:p w14:paraId="4C1C0A8C" w14:textId="77777777" w:rsidR="00BB5F5A" w:rsidRDefault="003130B3">
      <w:pPr>
        <w:ind w:left="-15"/>
      </w:pPr>
      <w:r>
        <w:t>” Om de villkor som avses i punkterna 2–3 i artikel 3 eller punkterna 2–5 i artikel 4 i det direktivet är uppfyllda och vid utgången av det förfarand</w:t>
      </w:r>
      <w:r>
        <w:t xml:space="preserve">e som fastställs i de bestämmelserna, ska den administrativa myndigheten emellertid för den berörda personen ange de bestämmelser som är tillämpliga på honom eller henne, med förbehåll för tillämpliga sanktioner, och den berörda tjänsten. </w:t>
      </w:r>
    </w:p>
    <w:p w14:paraId="6ACD68E9" w14:textId="77777777" w:rsidR="00BB5F5A" w:rsidRDefault="003130B3">
      <w:pPr>
        <w:ind w:left="-15"/>
      </w:pPr>
      <w:r>
        <w:t xml:space="preserve">” II. – Om inte </w:t>
      </w:r>
      <w:r>
        <w:t xml:space="preserve">annat följer av I, vad gäller tillämpningen av bestämmelserna i I–III i artikel 4 på leverantörer av medietjänster, ska bestämmelserna i artiklarna 4 och 5 inte tillämpas på personer som är etablerade i en annan stat som är part i </w:t>
      </w:r>
      <w:proofErr w:type="gramStart"/>
      <w:r>
        <w:t>Europeiska</w:t>
      </w:r>
      <w:proofErr w:type="gramEnd"/>
      <w:r>
        <w:t xml:space="preserve"> ekonomiska sam</w:t>
      </w:r>
      <w:r>
        <w:t xml:space="preserve">arbetsområdet. </w:t>
      </w:r>
    </w:p>
    <w:p w14:paraId="653E9A7E" w14:textId="77777777" w:rsidR="00BB5F5A" w:rsidRDefault="003130B3">
      <w:pPr>
        <w:ind w:left="-15"/>
      </w:pPr>
      <w:r>
        <w:t>” Om de villkor som avses i punkterna 4–5 i artikel 3 i Europaparlamentets och rådets direktiv 2000/31/EG av den 8 juni 2000 är uppfyllda och vid utgången av det förfarande som fastställs i dessa bestämmelser, ska dock den administrativa my</w:t>
      </w:r>
      <w:r>
        <w:t xml:space="preserve">ndigheten för den berörda personen ange de bestämmelser som är tillämpliga på denne, med förbehåll för relevanta påföljder, och den berörda tjänsten. </w:t>
      </w:r>
    </w:p>
    <w:p w14:paraId="2DB9CAB0" w14:textId="77777777" w:rsidR="00BB5F5A" w:rsidRDefault="003130B3">
      <w:pPr>
        <w:spacing w:after="92"/>
        <w:ind w:firstLine="0"/>
      </w:pPr>
      <w:r>
        <w:t xml:space="preserve">” III. – Genomförandeförfaranden för denna artikel ska fastställas genom dekret av statsrådet. </w:t>
      </w:r>
    </w:p>
    <w:p w14:paraId="4BA17F87" w14:textId="77777777" w:rsidR="00BB5F5A" w:rsidRDefault="003130B3">
      <w:pPr>
        <w:ind w:left="-15"/>
      </w:pPr>
      <w:r>
        <w:t xml:space="preserve">” </w:t>
      </w:r>
      <w:r>
        <w:rPr>
          <w:i/>
        </w:rPr>
        <w:t>Artikel</w:t>
      </w:r>
      <w:r>
        <w:rPr>
          <w:i/>
        </w:rPr>
        <w:t xml:space="preserve"> </w:t>
      </w:r>
      <w:proofErr w:type="gramStart"/>
      <w:r>
        <w:rPr>
          <w:i/>
        </w:rPr>
        <w:t>5-2</w:t>
      </w:r>
      <w:proofErr w:type="gramEnd"/>
      <w:r>
        <w:rPr>
          <w:i/>
        </w:rPr>
        <w:t xml:space="preserve">. – </w:t>
      </w:r>
      <w:r>
        <w:t>Det rör sig om en vilseledande affärsmetod i den mening som avses i artikel L. </w:t>
      </w:r>
      <w:proofErr w:type="gramStart"/>
      <w:r>
        <w:t>121-3</w:t>
      </w:r>
      <w:proofErr w:type="gramEnd"/>
      <w:r>
        <w:t xml:space="preserve"> i konsumentlagen och på de villkor som anges i denna artikel får en fysisk eller juridisk person som utövar inflytande i den mening som avses i artikel 1 i denna l</w:t>
      </w:r>
      <w:r>
        <w:t xml:space="preserve">ag inte på ett klart, läsbart och begripligt sätt ange den kommersiella avsikt som den har, om denna avsikt inte redan framgår av sammanhanget. </w:t>
      </w:r>
    </w:p>
    <w:p w14:paraId="0DA643B9" w14:textId="77777777" w:rsidR="00BB5F5A" w:rsidRDefault="003130B3">
      <w:pPr>
        <w:spacing w:after="149"/>
        <w:ind w:left="-15"/>
      </w:pPr>
      <w:r>
        <w:t>” Kommersiellt syfte får uttryckligen anges genom användning av termerna” reklam ”eller” kommersiellt samarbete</w:t>
      </w:r>
      <w:r>
        <w:t xml:space="preserve"> ”eller genom en likvärdig term som är anpassad till inflytandets egenskaper och det använda mediets format.” </w:t>
      </w:r>
    </w:p>
    <w:p w14:paraId="3E80D657" w14:textId="77777777" w:rsidR="00BB5F5A" w:rsidRDefault="003130B3">
      <w:pPr>
        <w:spacing w:after="86"/>
        <w:ind w:firstLine="0"/>
      </w:pPr>
      <w:r>
        <w:t xml:space="preserve">V. – Artikel 9 ska ersättas med följande bestämmelser: </w:t>
      </w:r>
    </w:p>
    <w:p w14:paraId="6FABA20B" w14:textId="77777777" w:rsidR="00BB5F5A" w:rsidRDefault="003130B3">
      <w:pPr>
        <w:ind w:left="-15"/>
      </w:pPr>
      <w:r>
        <w:t xml:space="preserve">” </w:t>
      </w:r>
      <w:r>
        <w:rPr>
          <w:i/>
        </w:rPr>
        <w:t xml:space="preserve">Artikel 9. – </w:t>
      </w:r>
      <w:r>
        <w:t>I. – När de utövar den verksamhet som anges i artikel 1 och inte är etable</w:t>
      </w:r>
      <w:r>
        <w:t>rade i någon av Europeiska unionens medlemsstater, Schweiziska edsförbundet eller Europeiska ekonomiska samarbetsområdet och riktar sig till en publik i Frankrike, juridiska personer eller fysiska personer som bedriver självständig verksamhet i enlighet me</w:t>
      </w:r>
      <w:r>
        <w:t xml:space="preserve">d artiklarna L. 526-6 till L. 526-21 i handelslagen eller artiklarna L. 526-22 till L. 526-26 i denna lag ska skriftligen utse en juridisk eller fysisk person som säkerställer deras representation på Europeiska unionens territorium. </w:t>
      </w:r>
    </w:p>
    <w:p w14:paraId="2674630E" w14:textId="77777777" w:rsidR="00BB5F5A" w:rsidRDefault="003130B3">
      <w:pPr>
        <w:ind w:left="-15"/>
      </w:pPr>
      <w:r>
        <w:t>” Detta ombud avses sä</w:t>
      </w:r>
      <w:r>
        <w:t>kerställa överensstämmelsen hos avtal som har till syfte eller resultat att bedriva kommersiellt inflytande på elektronisk väg som särskilt riktar sig till en publik som är etablerad på franskt territorium. Den utsedda representationen är även ansvarig för</w:t>
      </w:r>
      <w:r>
        <w:t xml:space="preserve"> att, utöver eller i stället för de personer som avses i första stycket i denna lag, besvara alla framställningar från behöriga administrativa eller rättsliga myndigheter om efterlevnad av denna lag. </w:t>
      </w:r>
    </w:p>
    <w:p w14:paraId="5A08C8A8" w14:textId="77777777" w:rsidR="00BB5F5A" w:rsidRDefault="003130B3">
      <w:pPr>
        <w:ind w:left="-15"/>
      </w:pPr>
      <w:r>
        <w:t>” De personer som avses i första stycket ska ge den uts</w:t>
      </w:r>
      <w:r>
        <w:t xml:space="preserve">edda personen de befogenheter och resurser som krävs för att säkerställa ett effektivt samarbete med de behöriga myndigheterna för att följa denna lag. </w:t>
      </w:r>
    </w:p>
    <w:p w14:paraId="1E06B431" w14:textId="77777777" w:rsidR="00BB5F5A" w:rsidRDefault="003130B3">
      <w:pPr>
        <w:ind w:left="-15"/>
      </w:pPr>
      <w:r>
        <w:lastRenderedPageBreak/>
        <w:t xml:space="preserve">” </w:t>
      </w:r>
      <w:r>
        <w:t xml:space="preserve">De personer som avses i det första stycket ska på begäran meddela de behöriga administrativa myndigheterna namn, postadress, e-postadress och telefonnummer till den person som utsetts enligt det första stycket. </w:t>
      </w:r>
    </w:p>
    <w:p w14:paraId="023B8981" w14:textId="77777777" w:rsidR="00BB5F5A" w:rsidRDefault="003130B3">
      <w:pPr>
        <w:ind w:firstLine="0"/>
      </w:pPr>
      <w:r>
        <w:t>”Denna beteckning ska inte utgöra en etabler</w:t>
      </w:r>
      <w:r>
        <w:t xml:space="preserve">ing i Europeiska unionen.  </w:t>
      </w:r>
    </w:p>
    <w:p w14:paraId="4116DB33" w14:textId="77777777" w:rsidR="00BB5F5A" w:rsidRDefault="003130B3">
      <w:pPr>
        <w:ind w:left="-15"/>
      </w:pPr>
      <w:r>
        <w:t xml:space="preserve">” II. – En person som utövar den verksamhet som anges i artikel 1 och som är etablerad utanför Europeiska unionen, Schweiziska edsförbundet eller </w:t>
      </w:r>
      <w:proofErr w:type="gramStart"/>
      <w:r>
        <w:t>Europeiska</w:t>
      </w:r>
      <w:proofErr w:type="gramEnd"/>
      <w:r>
        <w:t xml:space="preserve"> ekonomiska samarbetsområdet är, om verksamheten riktar sig till en publ</w:t>
      </w:r>
      <w:r>
        <w:t>ik som är etablerad på franskt territorium, skyldig att teckna en ansvarsförsäkring som täcker de ekonomiska konsekvenserna av deras yrkesmässiga skadeståndsansvar hos en försäkringsgivare som är etablerad i Europeiska unionen. ”III. –  Formerna för genomf</w:t>
      </w:r>
      <w:r>
        <w:t xml:space="preserve">örandet av denna artikel ska fastställas genom dekret som antas efter samråd med Högsta förvaltningsdomstolen.” </w:t>
      </w:r>
    </w:p>
    <w:p w14:paraId="24E41C5B" w14:textId="77777777" w:rsidR="00BB5F5A" w:rsidRDefault="003130B3">
      <w:pPr>
        <w:spacing w:after="45" w:line="259" w:lineRule="auto"/>
        <w:ind w:left="10" w:right="1" w:hanging="10"/>
        <w:jc w:val="center"/>
      </w:pPr>
      <w:r>
        <w:rPr>
          <w:rFonts w:ascii="Calibri" w:hAnsi="Calibri"/>
          <w:b/>
        </w:rPr>
        <w:t xml:space="preserve">Artikel 2 </w:t>
      </w:r>
    </w:p>
    <w:p w14:paraId="5E209DF5" w14:textId="77777777" w:rsidR="00BB5F5A" w:rsidRDefault="003130B3">
      <w:pPr>
        <w:spacing w:after="76" w:line="216" w:lineRule="auto"/>
        <w:ind w:left="-15" w:right="-15"/>
        <w:jc w:val="left"/>
      </w:pPr>
      <w:r>
        <w:t xml:space="preserve">Premiärministern och ministern för ekonomi, finans och industri ansvarar var och en inom sitt område för tillämpningen av denna förordning, som ska offentliggöras i </w:t>
      </w:r>
      <w:r>
        <w:rPr>
          <w:i/>
        </w:rPr>
        <w:t>Republiken Frankrikes officiella tidning</w:t>
      </w:r>
      <w:r>
        <w:t xml:space="preserve">. </w:t>
      </w:r>
    </w:p>
    <w:p w14:paraId="2458A41C" w14:textId="77777777" w:rsidR="00BB5F5A" w:rsidRDefault="003130B3">
      <w:pPr>
        <w:ind w:firstLine="0"/>
      </w:pPr>
      <w:r>
        <w:t xml:space="preserve">Utfärdad den 6 november 2024. </w:t>
      </w:r>
    </w:p>
    <w:p w14:paraId="779C936B" w14:textId="77777777" w:rsidR="00BB5F5A" w:rsidRDefault="003130B3">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3130B3">
      <w:pPr>
        <w:spacing w:after="73" w:line="259" w:lineRule="auto"/>
        <w:ind w:left="544" w:firstLine="0"/>
        <w:jc w:val="left"/>
      </w:pPr>
      <w:r>
        <w:rPr>
          <w:sz w:val="18"/>
        </w:rPr>
        <w:t xml:space="preserve">Av presidenten: </w:t>
      </w:r>
    </w:p>
    <w:p w14:paraId="74F7E8BF" w14:textId="77777777" w:rsidR="00BB5F5A" w:rsidRDefault="003130B3">
      <w:pPr>
        <w:spacing w:after="8" w:line="259" w:lineRule="auto"/>
        <w:ind w:left="0" w:firstLine="0"/>
        <w:jc w:val="left"/>
      </w:pPr>
      <w:r>
        <w:rPr>
          <w:i/>
        </w:rPr>
        <w:t xml:space="preserve">Premiärministern, </w:t>
      </w:r>
    </w:p>
    <w:p w14:paraId="65A8D155" w14:textId="77777777" w:rsidR="00BB5F5A" w:rsidRDefault="003130B3">
      <w:pPr>
        <w:pStyle w:val="Heading1"/>
        <w:spacing w:after="47"/>
        <w:ind w:left="206" w:right="0"/>
      </w:pPr>
      <w:r>
        <w:rPr>
          <w:sz w:val="22"/>
        </w:rPr>
        <w:t>M</w:t>
      </w:r>
      <w:r>
        <w:t xml:space="preserve">ICHEL </w:t>
      </w:r>
      <w:r>
        <w:rPr>
          <w:sz w:val="22"/>
        </w:rPr>
        <w:t>B</w:t>
      </w:r>
      <w:r>
        <w:t xml:space="preserve">ARNIER </w:t>
      </w:r>
    </w:p>
    <w:p w14:paraId="1873A417" w14:textId="2CF6FE33" w:rsidR="00BB5F5A" w:rsidRDefault="003130B3">
      <w:pPr>
        <w:spacing w:after="54" w:line="216" w:lineRule="auto"/>
        <w:ind w:left="7307" w:firstLine="0"/>
        <w:jc w:val="center"/>
      </w:pPr>
      <w:r>
        <w:rPr>
          <w:i/>
        </w:rPr>
        <w:t xml:space="preserve">Ministern för ekonomi, finans och industri, </w:t>
      </w:r>
    </w:p>
    <w:p w14:paraId="276AC3A6" w14:textId="23F96FBD" w:rsidR="00BB5F5A" w:rsidRDefault="003130B3">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0183" w14:textId="77777777" w:rsidR="003130B3" w:rsidRDefault="003130B3">
      <w:pPr>
        <w:spacing w:after="0" w:line="240" w:lineRule="auto"/>
      </w:pPr>
      <w:r>
        <w:separator/>
      </w:r>
    </w:p>
  </w:endnote>
  <w:endnote w:type="continuationSeparator" w:id="0">
    <w:p w14:paraId="51826E9D" w14:textId="77777777" w:rsidR="003130B3" w:rsidRDefault="003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E3E1" w14:textId="77777777" w:rsidR="003130B3" w:rsidRDefault="003130B3">
      <w:pPr>
        <w:spacing w:after="0" w:line="240" w:lineRule="auto"/>
      </w:pPr>
      <w:r>
        <w:separator/>
      </w:r>
    </w:p>
  </w:footnote>
  <w:footnote w:type="continuationSeparator" w:id="0">
    <w:p w14:paraId="626667D7" w14:textId="77777777" w:rsidR="003130B3" w:rsidRDefault="00313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3130B3">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REPUBLIKEN FRANKRIKES OFFICIELLA TIDNING</w:t>
    </w:r>
    <w:r>
      <w:rPr>
        <w:rFonts w:ascii="Calibri" w:hAnsi="Calibri"/>
        <w:color w:val="0060B0"/>
        <w:sz w:val="18"/>
      </w:rPr>
      <w:tab/>
    </w:r>
    <w:r>
      <w:rPr>
        <w:rFonts w:ascii="Calibri" w:hAnsi="Calibri"/>
        <w:sz w:val="16"/>
      </w:rPr>
      <w:t xml:space="preserve">Text 18 av 120 </w:t>
    </w:r>
  </w:p>
  <w:p w14:paraId="7D2344F0" w14:textId="77777777" w:rsidR="00BB5F5A" w:rsidRDefault="003130B3">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3130B3">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REPUBLIKEN FRANKRIKES OFFICIELLA TIDNING</w:t>
    </w:r>
    <w:r>
      <w:rPr>
        <w:rFonts w:ascii="Calibri" w:hAnsi="Calibri"/>
        <w:color w:val="0060B0"/>
        <w:sz w:val="18"/>
      </w:rPr>
      <w:tab/>
    </w:r>
    <w:r>
      <w:rPr>
        <w:rFonts w:ascii="Calibri" w:hAnsi="Calibri"/>
        <w:sz w:val="16"/>
      </w:rPr>
      <w:t xml:space="preserve">Text 18 av 120 </w:t>
    </w:r>
  </w:p>
  <w:p w14:paraId="03F43403" w14:textId="77777777" w:rsidR="00BB5F5A" w:rsidRDefault="003130B3">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3130B3">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REPUBLIKEN FRANKRIKES OFFICIELLA TIDNING</w:t>
    </w:r>
    <w:r>
      <w:rPr>
        <w:rFonts w:ascii="Calibri" w:hAnsi="Calibri"/>
        <w:color w:val="0060B0"/>
        <w:sz w:val="18"/>
      </w:rPr>
      <w:tab/>
    </w:r>
    <w:r>
      <w:rPr>
        <w:rFonts w:ascii="Calibri" w:hAnsi="Calibri"/>
        <w:sz w:val="16"/>
      </w:rPr>
      <w:t xml:space="preserve">Text 18 av 120 </w:t>
    </w:r>
  </w:p>
  <w:p w14:paraId="3D44B973" w14:textId="77777777" w:rsidR="00BB5F5A" w:rsidRDefault="003130B3">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3130B3"/>
    <w:rsid w:val="0078702E"/>
    <w:rsid w:val="00AC55CF"/>
    <w:rsid w:val="00BB5F5A"/>
    <w:rsid w:val="00C256E0"/>
    <w:rsid w:val="00D13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2232</Words>
  <Characters>12477</Characters>
  <Application>Microsoft Office Word</Application>
  <DocSecurity>0</DocSecurity>
  <Lines>175</Lines>
  <Paragraphs>89</Paragraphs>
  <ScaleCrop>false</ScaleCrop>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2024-12-17T14:59:00Z</dcterms:created>
  <dcterms:modified xsi:type="dcterms:W3CDTF">2024-12-17T14:59:00Z</dcterms:modified>
</cp:coreProperties>
</file>