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0613C4">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1AC708B9"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00D6A25"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1705BEE"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BC45CB9"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47EB83E"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0613C4">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6FA003DA"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107ABCD"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till föreskrifter om medietjänster och regler för medietjänster</w:t>
      </w:r>
    </w:p>
    <w:p w14:paraId="428FC6FE" w14:textId="77777777" w:rsidR="0006113D" w:rsidRDefault="000613C4">
      <w:pPr>
        <w:pStyle w:val="Title"/>
        <w:spacing w:before="695" w:line="206" w:lineRule="auto"/>
      </w:pPr>
      <w:r>
        <w:rPr>
          <w:color w:val="FFFFFF"/>
        </w:rPr>
        <w:t>Leverantörer av audiovisuella medietjänster på begäran</w:t>
      </w:r>
    </w:p>
    <w:p w14:paraId="20D1D664" w14:textId="77777777" w:rsidR="0006113D" w:rsidRDefault="0006113D">
      <w:pPr>
        <w:pStyle w:val="BodyText"/>
        <w:spacing w:before="349"/>
        <w:rPr>
          <w:rFonts w:ascii="Georgia"/>
          <w:sz w:val="72"/>
        </w:rPr>
      </w:pPr>
    </w:p>
    <w:p w14:paraId="2D1A852F" w14:textId="77777777" w:rsidR="0006113D" w:rsidRDefault="000613C4">
      <w:pPr>
        <w:pStyle w:val="BodyText"/>
        <w:ind w:left="107"/>
      </w:pPr>
      <w:r>
        <w:rPr>
          <w:color w:val="FFFFFF"/>
        </w:rPr>
        <w:t>Publiceringsdatum: november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0613C4">
      <w:pPr>
        <w:spacing w:before="23"/>
        <w:ind w:left="720"/>
        <w:rPr>
          <w:rFonts w:ascii="Georgia"/>
          <w:sz w:val="36"/>
        </w:rPr>
      </w:pPr>
      <w:r>
        <w:rPr>
          <w:rFonts w:ascii="Georgia"/>
          <w:color w:val="391200"/>
          <w:sz w:val="36"/>
        </w:rPr>
        <w:lastRenderedPageBreak/>
        <w:t>Inneh</w:t>
      </w:r>
      <w:r>
        <w:rPr>
          <w:rFonts w:ascii="Georgia"/>
          <w:color w:val="391200"/>
          <w:sz w:val="36"/>
        </w:rPr>
        <w:t>å</w:t>
      </w:r>
      <w:r>
        <w:rPr>
          <w:rFonts w:ascii="Georgia"/>
          <w:color w:val="391200"/>
          <w:sz w:val="36"/>
        </w:rPr>
        <w:t>ll</w:t>
      </w:r>
    </w:p>
    <w:sdt>
      <w:sdtPr>
        <w:rPr>
          <w:rFonts w:ascii="Arial" w:eastAsia="Arial" w:hAnsi="Arial" w:cs="Arial"/>
          <w:b w:val="0"/>
          <w:bCs w:val="0"/>
          <w:sz w:val="22"/>
          <w:szCs w:val="22"/>
        </w:rPr>
        <w:id w:val="-294757254"/>
        <w:docPartObj>
          <w:docPartGallery w:val="Table of Contents"/>
          <w:docPartUnique/>
        </w:docPartObj>
      </w:sdtPr>
      <w:sdtEndPr/>
      <w:sdtContent>
        <w:p w14:paraId="0635F69E" w14:textId="5E3252F2" w:rsidR="004332A0" w:rsidRDefault="000613C4">
          <w:pPr>
            <w:pStyle w:val="TOC1"/>
            <w:tabs>
              <w:tab w:val="left" w:pos="1320"/>
              <w:tab w:val="right" w:pos="10600"/>
            </w:tabs>
            <w:rPr>
              <w:rFonts w:asciiTheme="minorHAnsi" w:eastAsiaTheme="minorEastAsia" w:hAnsiTheme="minorHAnsi" w:cstheme="minorBidi"/>
              <w:b w:val="0"/>
              <w:bCs w:val="0"/>
              <w:noProof/>
              <w:sz w:val="22"/>
              <w:szCs w:val="22"/>
              <w:lang w:eastAsia="sv-SE"/>
            </w:rPr>
          </w:pPr>
          <w:r>
            <w:fldChar w:fldCharType="begin"/>
          </w:r>
          <w:r>
            <w:instrText xml:space="preserve">TOC \o "1-2" \h \z \u </w:instrText>
          </w:r>
          <w:r>
            <w:fldChar w:fldCharType="separate"/>
          </w:r>
          <w:hyperlink w:anchor="_Toc184721777" w:history="1">
            <w:r w:rsidR="004332A0" w:rsidRPr="0096418F">
              <w:rPr>
                <w:rStyle w:val="Hyperlink"/>
                <w:noProof/>
                <w:w w:val="119"/>
                <w:lang w:val="en-US"/>
              </w:rPr>
              <w:t>1.</w:t>
            </w:r>
            <w:r w:rsidR="004332A0">
              <w:rPr>
                <w:rFonts w:asciiTheme="minorHAnsi" w:eastAsiaTheme="minorEastAsia" w:hAnsiTheme="minorHAnsi" w:cstheme="minorBidi"/>
                <w:b w:val="0"/>
                <w:bCs w:val="0"/>
                <w:noProof/>
                <w:sz w:val="22"/>
                <w:szCs w:val="22"/>
                <w:lang w:eastAsia="sv-SE"/>
              </w:rPr>
              <w:tab/>
            </w:r>
            <w:r w:rsidR="004332A0" w:rsidRPr="0096418F">
              <w:rPr>
                <w:rStyle w:val="Hyperlink"/>
                <w:noProof/>
              </w:rPr>
              <w:t>Inledning</w:t>
            </w:r>
            <w:r w:rsidR="004332A0">
              <w:rPr>
                <w:noProof/>
                <w:webHidden/>
              </w:rPr>
              <w:tab/>
            </w:r>
            <w:r w:rsidR="004332A0">
              <w:rPr>
                <w:noProof/>
                <w:webHidden/>
              </w:rPr>
              <w:fldChar w:fldCharType="begin"/>
            </w:r>
            <w:r w:rsidR="004332A0">
              <w:rPr>
                <w:noProof/>
                <w:webHidden/>
              </w:rPr>
              <w:instrText xml:space="preserve"> PAGEREF _Toc184721777 \h </w:instrText>
            </w:r>
            <w:r w:rsidR="004332A0">
              <w:rPr>
                <w:noProof/>
                <w:webHidden/>
              </w:rPr>
            </w:r>
            <w:r w:rsidR="004332A0">
              <w:rPr>
                <w:noProof/>
                <w:webHidden/>
              </w:rPr>
              <w:fldChar w:fldCharType="separate"/>
            </w:r>
            <w:r w:rsidR="004332A0">
              <w:rPr>
                <w:noProof/>
                <w:webHidden/>
              </w:rPr>
              <w:t>3</w:t>
            </w:r>
            <w:r w:rsidR="004332A0">
              <w:rPr>
                <w:noProof/>
                <w:webHidden/>
              </w:rPr>
              <w:fldChar w:fldCharType="end"/>
            </w:r>
          </w:hyperlink>
        </w:p>
        <w:p w14:paraId="5F42AD44" w14:textId="3519C61F"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78" w:history="1">
            <w:r w:rsidRPr="0096418F">
              <w:rPr>
                <w:rStyle w:val="Hyperlink"/>
                <w:noProof/>
                <w:w w:val="119"/>
                <w:lang w:val="en-US"/>
              </w:rPr>
              <w:t>2.</w:t>
            </w:r>
            <w:r>
              <w:rPr>
                <w:rFonts w:asciiTheme="minorHAnsi" w:eastAsiaTheme="minorEastAsia" w:hAnsiTheme="minorHAnsi" w:cstheme="minorBidi"/>
                <w:b w:val="0"/>
                <w:bCs w:val="0"/>
                <w:noProof/>
                <w:sz w:val="22"/>
                <w:szCs w:val="22"/>
                <w:lang w:eastAsia="sv-SE"/>
              </w:rPr>
              <w:tab/>
            </w:r>
            <w:r w:rsidRPr="0096418F">
              <w:rPr>
                <w:rStyle w:val="Hyperlink"/>
                <w:noProof/>
              </w:rPr>
              <w:t>Tillämpningsområde och jurisdiktion</w:t>
            </w:r>
            <w:r>
              <w:rPr>
                <w:noProof/>
                <w:webHidden/>
              </w:rPr>
              <w:tab/>
            </w:r>
            <w:r>
              <w:rPr>
                <w:noProof/>
                <w:webHidden/>
              </w:rPr>
              <w:fldChar w:fldCharType="begin"/>
            </w:r>
            <w:r>
              <w:rPr>
                <w:noProof/>
                <w:webHidden/>
              </w:rPr>
              <w:instrText xml:space="preserve"> PAGEREF _Toc184721778 \h </w:instrText>
            </w:r>
            <w:r>
              <w:rPr>
                <w:noProof/>
                <w:webHidden/>
              </w:rPr>
            </w:r>
            <w:r>
              <w:rPr>
                <w:noProof/>
                <w:webHidden/>
              </w:rPr>
              <w:fldChar w:fldCharType="separate"/>
            </w:r>
            <w:r>
              <w:rPr>
                <w:noProof/>
                <w:webHidden/>
              </w:rPr>
              <w:t>3</w:t>
            </w:r>
            <w:r>
              <w:rPr>
                <w:noProof/>
                <w:webHidden/>
              </w:rPr>
              <w:fldChar w:fldCharType="end"/>
            </w:r>
          </w:hyperlink>
        </w:p>
        <w:p w14:paraId="1BFDE771" w14:textId="715ADA7A"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79" w:history="1">
            <w:r w:rsidRPr="0096418F">
              <w:rPr>
                <w:rStyle w:val="Hyperlink"/>
                <w:noProof/>
                <w:w w:val="119"/>
                <w:lang w:val="en-US"/>
              </w:rPr>
              <w:t>3.</w:t>
            </w:r>
            <w:r>
              <w:rPr>
                <w:rFonts w:asciiTheme="minorHAnsi" w:eastAsiaTheme="minorEastAsia" w:hAnsiTheme="minorHAnsi" w:cstheme="minorBidi"/>
                <w:b w:val="0"/>
                <w:bCs w:val="0"/>
                <w:noProof/>
                <w:sz w:val="22"/>
                <w:szCs w:val="22"/>
                <w:lang w:eastAsia="sv-SE"/>
              </w:rPr>
              <w:tab/>
            </w:r>
            <w:r w:rsidRPr="0096418F">
              <w:rPr>
                <w:rStyle w:val="Hyperlink"/>
                <w:noProof/>
              </w:rPr>
              <w:t>Syfte, utarbetande och tillämpning av föreskrifterna och reglerna</w:t>
            </w:r>
            <w:r>
              <w:rPr>
                <w:noProof/>
                <w:webHidden/>
              </w:rPr>
              <w:tab/>
            </w:r>
            <w:r>
              <w:rPr>
                <w:noProof/>
                <w:webHidden/>
              </w:rPr>
              <w:fldChar w:fldCharType="begin"/>
            </w:r>
            <w:r>
              <w:rPr>
                <w:noProof/>
                <w:webHidden/>
              </w:rPr>
              <w:instrText xml:space="preserve"> PAGEREF _Toc184721779 \h </w:instrText>
            </w:r>
            <w:r>
              <w:rPr>
                <w:noProof/>
                <w:webHidden/>
              </w:rPr>
            </w:r>
            <w:r>
              <w:rPr>
                <w:noProof/>
                <w:webHidden/>
              </w:rPr>
              <w:fldChar w:fldCharType="separate"/>
            </w:r>
            <w:r>
              <w:rPr>
                <w:noProof/>
                <w:webHidden/>
              </w:rPr>
              <w:t>5</w:t>
            </w:r>
            <w:r>
              <w:rPr>
                <w:noProof/>
                <w:webHidden/>
              </w:rPr>
              <w:fldChar w:fldCharType="end"/>
            </w:r>
          </w:hyperlink>
        </w:p>
        <w:p w14:paraId="76A49671" w14:textId="6665DD53" w:rsidR="004332A0" w:rsidRDefault="004332A0">
          <w:pPr>
            <w:pStyle w:val="TOC2"/>
            <w:tabs>
              <w:tab w:val="right" w:pos="10600"/>
            </w:tabs>
            <w:rPr>
              <w:rFonts w:asciiTheme="minorHAnsi" w:eastAsiaTheme="minorEastAsia" w:hAnsiTheme="minorHAnsi" w:cstheme="minorBidi"/>
              <w:b w:val="0"/>
              <w:bCs w:val="0"/>
              <w:noProof/>
              <w:sz w:val="22"/>
              <w:szCs w:val="22"/>
              <w:lang w:eastAsia="sv-SE"/>
            </w:rPr>
          </w:pPr>
          <w:hyperlink w:anchor="_Toc184721780" w:history="1">
            <w:r w:rsidRPr="0096418F">
              <w:rPr>
                <w:rStyle w:val="Hyperlink"/>
                <w:noProof/>
              </w:rPr>
              <w:t>Föremålet för upphandlingen</w:t>
            </w:r>
            <w:r>
              <w:rPr>
                <w:noProof/>
                <w:webHidden/>
              </w:rPr>
              <w:tab/>
            </w:r>
            <w:r>
              <w:rPr>
                <w:noProof/>
                <w:webHidden/>
              </w:rPr>
              <w:fldChar w:fldCharType="begin"/>
            </w:r>
            <w:r>
              <w:rPr>
                <w:noProof/>
                <w:webHidden/>
              </w:rPr>
              <w:instrText xml:space="preserve"> PAGEREF _Toc184721780 \h </w:instrText>
            </w:r>
            <w:r>
              <w:rPr>
                <w:noProof/>
                <w:webHidden/>
              </w:rPr>
            </w:r>
            <w:r>
              <w:rPr>
                <w:noProof/>
                <w:webHidden/>
              </w:rPr>
              <w:fldChar w:fldCharType="separate"/>
            </w:r>
            <w:r>
              <w:rPr>
                <w:noProof/>
                <w:webHidden/>
              </w:rPr>
              <w:t>5</w:t>
            </w:r>
            <w:r>
              <w:rPr>
                <w:noProof/>
                <w:webHidden/>
              </w:rPr>
              <w:fldChar w:fldCharType="end"/>
            </w:r>
          </w:hyperlink>
        </w:p>
        <w:p w14:paraId="232C5654" w14:textId="38DDD736" w:rsidR="004332A0" w:rsidRDefault="004332A0">
          <w:pPr>
            <w:pStyle w:val="TOC2"/>
            <w:tabs>
              <w:tab w:val="right" w:pos="10600"/>
            </w:tabs>
            <w:rPr>
              <w:rFonts w:asciiTheme="minorHAnsi" w:eastAsiaTheme="minorEastAsia" w:hAnsiTheme="minorHAnsi" w:cstheme="minorBidi"/>
              <w:b w:val="0"/>
              <w:bCs w:val="0"/>
              <w:noProof/>
              <w:sz w:val="22"/>
              <w:szCs w:val="22"/>
              <w:lang w:eastAsia="sv-SE"/>
            </w:rPr>
          </w:pPr>
          <w:hyperlink w:anchor="_Toc184721781" w:history="1">
            <w:r w:rsidRPr="0096418F">
              <w:rPr>
                <w:rStyle w:val="Hyperlink"/>
                <w:noProof/>
              </w:rPr>
              <w:t>Utarbetande av föreskrifterna och reglerna</w:t>
            </w:r>
            <w:r>
              <w:rPr>
                <w:noProof/>
                <w:webHidden/>
              </w:rPr>
              <w:tab/>
            </w:r>
            <w:r>
              <w:rPr>
                <w:noProof/>
                <w:webHidden/>
              </w:rPr>
              <w:fldChar w:fldCharType="begin"/>
            </w:r>
            <w:r>
              <w:rPr>
                <w:noProof/>
                <w:webHidden/>
              </w:rPr>
              <w:instrText xml:space="preserve"> PAGEREF _Toc184721781 \h </w:instrText>
            </w:r>
            <w:r>
              <w:rPr>
                <w:noProof/>
                <w:webHidden/>
              </w:rPr>
            </w:r>
            <w:r>
              <w:rPr>
                <w:noProof/>
                <w:webHidden/>
              </w:rPr>
              <w:fldChar w:fldCharType="separate"/>
            </w:r>
            <w:r>
              <w:rPr>
                <w:noProof/>
                <w:webHidden/>
              </w:rPr>
              <w:t>5</w:t>
            </w:r>
            <w:r>
              <w:rPr>
                <w:noProof/>
                <w:webHidden/>
              </w:rPr>
              <w:fldChar w:fldCharType="end"/>
            </w:r>
          </w:hyperlink>
        </w:p>
        <w:p w14:paraId="76F88FEE" w14:textId="340453A5"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2" w:history="1">
            <w:r w:rsidRPr="0096418F">
              <w:rPr>
                <w:rStyle w:val="Hyperlink"/>
                <w:noProof/>
                <w:w w:val="119"/>
                <w:lang w:val="en-US"/>
              </w:rPr>
              <w:t>4.</w:t>
            </w:r>
            <w:r>
              <w:rPr>
                <w:rFonts w:asciiTheme="minorHAnsi" w:eastAsiaTheme="minorEastAsia" w:hAnsiTheme="minorHAnsi" w:cstheme="minorBidi"/>
                <w:b w:val="0"/>
                <w:bCs w:val="0"/>
                <w:noProof/>
                <w:sz w:val="22"/>
                <w:szCs w:val="22"/>
                <w:lang w:eastAsia="sv-SE"/>
              </w:rPr>
              <w:tab/>
            </w:r>
            <w:r w:rsidRPr="0096418F">
              <w:rPr>
                <w:rStyle w:val="Hyperlink"/>
                <w:noProof/>
              </w:rPr>
              <w:t>Regleringsprinciper som är relevanta för föreskrifterna och reglerna</w:t>
            </w:r>
            <w:r>
              <w:rPr>
                <w:noProof/>
                <w:webHidden/>
              </w:rPr>
              <w:tab/>
            </w:r>
            <w:r>
              <w:rPr>
                <w:noProof/>
                <w:webHidden/>
              </w:rPr>
              <w:fldChar w:fldCharType="begin"/>
            </w:r>
            <w:r>
              <w:rPr>
                <w:noProof/>
                <w:webHidden/>
              </w:rPr>
              <w:instrText xml:space="preserve"> PAGEREF _Toc184721782 \h </w:instrText>
            </w:r>
            <w:r>
              <w:rPr>
                <w:noProof/>
                <w:webHidden/>
              </w:rPr>
            </w:r>
            <w:r>
              <w:rPr>
                <w:noProof/>
                <w:webHidden/>
              </w:rPr>
              <w:fldChar w:fldCharType="separate"/>
            </w:r>
            <w:r>
              <w:rPr>
                <w:noProof/>
                <w:webHidden/>
              </w:rPr>
              <w:t>5</w:t>
            </w:r>
            <w:r>
              <w:rPr>
                <w:noProof/>
                <w:webHidden/>
              </w:rPr>
              <w:fldChar w:fldCharType="end"/>
            </w:r>
          </w:hyperlink>
        </w:p>
        <w:p w14:paraId="38B69F3D" w14:textId="6650FA7A" w:rsidR="004332A0" w:rsidRDefault="004332A0">
          <w:pPr>
            <w:pStyle w:val="TOC2"/>
            <w:tabs>
              <w:tab w:val="right" w:pos="10600"/>
            </w:tabs>
            <w:rPr>
              <w:rFonts w:asciiTheme="minorHAnsi" w:eastAsiaTheme="minorEastAsia" w:hAnsiTheme="minorHAnsi" w:cstheme="minorBidi"/>
              <w:b w:val="0"/>
              <w:bCs w:val="0"/>
              <w:noProof/>
              <w:sz w:val="22"/>
              <w:szCs w:val="22"/>
              <w:lang w:eastAsia="sv-SE"/>
            </w:rPr>
          </w:pPr>
          <w:hyperlink w:anchor="_Toc184721783" w:history="1">
            <w:r w:rsidRPr="0096418F">
              <w:rPr>
                <w:rStyle w:val="Hyperlink"/>
                <w:rFonts w:ascii="Arial"/>
                <w:noProof/>
              </w:rPr>
              <w:t>Allm</w:t>
            </w:r>
            <w:r w:rsidRPr="0096418F">
              <w:rPr>
                <w:rStyle w:val="Hyperlink"/>
                <w:rFonts w:ascii="Arial"/>
                <w:noProof/>
              </w:rPr>
              <w:t>ä</w:t>
            </w:r>
            <w:r w:rsidRPr="0096418F">
              <w:rPr>
                <w:rStyle w:val="Hyperlink"/>
                <w:rFonts w:ascii="Arial"/>
                <w:noProof/>
              </w:rPr>
              <w:t>nna lagstadgade m</w:t>
            </w:r>
            <w:r w:rsidRPr="0096418F">
              <w:rPr>
                <w:rStyle w:val="Hyperlink"/>
                <w:rFonts w:ascii="Arial"/>
                <w:noProof/>
              </w:rPr>
              <w:t>å</w:t>
            </w:r>
            <w:r w:rsidRPr="0096418F">
              <w:rPr>
                <w:rStyle w:val="Hyperlink"/>
                <w:rFonts w:ascii="Arial"/>
                <w:noProof/>
              </w:rPr>
              <w:t>l och funktioner</w:t>
            </w:r>
            <w:r>
              <w:rPr>
                <w:noProof/>
                <w:webHidden/>
              </w:rPr>
              <w:tab/>
            </w:r>
            <w:r>
              <w:rPr>
                <w:noProof/>
                <w:webHidden/>
              </w:rPr>
              <w:fldChar w:fldCharType="begin"/>
            </w:r>
            <w:r>
              <w:rPr>
                <w:noProof/>
                <w:webHidden/>
              </w:rPr>
              <w:instrText xml:space="preserve"> PAGEREF _Toc184721783 \h </w:instrText>
            </w:r>
            <w:r>
              <w:rPr>
                <w:noProof/>
                <w:webHidden/>
              </w:rPr>
            </w:r>
            <w:r>
              <w:rPr>
                <w:noProof/>
                <w:webHidden/>
              </w:rPr>
              <w:fldChar w:fldCharType="separate"/>
            </w:r>
            <w:r>
              <w:rPr>
                <w:noProof/>
                <w:webHidden/>
              </w:rPr>
              <w:t>6</w:t>
            </w:r>
            <w:r>
              <w:rPr>
                <w:noProof/>
                <w:webHidden/>
              </w:rPr>
              <w:fldChar w:fldCharType="end"/>
            </w:r>
          </w:hyperlink>
        </w:p>
        <w:p w14:paraId="5107B1B7" w14:textId="5507DF1C" w:rsidR="004332A0" w:rsidRDefault="004332A0">
          <w:pPr>
            <w:pStyle w:val="TOC2"/>
            <w:tabs>
              <w:tab w:val="right" w:pos="10600"/>
            </w:tabs>
            <w:rPr>
              <w:rFonts w:asciiTheme="minorHAnsi" w:eastAsiaTheme="minorEastAsia" w:hAnsiTheme="minorHAnsi" w:cstheme="minorBidi"/>
              <w:b w:val="0"/>
              <w:bCs w:val="0"/>
              <w:noProof/>
              <w:sz w:val="22"/>
              <w:szCs w:val="22"/>
              <w:lang w:eastAsia="sv-SE"/>
            </w:rPr>
          </w:pPr>
          <w:hyperlink w:anchor="_Toc184721784" w:history="1">
            <w:r w:rsidRPr="0096418F">
              <w:rPr>
                <w:rStyle w:val="Hyperlink"/>
                <w:rFonts w:ascii="Arial"/>
                <w:noProof/>
              </w:rPr>
              <w:t>S</w:t>
            </w:r>
            <w:r w:rsidRPr="0096418F">
              <w:rPr>
                <w:rStyle w:val="Hyperlink"/>
                <w:rFonts w:ascii="Arial"/>
                <w:noProof/>
              </w:rPr>
              <w:t>ä</w:t>
            </w:r>
            <w:r w:rsidRPr="0096418F">
              <w:rPr>
                <w:rStyle w:val="Hyperlink"/>
                <w:rFonts w:ascii="Arial"/>
                <w:noProof/>
              </w:rPr>
              <w:t>rskilda lagstadgade m</w:t>
            </w:r>
            <w:r w:rsidRPr="0096418F">
              <w:rPr>
                <w:rStyle w:val="Hyperlink"/>
                <w:rFonts w:ascii="Arial"/>
                <w:noProof/>
              </w:rPr>
              <w:t>å</w:t>
            </w:r>
            <w:r w:rsidRPr="0096418F">
              <w:rPr>
                <w:rStyle w:val="Hyperlink"/>
                <w:rFonts w:ascii="Arial"/>
                <w:noProof/>
              </w:rPr>
              <w:t>l</w:t>
            </w:r>
            <w:r>
              <w:rPr>
                <w:noProof/>
                <w:webHidden/>
              </w:rPr>
              <w:tab/>
            </w:r>
            <w:r>
              <w:rPr>
                <w:noProof/>
                <w:webHidden/>
              </w:rPr>
              <w:fldChar w:fldCharType="begin"/>
            </w:r>
            <w:r>
              <w:rPr>
                <w:noProof/>
                <w:webHidden/>
              </w:rPr>
              <w:instrText xml:space="preserve"> PAGEREF _Toc184721784 \h </w:instrText>
            </w:r>
            <w:r>
              <w:rPr>
                <w:noProof/>
                <w:webHidden/>
              </w:rPr>
            </w:r>
            <w:r>
              <w:rPr>
                <w:noProof/>
                <w:webHidden/>
              </w:rPr>
              <w:fldChar w:fldCharType="separate"/>
            </w:r>
            <w:r>
              <w:rPr>
                <w:noProof/>
                <w:webHidden/>
              </w:rPr>
              <w:t>7</w:t>
            </w:r>
            <w:r>
              <w:rPr>
                <w:noProof/>
                <w:webHidden/>
              </w:rPr>
              <w:fldChar w:fldCharType="end"/>
            </w:r>
          </w:hyperlink>
        </w:p>
        <w:p w14:paraId="2F39890E" w14:textId="5681478A"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5" w:history="1">
            <w:r w:rsidRPr="0096418F">
              <w:rPr>
                <w:rStyle w:val="Hyperlink"/>
                <w:noProof/>
                <w:w w:val="108"/>
                <w:lang w:val="en-US"/>
              </w:rPr>
              <w:t>5</w:t>
            </w:r>
            <w:r>
              <w:rPr>
                <w:rFonts w:asciiTheme="minorHAnsi" w:eastAsiaTheme="minorEastAsia" w:hAnsiTheme="minorHAnsi" w:cstheme="minorBidi"/>
                <w:b w:val="0"/>
                <w:bCs w:val="0"/>
                <w:noProof/>
                <w:sz w:val="22"/>
                <w:szCs w:val="22"/>
                <w:lang w:eastAsia="sv-SE"/>
              </w:rPr>
              <w:tab/>
            </w:r>
            <w:r w:rsidRPr="0096418F">
              <w:rPr>
                <w:rStyle w:val="Hyperlink"/>
                <w:noProof/>
              </w:rPr>
              <w:t>Avgränsning</w:t>
            </w:r>
            <w:r>
              <w:rPr>
                <w:noProof/>
                <w:webHidden/>
              </w:rPr>
              <w:tab/>
            </w:r>
            <w:r>
              <w:rPr>
                <w:noProof/>
                <w:webHidden/>
              </w:rPr>
              <w:fldChar w:fldCharType="begin"/>
            </w:r>
            <w:r>
              <w:rPr>
                <w:noProof/>
                <w:webHidden/>
              </w:rPr>
              <w:instrText xml:space="preserve"> PAGEREF _Toc184721785 \h </w:instrText>
            </w:r>
            <w:r>
              <w:rPr>
                <w:noProof/>
                <w:webHidden/>
              </w:rPr>
            </w:r>
            <w:r>
              <w:rPr>
                <w:noProof/>
                <w:webHidden/>
              </w:rPr>
              <w:fldChar w:fldCharType="separate"/>
            </w:r>
            <w:r>
              <w:rPr>
                <w:noProof/>
                <w:webHidden/>
              </w:rPr>
              <w:t>7</w:t>
            </w:r>
            <w:r>
              <w:rPr>
                <w:noProof/>
                <w:webHidden/>
              </w:rPr>
              <w:fldChar w:fldCharType="end"/>
            </w:r>
          </w:hyperlink>
        </w:p>
        <w:p w14:paraId="4D4BB42E" w14:textId="6280FF64"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6" w:history="1">
            <w:r w:rsidRPr="0096418F">
              <w:rPr>
                <w:rStyle w:val="Hyperlink"/>
                <w:noProof/>
                <w:w w:val="108"/>
                <w:lang w:val="en-US"/>
              </w:rPr>
              <w:t>6</w:t>
            </w:r>
            <w:r>
              <w:rPr>
                <w:rFonts w:asciiTheme="minorHAnsi" w:eastAsiaTheme="minorEastAsia" w:hAnsiTheme="minorHAnsi" w:cstheme="minorBidi"/>
                <w:b w:val="0"/>
                <w:bCs w:val="0"/>
                <w:noProof/>
                <w:sz w:val="22"/>
                <w:szCs w:val="22"/>
                <w:lang w:eastAsia="sv-SE"/>
              </w:rPr>
              <w:tab/>
            </w:r>
            <w:r w:rsidRPr="0096418F">
              <w:rPr>
                <w:rStyle w:val="Hyperlink"/>
                <w:noProof/>
              </w:rPr>
              <w:t>Undantag</w:t>
            </w:r>
            <w:r>
              <w:rPr>
                <w:noProof/>
                <w:webHidden/>
              </w:rPr>
              <w:tab/>
            </w:r>
            <w:r>
              <w:rPr>
                <w:noProof/>
                <w:webHidden/>
              </w:rPr>
              <w:fldChar w:fldCharType="begin"/>
            </w:r>
            <w:r>
              <w:rPr>
                <w:noProof/>
                <w:webHidden/>
              </w:rPr>
              <w:instrText xml:space="preserve"> PAGEREF _Toc184721786 \h </w:instrText>
            </w:r>
            <w:r>
              <w:rPr>
                <w:noProof/>
                <w:webHidden/>
              </w:rPr>
            </w:r>
            <w:r>
              <w:rPr>
                <w:noProof/>
                <w:webHidden/>
              </w:rPr>
              <w:fldChar w:fldCharType="separate"/>
            </w:r>
            <w:r>
              <w:rPr>
                <w:noProof/>
                <w:webHidden/>
              </w:rPr>
              <w:t>7</w:t>
            </w:r>
            <w:r>
              <w:rPr>
                <w:noProof/>
                <w:webHidden/>
              </w:rPr>
              <w:fldChar w:fldCharType="end"/>
            </w:r>
          </w:hyperlink>
        </w:p>
        <w:p w14:paraId="6C4C173C" w14:textId="31E1A5C7"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7" w:history="1">
            <w:r w:rsidRPr="0096418F">
              <w:rPr>
                <w:rStyle w:val="Hyperlink"/>
                <w:noProof/>
                <w:w w:val="108"/>
                <w:lang w:val="en-US"/>
              </w:rPr>
              <w:t>7</w:t>
            </w:r>
            <w:r>
              <w:rPr>
                <w:rFonts w:asciiTheme="minorHAnsi" w:eastAsiaTheme="minorEastAsia" w:hAnsiTheme="minorHAnsi" w:cstheme="minorBidi"/>
                <w:b w:val="0"/>
                <w:bCs w:val="0"/>
                <w:noProof/>
                <w:sz w:val="22"/>
                <w:szCs w:val="22"/>
                <w:lang w:eastAsia="sv-SE"/>
              </w:rPr>
              <w:tab/>
            </w:r>
            <w:r w:rsidRPr="0096418F">
              <w:rPr>
                <w:rStyle w:val="Hyperlink"/>
                <w:noProof/>
              </w:rPr>
              <w:t>Efterlevnad och verkställighet</w:t>
            </w:r>
            <w:r>
              <w:rPr>
                <w:noProof/>
                <w:webHidden/>
              </w:rPr>
              <w:tab/>
            </w:r>
            <w:r>
              <w:rPr>
                <w:noProof/>
                <w:webHidden/>
              </w:rPr>
              <w:fldChar w:fldCharType="begin"/>
            </w:r>
            <w:r>
              <w:rPr>
                <w:noProof/>
                <w:webHidden/>
              </w:rPr>
              <w:instrText xml:space="preserve"> PAGEREF _Toc184721787 \h </w:instrText>
            </w:r>
            <w:r>
              <w:rPr>
                <w:noProof/>
                <w:webHidden/>
              </w:rPr>
            </w:r>
            <w:r>
              <w:rPr>
                <w:noProof/>
                <w:webHidden/>
              </w:rPr>
              <w:fldChar w:fldCharType="separate"/>
            </w:r>
            <w:r>
              <w:rPr>
                <w:noProof/>
                <w:webHidden/>
              </w:rPr>
              <w:t>8</w:t>
            </w:r>
            <w:r>
              <w:rPr>
                <w:noProof/>
                <w:webHidden/>
              </w:rPr>
              <w:fldChar w:fldCharType="end"/>
            </w:r>
          </w:hyperlink>
        </w:p>
        <w:p w14:paraId="3E24406C" w14:textId="59DD9DF4"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8" w:history="1">
            <w:r w:rsidRPr="0096418F">
              <w:rPr>
                <w:rStyle w:val="Hyperlink"/>
                <w:noProof/>
                <w:w w:val="108"/>
                <w:lang w:val="en-US"/>
              </w:rPr>
              <w:t>8</w:t>
            </w:r>
            <w:r>
              <w:rPr>
                <w:rFonts w:asciiTheme="minorHAnsi" w:eastAsiaTheme="minorEastAsia" w:hAnsiTheme="minorHAnsi" w:cstheme="minorBidi"/>
                <w:b w:val="0"/>
                <w:bCs w:val="0"/>
                <w:noProof/>
                <w:sz w:val="22"/>
                <w:szCs w:val="22"/>
                <w:lang w:eastAsia="sv-SE"/>
              </w:rPr>
              <w:tab/>
            </w:r>
            <w:r w:rsidRPr="0096418F">
              <w:rPr>
                <w:rStyle w:val="Hyperlink"/>
                <w:noProof/>
              </w:rPr>
              <w:t>Klagomål och information</w:t>
            </w:r>
            <w:r>
              <w:rPr>
                <w:noProof/>
                <w:webHidden/>
              </w:rPr>
              <w:tab/>
            </w:r>
            <w:r>
              <w:rPr>
                <w:noProof/>
                <w:webHidden/>
              </w:rPr>
              <w:fldChar w:fldCharType="begin"/>
            </w:r>
            <w:r>
              <w:rPr>
                <w:noProof/>
                <w:webHidden/>
              </w:rPr>
              <w:instrText xml:space="preserve"> PAGEREF _Toc184721788 \h </w:instrText>
            </w:r>
            <w:r>
              <w:rPr>
                <w:noProof/>
                <w:webHidden/>
              </w:rPr>
            </w:r>
            <w:r>
              <w:rPr>
                <w:noProof/>
                <w:webHidden/>
              </w:rPr>
              <w:fldChar w:fldCharType="separate"/>
            </w:r>
            <w:r>
              <w:rPr>
                <w:noProof/>
                <w:webHidden/>
              </w:rPr>
              <w:t>8</w:t>
            </w:r>
            <w:r>
              <w:rPr>
                <w:noProof/>
                <w:webHidden/>
              </w:rPr>
              <w:fldChar w:fldCharType="end"/>
            </w:r>
          </w:hyperlink>
        </w:p>
        <w:p w14:paraId="0FC8512B" w14:textId="62AC5568"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89" w:history="1">
            <w:r w:rsidRPr="0096418F">
              <w:rPr>
                <w:rStyle w:val="Hyperlink"/>
                <w:noProof/>
                <w:w w:val="108"/>
                <w:lang w:val="en-US"/>
              </w:rPr>
              <w:t>9</w:t>
            </w:r>
            <w:r>
              <w:rPr>
                <w:rFonts w:asciiTheme="minorHAnsi" w:eastAsiaTheme="minorEastAsia" w:hAnsiTheme="minorHAnsi" w:cstheme="minorBidi"/>
                <w:b w:val="0"/>
                <w:bCs w:val="0"/>
                <w:noProof/>
                <w:sz w:val="22"/>
                <w:szCs w:val="22"/>
                <w:lang w:eastAsia="sv-SE"/>
              </w:rPr>
              <w:tab/>
            </w:r>
            <w:r w:rsidRPr="0096418F">
              <w:rPr>
                <w:rStyle w:val="Hyperlink"/>
                <w:noProof/>
              </w:rPr>
              <w:t>Vägledning</w:t>
            </w:r>
            <w:r>
              <w:rPr>
                <w:noProof/>
                <w:webHidden/>
              </w:rPr>
              <w:tab/>
            </w:r>
            <w:r>
              <w:rPr>
                <w:noProof/>
                <w:webHidden/>
              </w:rPr>
              <w:fldChar w:fldCharType="begin"/>
            </w:r>
            <w:r>
              <w:rPr>
                <w:noProof/>
                <w:webHidden/>
              </w:rPr>
              <w:instrText xml:space="preserve"> PAGEREF _Toc184721789 \h </w:instrText>
            </w:r>
            <w:r>
              <w:rPr>
                <w:noProof/>
                <w:webHidden/>
              </w:rPr>
            </w:r>
            <w:r>
              <w:rPr>
                <w:noProof/>
                <w:webHidden/>
              </w:rPr>
              <w:fldChar w:fldCharType="separate"/>
            </w:r>
            <w:r>
              <w:rPr>
                <w:noProof/>
                <w:webHidden/>
              </w:rPr>
              <w:t>9</w:t>
            </w:r>
            <w:r>
              <w:rPr>
                <w:noProof/>
                <w:webHidden/>
              </w:rPr>
              <w:fldChar w:fldCharType="end"/>
            </w:r>
          </w:hyperlink>
        </w:p>
        <w:p w14:paraId="12DEA19C" w14:textId="38D422CB"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0" w:history="1">
            <w:r w:rsidRPr="0096418F">
              <w:rPr>
                <w:rStyle w:val="Hyperlink"/>
                <w:noProof/>
                <w:w w:val="108"/>
                <w:lang w:val="en-US"/>
              </w:rPr>
              <w:t>10</w:t>
            </w:r>
            <w:r>
              <w:rPr>
                <w:rFonts w:asciiTheme="minorHAnsi" w:eastAsiaTheme="minorEastAsia" w:hAnsiTheme="minorHAnsi" w:cstheme="minorBidi"/>
                <w:b w:val="0"/>
                <w:bCs w:val="0"/>
                <w:noProof/>
                <w:sz w:val="22"/>
                <w:szCs w:val="22"/>
                <w:lang w:eastAsia="sv-SE"/>
              </w:rPr>
              <w:tab/>
            </w:r>
            <w:r w:rsidRPr="0096418F">
              <w:rPr>
                <w:rStyle w:val="Hyperlink"/>
                <w:noProof/>
              </w:rPr>
              <w:t>Definitioner – Föreskrifter och regler för medietjänster</w:t>
            </w:r>
            <w:r>
              <w:rPr>
                <w:noProof/>
                <w:webHidden/>
              </w:rPr>
              <w:tab/>
            </w:r>
            <w:r>
              <w:rPr>
                <w:noProof/>
                <w:webHidden/>
              </w:rPr>
              <w:fldChar w:fldCharType="begin"/>
            </w:r>
            <w:r>
              <w:rPr>
                <w:noProof/>
                <w:webHidden/>
              </w:rPr>
              <w:instrText xml:space="preserve"> PAGEREF _Toc184721790 \h </w:instrText>
            </w:r>
            <w:r>
              <w:rPr>
                <w:noProof/>
                <w:webHidden/>
              </w:rPr>
            </w:r>
            <w:r>
              <w:rPr>
                <w:noProof/>
                <w:webHidden/>
              </w:rPr>
              <w:fldChar w:fldCharType="separate"/>
            </w:r>
            <w:r>
              <w:rPr>
                <w:noProof/>
                <w:webHidden/>
              </w:rPr>
              <w:t>9</w:t>
            </w:r>
            <w:r>
              <w:rPr>
                <w:noProof/>
                <w:webHidden/>
              </w:rPr>
              <w:fldChar w:fldCharType="end"/>
            </w:r>
          </w:hyperlink>
        </w:p>
        <w:p w14:paraId="01EA9FFD" w14:textId="51FA5CA6" w:rsidR="004332A0" w:rsidRDefault="004332A0">
          <w:pPr>
            <w:pStyle w:val="TOC1"/>
            <w:tabs>
              <w:tab w:val="right" w:pos="10600"/>
            </w:tabs>
            <w:rPr>
              <w:rFonts w:asciiTheme="minorHAnsi" w:eastAsiaTheme="minorEastAsia" w:hAnsiTheme="minorHAnsi" w:cstheme="minorBidi"/>
              <w:b w:val="0"/>
              <w:bCs w:val="0"/>
              <w:noProof/>
              <w:sz w:val="22"/>
              <w:szCs w:val="22"/>
              <w:lang w:eastAsia="sv-SE"/>
            </w:rPr>
          </w:pPr>
          <w:hyperlink w:anchor="_Toc184721791" w:history="1">
            <w:r w:rsidRPr="0096418F">
              <w:rPr>
                <w:rStyle w:val="Hyperlink"/>
                <w:noProof/>
              </w:rPr>
              <w:t>Bestämmelser om föreskrifterna för medietjänster</w:t>
            </w:r>
            <w:r>
              <w:rPr>
                <w:noProof/>
                <w:webHidden/>
              </w:rPr>
              <w:tab/>
            </w:r>
            <w:r>
              <w:rPr>
                <w:noProof/>
                <w:webHidden/>
              </w:rPr>
              <w:fldChar w:fldCharType="begin"/>
            </w:r>
            <w:r>
              <w:rPr>
                <w:noProof/>
                <w:webHidden/>
              </w:rPr>
              <w:instrText xml:space="preserve"> PAGEREF _Toc184721791 \h </w:instrText>
            </w:r>
            <w:r>
              <w:rPr>
                <w:noProof/>
                <w:webHidden/>
              </w:rPr>
            </w:r>
            <w:r>
              <w:rPr>
                <w:noProof/>
                <w:webHidden/>
              </w:rPr>
              <w:fldChar w:fldCharType="separate"/>
            </w:r>
            <w:r>
              <w:rPr>
                <w:noProof/>
                <w:webHidden/>
              </w:rPr>
              <w:t>12</w:t>
            </w:r>
            <w:r>
              <w:rPr>
                <w:noProof/>
                <w:webHidden/>
              </w:rPr>
              <w:fldChar w:fldCharType="end"/>
            </w:r>
          </w:hyperlink>
        </w:p>
        <w:p w14:paraId="210856DF" w14:textId="79FB9735"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2" w:history="1">
            <w:r w:rsidRPr="0096418F">
              <w:rPr>
                <w:rStyle w:val="Hyperlink"/>
                <w:noProof/>
                <w:w w:val="108"/>
                <w:lang w:val="en-US"/>
              </w:rPr>
              <w:t>11</w:t>
            </w:r>
            <w:r>
              <w:rPr>
                <w:rFonts w:asciiTheme="minorHAnsi" w:eastAsiaTheme="minorEastAsia" w:hAnsiTheme="minorHAnsi" w:cstheme="minorBidi"/>
                <w:b w:val="0"/>
                <w:bCs w:val="0"/>
                <w:noProof/>
                <w:sz w:val="22"/>
                <w:szCs w:val="22"/>
                <w:lang w:eastAsia="sv-SE"/>
              </w:rPr>
              <w:tab/>
            </w:r>
            <w:r w:rsidRPr="0096418F">
              <w:rPr>
                <w:rStyle w:val="Hyperlink"/>
                <w:noProof/>
              </w:rPr>
              <w:t>Skadligt innehåll</w:t>
            </w:r>
            <w:r>
              <w:rPr>
                <w:noProof/>
                <w:webHidden/>
              </w:rPr>
              <w:tab/>
            </w:r>
            <w:r>
              <w:rPr>
                <w:noProof/>
                <w:webHidden/>
              </w:rPr>
              <w:fldChar w:fldCharType="begin"/>
            </w:r>
            <w:r>
              <w:rPr>
                <w:noProof/>
                <w:webHidden/>
              </w:rPr>
              <w:instrText xml:space="preserve"> PAGEREF _Toc184721792 \h </w:instrText>
            </w:r>
            <w:r>
              <w:rPr>
                <w:noProof/>
                <w:webHidden/>
              </w:rPr>
            </w:r>
            <w:r>
              <w:rPr>
                <w:noProof/>
                <w:webHidden/>
              </w:rPr>
              <w:fldChar w:fldCharType="separate"/>
            </w:r>
            <w:r>
              <w:rPr>
                <w:noProof/>
                <w:webHidden/>
              </w:rPr>
              <w:t>12</w:t>
            </w:r>
            <w:r>
              <w:rPr>
                <w:noProof/>
                <w:webHidden/>
              </w:rPr>
              <w:fldChar w:fldCharType="end"/>
            </w:r>
          </w:hyperlink>
        </w:p>
        <w:p w14:paraId="57F97810" w14:textId="2C0B532B"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3" w:history="1">
            <w:r w:rsidRPr="0096418F">
              <w:rPr>
                <w:rStyle w:val="Hyperlink"/>
                <w:noProof/>
                <w:w w:val="108"/>
                <w:lang w:val="en-US"/>
              </w:rPr>
              <w:t>12</w:t>
            </w:r>
            <w:r>
              <w:rPr>
                <w:rFonts w:asciiTheme="minorHAnsi" w:eastAsiaTheme="minorEastAsia" w:hAnsiTheme="minorHAnsi" w:cstheme="minorBidi"/>
                <w:b w:val="0"/>
                <w:bCs w:val="0"/>
                <w:noProof/>
                <w:sz w:val="22"/>
                <w:szCs w:val="22"/>
                <w:lang w:eastAsia="sv-SE"/>
              </w:rPr>
              <w:tab/>
            </w:r>
            <w:r w:rsidRPr="0096418F">
              <w:rPr>
                <w:rStyle w:val="Hyperlink"/>
                <w:noProof/>
              </w:rPr>
              <w:t>Rättigheter till filmverk</w:t>
            </w:r>
            <w:r>
              <w:rPr>
                <w:noProof/>
                <w:webHidden/>
              </w:rPr>
              <w:tab/>
            </w:r>
            <w:r>
              <w:rPr>
                <w:noProof/>
                <w:webHidden/>
              </w:rPr>
              <w:fldChar w:fldCharType="begin"/>
            </w:r>
            <w:r>
              <w:rPr>
                <w:noProof/>
                <w:webHidden/>
              </w:rPr>
              <w:instrText xml:space="preserve"> PAGEREF _Toc184721793 \h </w:instrText>
            </w:r>
            <w:r>
              <w:rPr>
                <w:noProof/>
                <w:webHidden/>
              </w:rPr>
            </w:r>
            <w:r>
              <w:rPr>
                <w:noProof/>
                <w:webHidden/>
              </w:rPr>
              <w:fldChar w:fldCharType="separate"/>
            </w:r>
            <w:r>
              <w:rPr>
                <w:noProof/>
                <w:webHidden/>
              </w:rPr>
              <w:t>13</w:t>
            </w:r>
            <w:r>
              <w:rPr>
                <w:noProof/>
                <w:webHidden/>
              </w:rPr>
              <w:fldChar w:fldCharType="end"/>
            </w:r>
          </w:hyperlink>
        </w:p>
        <w:p w14:paraId="187FE07F" w14:textId="74434187"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4" w:history="1">
            <w:r w:rsidRPr="0096418F">
              <w:rPr>
                <w:rStyle w:val="Hyperlink"/>
                <w:noProof/>
                <w:w w:val="108"/>
                <w:lang w:val="en-US"/>
              </w:rPr>
              <w:t>13</w:t>
            </w:r>
            <w:r>
              <w:rPr>
                <w:rFonts w:asciiTheme="minorHAnsi" w:eastAsiaTheme="minorEastAsia" w:hAnsiTheme="minorHAnsi" w:cstheme="minorBidi"/>
                <w:b w:val="0"/>
                <w:bCs w:val="0"/>
                <w:noProof/>
                <w:sz w:val="22"/>
                <w:szCs w:val="22"/>
                <w:lang w:eastAsia="sv-SE"/>
              </w:rPr>
              <w:tab/>
            </w:r>
            <w:r w:rsidRPr="0096418F">
              <w:rPr>
                <w:rStyle w:val="Hyperlink"/>
                <w:noProof/>
              </w:rPr>
              <w:t>Audiovisuella kommersiella meddelanden</w:t>
            </w:r>
            <w:r>
              <w:rPr>
                <w:noProof/>
                <w:webHidden/>
              </w:rPr>
              <w:tab/>
            </w:r>
            <w:r>
              <w:rPr>
                <w:noProof/>
                <w:webHidden/>
              </w:rPr>
              <w:fldChar w:fldCharType="begin"/>
            </w:r>
            <w:r>
              <w:rPr>
                <w:noProof/>
                <w:webHidden/>
              </w:rPr>
              <w:instrText xml:space="preserve"> PAGEREF _Toc184721794 \h </w:instrText>
            </w:r>
            <w:r>
              <w:rPr>
                <w:noProof/>
                <w:webHidden/>
              </w:rPr>
            </w:r>
            <w:r>
              <w:rPr>
                <w:noProof/>
                <w:webHidden/>
              </w:rPr>
              <w:fldChar w:fldCharType="separate"/>
            </w:r>
            <w:r>
              <w:rPr>
                <w:noProof/>
                <w:webHidden/>
              </w:rPr>
              <w:t>13</w:t>
            </w:r>
            <w:r>
              <w:rPr>
                <w:noProof/>
                <w:webHidden/>
              </w:rPr>
              <w:fldChar w:fldCharType="end"/>
            </w:r>
          </w:hyperlink>
        </w:p>
        <w:p w14:paraId="7CD42413" w14:textId="51C4A2ED"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5" w:history="1">
            <w:r w:rsidRPr="0096418F">
              <w:rPr>
                <w:rStyle w:val="Hyperlink"/>
                <w:noProof/>
                <w:w w:val="108"/>
                <w:lang w:val="en-US"/>
              </w:rPr>
              <w:t>14</w:t>
            </w:r>
            <w:r>
              <w:rPr>
                <w:rFonts w:asciiTheme="minorHAnsi" w:eastAsiaTheme="minorEastAsia" w:hAnsiTheme="minorHAnsi" w:cstheme="minorBidi"/>
                <w:b w:val="0"/>
                <w:bCs w:val="0"/>
                <w:noProof/>
                <w:sz w:val="22"/>
                <w:szCs w:val="22"/>
                <w:lang w:eastAsia="sv-SE"/>
              </w:rPr>
              <w:tab/>
            </w:r>
            <w:r w:rsidRPr="0096418F">
              <w:rPr>
                <w:rStyle w:val="Hyperlink"/>
                <w:noProof/>
              </w:rPr>
              <w:t>Sponsring</w:t>
            </w:r>
            <w:r>
              <w:rPr>
                <w:noProof/>
                <w:webHidden/>
              </w:rPr>
              <w:tab/>
            </w:r>
            <w:r>
              <w:rPr>
                <w:noProof/>
                <w:webHidden/>
              </w:rPr>
              <w:fldChar w:fldCharType="begin"/>
            </w:r>
            <w:r>
              <w:rPr>
                <w:noProof/>
                <w:webHidden/>
              </w:rPr>
              <w:instrText xml:space="preserve"> PAGEREF _Toc184721795 \h </w:instrText>
            </w:r>
            <w:r>
              <w:rPr>
                <w:noProof/>
                <w:webHidden/>
              </w:rPr>
            </w:r>
            <w:r>
              <w:rPr>
                <w:noProof/>
                <w:webHidden/>
              </w:rPr>
              <w:fldChar w:fldCharType="separate"/>
            </w:r>
            <w:r>
              <w:rPr>
                <w:noProof/>
                <w:webHidden/>
              </w:rPr>
              <w:t>15</w:t>
            </w:r>
            <w:r>
              <w:rPr>
                <w:noProof/>
                <w:webHidden/>
              </w:rPr>
              <w:fldChar w:fldCharType="end"/>
            </w:r>
          </w:hyperlink>
        </w:p>
        <w:p w14:paraId="7178F917" w14:textId="4C86195B"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6" w:history="1">
            <w:r w:rsidRPr="0096418F">
              <w:rPr>
                <w:rStyle w:val="Hyperlink"/>
                <w:noProof/>
                <w:w w:val="108"/>
                <w:lang w:val="en-US"/>
              </w:rPr>
              <w:t>15</w:t>
            </w:r>
            <w:r>
              <w:rPr>
                <w:rFonts w:asciiTheme="minorHAnsi" w:eastAsiaTheme="minorEastAsia" w:hAnsiTheme="minorHAnsi" w:cstheme="minorBidi"/>
                <w:b w:val="0"/>
                <w:bCs w:val="0"/>
                <w:noProof/>
                <w:sz w:val="22"/>
                <w:szCs w:val="22"/>
                <w:lang w:eastAsia="sv-SE"/>
              </w:rPr>
              <w:tab/>
            </w:r>
            <w:r w:rsidRPr="0096418F">
              <w:rPr>
                <w:rStyle w:val="Hyperlink"/>
                <w:noProof/>
              </w:rPr>
              <w:t>Produktplacering</w:t>
            </w:r>
            <w:r>
              <w:rPr>
                <w:noProof/>
                <w:webHidden/>
              </w:rPr>
              <w:tab/>
            </w:r>
            <w:r>
              <w:rPr>
                <w:noProof/>
                <w:webHidden/>
              </w:rPr>
              <w:fldChar w:fldCharType="begin"/>
            </w:r>
            <w:r>
              <w:rPr>
                <w:noProof/>
                <w:webHidden/>
              </w:rPr>
              <w:instrText xml:space="preserve"> PAGEREF _Toc184721796 \h </w:instrText>
            </w:r>
            <w:r>
              <w:rPr>
                <w:noProof/>
                <w:webHidden/>
              </w:rPr>
            </w:r>
            <w:r>
              <w:rPr>
                <w:noProof/>
                <w:webHidden/>
              </w:rPr>
              <w:fldChar w:fldCharType="separate"/>
            </w:r>
            <w:r>
              <w:rPr>
                <w:noProof/>
                <w:webHidden/>
              </w:rPr>
              <w:t>16</w:t>
            </w:r>
            <w:r>
              <w:rPr>
                <w:noProof/>
                <w:webHidden/>
              </w:rPr>
              <w:fldChar w:fldCharType="end"/>
            </w:r>
          </w:hyperlink>
        </w:p>
        <w:p w14:paraId="48F8E1DD" w14:textId="7A9A2A50" w:rsidR="004332A0" w:rsidRDefault="004332A0">
          <w:pPr>
            <w:pStyle w:val="TOC1"/>
            <w:tabs>
              <w:tab w:val="right" w:pos="10600"/>
            </w:tabs>
            <w:rPr>
              <w:rFonts w:asciiTheme="minorHAnsi" w:eastAsiaTheme="minorEastAsia" w:hAnsiTheme="minorHAnsi" w:cstheme="minorBidi"/>
              <w:b w:val="0"/>
              <w:bCs w:val="0"/>
              <w:noProof/>
              <w:sz w:val="22"/>
              <w:szCs w:val="22"/>
              <w:lang w:eastAsia="sv-SE"/>
            </w:rPr>
          </w:pPr>
          <w:hyperlink w:anchor="_Toc184721797" w:history="1">
            <w:r w:rsidRPr="0096418F">
              <w:rPr>
                <w:rStyle w:val="Hyperlink"/>
                <w:noProof/>
              </w:rPr>
              <w:t>Bestämmelser för reglerna för medietjänster</w:t>
            </w:r>
            <w:r>
              <w:rPr>
                <w:noProof/>
                <w:webHidden/>
              </w:rPr>
              <w:tab/>
            </w:r>
            <w:r>
              <w:rPr>
                <w:noProof/>
                <w:webHidden/>
              </w:rPr>
              <w:fldChar w:fldCharType="begin"/>
            </w:r>
            <w:r>
              <w:rPr>
                <w:noProof/>
                <w:webHidden/>
              </w:rPr>
              <w:instrText xml:space="preserve"> PAGEREF _Toc184721797 \h </w:instrText>
            </w:r>
            <w:r>
              <w:rPr>
                <w:noProof/>
                <w:webHidden/>
              </w:rPr>
            </w:r>
            <w:r>
              <w:rPr>
                <w:noProof/>
                <w:webHidden/>
              </w:rPr>
              <w:fldChar w:fldCharType="separate"/>
            </w:r>
            <w:r>
              <w:rPr>
                <w:noProof/>
                <w:webHidden/>
              </w:rPr>
              <w:t>18</w:t>
            </w:r>
            <w:r>
              <w:rPr>
                <w:noProof/>
                <w:webHidden/>
              </w:rPr>
              <w:fldChar w:fldCharType="end"/>
            </w:r>
          </w:hyperlink>
        </w:p>
        <w:p w14:paraId="0EFDB487" w14:textId="1FEA70A3" w:rsidR="004332A0" w:rsidRDefault="004332A0">
          <w:pPr>
            <w:pStyle w:val="TOC1"/>
            <w:tabs>
              <w:tab w:val="left" w:pos="1320"/>
              <w:tab w:val="right" w:pos="10600"/>
            </w:tabs>
            <w:rPr>
              <w:rFonts w:asciiTheme="minorHAnsi" w:eastAsiaTheme="minorEastAsia" w:hAnsiTheme="minorHAnsi" w:cstheme="minorBidi"/>
              <w:b w:val="0"/>
              <w:bCs w:val="0"/>
              <w:noProof/>
              <w:sz w:val="22"/>
              <w:szCs w:val="22"/>
              <w:lang w:eastAsia="sv-SE"/>
            </w:rPr>
          </w:pPr>
          <w:hyperlink w:anchor="_Toc184721798" w:history="1">
            <w:r w:rsidRPr="0096418F">
              <w:rPr>
                <w:rStyle w:val="Hyperlink"/>
                <w:noProof/>
                <w:w w:val="108"/>
                <w:lang w:val="en-US"/>
              </w:rPr>
              <w:t>16</w:t>
            </w:r>
            <w:r>
              <w:rPr>
                <w:rFonts w:asciiTheme="minorHAnsi" w:eastAsiaTheme="minorEastAsia" w:hAnsiTheme="minorHAnsi" w:cstheme="minorBidi"/>
                <w:b w:val="0"/>
                <w:bCs w:val="0"/>
                <w:noProof/>
                <w:sz w:val="22"/>
                <w:szCs w:val="22"/>
                <w:lang w:eastAsia="sv-SE"/>
              </w:rPr>
              <w:tab/>
            </w:r>
            <w:r w:rsidRPr="0096418F">
              <w:rPr>
                <w:rStyle w:val="Hyperlink"/>
                <w:noProof/>
              </w:rPr>
              <w:t>Tillgång till audiovisuella tjänster på begäran</w:t>
            </w:r>
            <w:r>
              <w:rPr>
                <w:noProof/>
                <w:webHidden/>
              </w:rPr>
              <w:tab/>
            </w:r>
            <w:r>
              <w:rPr>
                <w:noProof/>
                <w:webHidden/>
              </w:rPr>
              <w:fldChar w:fldCharType="begin"/>
            </w:r>
            <w:r>
              <w:rPr>
                <w:noProof/>
                <w:webHidden/>
              </w:rPr>
              <w:instrText xml:space="preserve"> PAGEREF _Toc184721798 \h </w:instrText>
            </w:r>
            <w:r>
              <w:rPr>
                <w:noProof/>
                <w:webHidden/>
              </w:rPr>
            </w:r>
            <w:r>
              <w:rPr>
                <w:noProof/>
                <w:webHidden/>
              </w:rPr>
              <w:fldChar w:fldCharType="separate"/>
            </w:r>
            <w:r>
              <w:rPr>
                <w:noProof/>
                <w:webHidden/>
              </w:rPr>
              <w:t>18</w:t>
            </w:r>
            <w:r>
              <w:rPr>
                <w:noProof/>
                <w:webHidden/>
              </w:rPr>
              <w:fldChar w:fldCharType="end"/>
            </w:r>
          </w:hyperlink>
        </w:p>
        <w:p w14:paraId="36035F55" w14:textId="3A260011" w:rsidR="004332A0" w:rsidRDefault="004332A0">
          <w:pPr>
            <w:pStyle w:val="TOC1"/>
            <w:tabs>
              <w:tab w:val="right" w:pos="10600"/>
            </w:tabs>
            <w:rPr>
              <w:rFonts w:asciiTheme="minorHAnsi" w:eastAsiaTheme="minorEastAsia" w:hAnsiTheme="minorHAnsi" w:cstheme="minorBidi"/>
              <w:b w:val="0"/>
              <w:bCs w:val="0"/>
              <w:noProof/>
              <w:sz w:val="22"/>
              <w:szCs w:val="22"/>
              <w:lang w:eastAsia="sv-SE"/>
            </w:rPr>
          </w:pPr>
          <w:hyperlink w:anchor="_Toc184721799" w:history="1">
            <w:r w:rsidRPr="0096418F">
              <w:rPr>
                <w:rStyle w:val="Hyperlink"/>
                <w:noProof/>
              </w:rPr>
              <w:t>Vägledning</w:t>
            </w:r>
            <w:r>
              <w:rPr>
                <w:noProof/>
                <w:webHidden/>
              </w:rPr>
              <w:tab/>
            </w:r>
            <w:r>
              <w:rPr>
                <w:noProof/>
                <w:webHidden/>
              </w:rPr>
              <w:fldChar w:fldCharType="begin"/>
            </w:r>
            <w:r>
              <w:rPr>
                <w:noProof/>
                <w:webHidden/>
              </w:rPr>
              <w:instrText xml:space="preserve"> PAGEREF _Toc184721799 \h </w:instrText>
            </w:r>
            <w:r>
              <w:rPr>
                <w:noProof/>
                <w:webHidden/>
              </w:rPr>
            </w:r>
            <w:r>
              <w:rPr>
                <w:noProof/>
                <w:webHidden/>
              </w:rPr>
              <w:fldChar w:fldCharType="separate"/>
            </w:r>
            <w:r>
              <w:rPr>
                <w:noProof/>
                <w:webHidden/>
              </w:rPr>
              <w:t>21</w:t>
            </w:r>
            <w:r>
              <w:rPr>
                <w:noProof/>
                <w:webHidden/>
              </w:rPr>
              <w:fldChar w:fldCharType="end"/>
            </w:r>
          </w:hyperlink>
        </w:p>
        <w:p w14:paraId="3A6D13E0" w14:textId="21BCF279" w:rsidR="004332A0" w:rsidRDefault="004332A0">
          <w:pPr>
            <w:pStyle w:val="TOC1"/>
            <w:tabs>
              <w:tab w:val="right" w:pos="10600"/>
            </w:tabs>
            <w:rPr>
              <w:rFonts w:asciiTheme="minorHAnsi" w:eastAsiaTheme="minorEastAsia" w:hAnsiTheme="minorHAnsi" w:cstheme="minorBidi"/>
              <w:b w:val="0"/>
              <w:bCs w:val="0"/>
              <w:noProof/>
              <w:sz w:val="22"/>
              <w:szCs w:val="22"/>
              <w:lang w:eastAsia="sv-SE"/>
            </w:rPr>
          </w:pPr>
          <w:hyperlink w:anchor="_Toc184721800" w:history="1">
            <w:r w:rsidRPr="0096418F">
              <w:rPr>
                <w:rStyle w:val="Hyperlink"/>
                <w:noProof/>
              </w:rPr>
              <w:t>Påverkande faktorer</w:t>
            </w:r>
            <w:r>
              <w:rPr>
                <w:noProof/>
                <w:webHidden/>
              </w:rPr>
              <w:tab/>
            </w:r>
            <w:r>
              <w:rPr>
                <w:noProof/>
                <w:webHidden/>
              </w:rPr>
              <w:fldChar w:fldCharType="begin"/>
            </w:r>
            <w:r>
              <w:rPr>
                <w:noProof/>
                <w:webHidden/>
              </w:rPr>
              <w:instrText xml:space="preserve"> PAGEREF _Toc184721800 \h </w:instrText>
            </w:r>
            <w:r>
              <w:rPr>
                <w:noProof/>
                <w:webHidden/>
              </w:rPr>
            </w:r>
            <w:r>
              <w:rPr>
                <w:noProof/>
                <w:webHidden/>
              </w:rPr>
              <w:fldChar w:fldCharType="separate"/>
            </w:r>
            <w:r>
              <w:rPr>
                <w:noProof/>
                <w:webHidden/>
              </w:rPr>
              <w:t>21</w:t>
            </w:r>
            <w:r>
              <w:rPr>
                <w:noProof/>
                <w:webHidden/>
              </w:rPr>
              <w:fldChar w:fldCharType="end"/>
            </w:r>
          </w:hyperlink>
        </w:p>
        <w:p w14:paraId="73E94B53" w14:textId="05A0439B" w:rsidR="0006113D" w:rsidRDefault="000613C4">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0613C4">
      <w:pPr>
        <w:pStyle w:val="Heading1"/>
        <w:numPr>
          <w:ilvl w:val="0"/>
          <w:numId w:val="14"/>
        </w:numPr>
        <w:tabs>
          <w:tab w:val="left" w:pos="1853"/>
        </w:tabs>
        <w:spacing w:before="23"/>
      </w:pPr>
      <w:bookmarkStart w:id="0" w:name="_Toc184721777"/>
      <w:r>
        <w:rPr>
          <w:color w:val="391200"/>
        </w:rPr>
        <w:lastRenderedPageBreak/>
        <w:t>Inledning</w:t>
      </w:r>
      <w:bookmarkEnd w:id="0"/>
    </w:p>
    <w:p w14:paraId="10A3A067" w14:textId="77777777" w:rsidR="0006113D" w:rsidRDefault="000613C4">
      <w:pPr>
        <w:pStyle w:val="ListParagraph"/>
        <w:numPr>
          <w:ilvl w:val="1"/>
          <w:numId w:val="14"/>
        </w:numPr>
        <w:tabs>
          <w:tab w:val="left" w:pos="1851"/>
          <w:tab w:val="left" w:pos="1853"/>
        </w:tabs>
        <w:spacing w:before="278" w:line="292" w:lineRule="auto"/>
        <w:ind w:right="859"/>
        <w:jc w:val="both"/>
        <w:rPr>
          <w:sz w:val="20"/>
        </w:rPr>
      </w:pPr>
      <w:r>
        <w:rPr>
          <w:sz w:val="20"/>
        </w:rPr>
        <w:t xml:space="preserve">I enlighet med avsnitt 46N.1 och avsnitt 46O.1 och 46O.5 i 2009 års radio- och </w:t>
      </w:r>
      <w:proofErr w:type="spellStart"/>
      <w:r>
        <w:rPr>
          <w:sz w:val="20"/>
        </w:rPr>
        <w:t>tv-lag</w:t>
      </w:r>
      <w:proofErr w:type="spellEnd"/>
      <w:r>
        <w:rPr>
          <w:sz w:val="20"/>
        </w:rPr>
        <w:t xml:space="preserve">, ändrad genom 2022 års lag om säkerhet online och mediareglering (nedan kallad </w:t>
      </w:r>
      <w:r>
        <w:rPr>
          <w:i/>
          <w:iCs/>
          <w:sz w:val="20"/>
        </w:rPr>
        <w:t>lagen</w:t>
      </w:r>
      <w:r>
        <w:rPr>
          <w:sz w:val="20"/>
        </w:rPr>
        <w:t xml:space="preserve">) får </w:t>
      </w:r>
      <w:proofErr w:type="spellStart"/>
      <w:r>
        <w:rPr>
          <w:sz w:val="20"/>
        </w:rPr>
        <w:t>Coimisiún</w:t>
      </w:r>
      <w:proofErr w:type="spellEnd"/>
      <w:r>
        <w:rPr>
          <w:sz w:val="20"/>
        </w:rPr>
        <w:t xml:space="preserve"> </w:t>
      </w:r>
      <w:proofErr w:type="spellStart"/>
      <w:r>
        <w:rPr>
          <w:sz w:val="20"/>
        </w:rPr>
        <w:t>na</w:t>
      </w:r>
      <w:proofErr w:type="spellEnd"/>
      <w:r>
        <w:rPr>
          <w:sz w:val="20"/>
        </w:rPr>
        <w:t xml:space="preserve"> </w:t>
      </w:r>
      <w:proofErr w:type="spellStart"/>
      <w:r>
        <w:rPr>
          <w:sz w:val="20"/>
        </w:rPr>
        <w:t>Meán</w:t>
      </w:r>
      <w:proofErr w:type="spellEnd"/>
      <w:r>
        <w:rPr>
          <w:sz w:val="20"/>
        </w:rPr>
        <w:t xml:space="preserve"> (nedan kallad </w:t>
      </w:r>
      <w:r>
        <w:rPr>
          <w:i/>
          <w:iCs/>
          <w:sz w:val="20"/>
        </w:rPr>
        <w:t>kommissionen</w:t>
      </w:r>
      <w:r>
        <w:rPr>
          <w:sz w:val="20"/>
        </w:rPr>
        <w:t>) utfärda föreskrifter och regler (n</w:t>
      </w:r>
      <w:r>
        <w:rPr>
          <w:sz w:val="20"/>
        </w:rPr>
        <w:t xml:space="preserve">edan kallade </w:t>
      </w:r>
      <w:r>
        <w:rPr>
          <w:i/>
          <w:iCs/>
          <w:sz w:val="20"/>
        </w:rPr>
        <w:t>föreskrifter för medietjänster</w:t>
      </w:r>
      <w:r>
        <w:rPr>
          <w:sz w:val="20"/>
        </w:rPr>
        <w:t xml:space="preserve"> och </w:t>
      </w:r>
      <w:r>
        <w:rPr>
          <w:i/>
          <w:iCs/>
          <w:sz w:val="20"/>
        </w:rPr>
        <w:t>regler för medietjänster</w:t>
      </w:r>
      <w:r>
        <w:rPr>
          <w:sz w:val="20"/>
        </w:rPr>
        <w:t xml:space="preserve">) om standarder och praxis för radio- och </w:t>
      </w:r>
      <w:proofErr w:type="spellStart"/>
      <w:r>
        <w:rPr>
          <w:sz w:val="20"/>
        </w:rPr>
        <w:t>tv-företag</w:t>
      </w:r>
      <w:proofErr w:type="spellEnd"/>
      <w:r>
        <w:rPr>
          <w:sz w:val="20"/>
        </w:rPr>
        <w:t xml:space="preserve"> och leverantörer av audiovisuella medietjänster på begäran.</w:t>
      </w:r>
    </w:p>
    <w:p w14:paraId="704D3BFF" w14:textId="77777777" w:rsidR="0006113D" w:rsidRDefault="0006113D">
      <w:pPr>
        <w:pStyle w:val="BodyText"/>
        <w:spacing w:before="6"/>
      </w:pPr>
    </w:p>
    <w:p w14:paraId="5E03A8C2" w14:textId="77777777" w:rsidR="0006113D" w:rsidRDefault="000613C4">
      <w:pPr>
        <w:pStyle w:val="ListParagraph"/>
        <w:numPr>
          <w:ilvl w:val="1"/>
          <w:numId w:val="14"/>
        </w:numPr>
        <w:tabs>
          <w:tab w:val="left" w:pos="1851"/>
          <w:tab w:val="left" w:pos="1853"/>
        </w:tabs>
        <w:spacing w:line="292" w:lineRule="auto"/>
        <w:ind w:right="859"/>
        <w:jc w:val="both"/>
        <w:rPr>
          <w:sz w:val="20"/>
        </w:rPr>
      </w:pPr>
      <w:r>
        <w:rPr>
          <w:sz w:val="20"/>
        </w:rPr>
        <w:t>Enligt avsnitt 46N.5 i lagen ska kommissionen upprätta föreskrifter fö</w:t>
      </w:r>
      <w:r>
        <w:rPr>
          <w:sz w:val="20"/>
        </w:rPr>
        <w:t>r medietjänster som anger de frågor som ska anges i artiklarna 5, 6.1, 6a.</w:t>
      </w:r>
      <w:proofErr w:type="gramStart"/>
      <w:r>
        <w:rPr>
          <w:sz w:val="20"/>
        </w:rPr>
        <w:t>1–6a</w:t>
      </w:r>
      <w:proofErr w:type="gramEnd"/>
      <w:r>
        <w:rPr>
          <w:sz w:val="20"/>
        </w:rPr>
        <w:t xml:space="preserve">.3, 7b, 8, 9, 10 och 11 i direktiv (EU) 2010/13 (ändrat genom direktiv (EU) 2018/1808) (nedan kallat </w:t>
      </w:r>
      <w:r>
        <w:rPr>
          <w:i/>
          <w:iCs/>
          <w:sz w:val="20"/>
        </w:rPr>
        <w:t>Direktivet om audiovisuella medietjänster</w:t>
      </w:r>
      <w:r>
        <w:rPr>
          <w:sz w:val="20"/>
        </w:rPr>
        <w:t>) (utom i den mån detta föreskrivs i</w:t>
      </w:r>
      <w:r>
        <w:rPr>
          <w:sz w:val="20"/>
        </w:rPr>
        <w:t xml:space="preserve"> reglerna för medietjänster).</w:t>
      </w:r>
    </w:p>
    <w:p w14:paraId="4D6E15E2" w14:textId="77777777" w:rsidR="0006113D" w:rsidRDefault="0006113D">
      <w:pPr>
        <w:pStyle w:val="BodyText"/>
        <w:spacing w:before="7"/>
      </w:pPr>
    </w:p>
    <w:p w14:paraId="134A5F2A" w14:textId="77777777" w:rsidR="0006113D" w:rsidRDefault="000613C4">
      <w:pPr>
        <w:pStyle w:val="ListParagraph"/>
        <w:numPr>
          <w:ilvl w:val="1"/>
          <w:numId w:val="14"/>
        </w:numPr>
        <w:tabs>
          <w:tab w:val="left" w:pos="1851"/>
          <w:tab w:val="left" w:pos="1853"/>
        </w:tabs>
        <w:spacing w:line="292" w:lineRule="auto"/>
        <w:ind w:right="860"/>
        <w:jc w:val="both"/>
        <w:rPr>
          <w:sz w:val="20"/>
        </w:rPr>
      </w:pPr>
      <w:r>
        <w:rPr>
          <w:sz w:val="20"/>
        </w:rPr>
        <w:t>Enligt avsnitt 46O.9 i lagen ska det i reglerna för medietjänster föreskrivas vilka frågor som ska anges i artiklarna 6.1, 6a.1, 7, 7b, 8, 9, 10, 11, kapitel VI och artiklarna 23.2, 24 och 25 i direktivet om audiovisuella med</w:t>
      </w:r>
      <w:r>
        <w:rPr>
          <w:sz w:val="20"/>
        </w:rPr>
        <w:t>ietjänster (utom i den mån detta föreskrivs i föreskrifterna för medietjänster).</w:t>
      </w:r>
    </w:p>
    <w:p w14:paraId="27317C7E" w14:textId="77777777" w:rsidR="0006113D" w:rsidRDefault="0006113D">
      <w:pPr>
        <w:pStyle w:val="BodyText"/>
        <w:spacing w:before="9"/>
      </w:pPr>
    </w:p>
    <w:p w14:paraId="3081A406" w14:textId="3D6FC1D2" w:rsidR="0006113D" w:rsidRDefault="000613C4">
      <w:pPr>
        <w:pStyle w:val="ListParagraph"/>
        <w:numPr>
          <w:ilvl w:val="1"/>
          <w:numId w:val="14"/>
        </w:numPr>
        <w:tabs>
          <w:tab w:val="left" w:pos="1851"/>
          <w:tab w:val="left" w:pos="1853"/>
        </w:tabs>
        <w:spacing w:line="292" w:lineRule="auto"/>
        <w:ind w:right="863"/>
        <w:jc w:val="both"/>
        <w:rPr>
          <w:sz w:val="20"/>
        </w:rPr>
      </w:pPr>
      <w:r>
        <w:rPr>
          <w:sz w:val="20"/>
        </w:rPr>
        <w:t xml:space="preserve">I enlighet med sina lagstadgade skyldigheter och skyldigheter enligt ovan har kommissionen utarbetat dessa föreskrifter för medietjänster (nedan kallade </w:t>
      </w:r>
      <w:r>
        <w:rPr>
          <w:i/>
          <w:iCs/>
          <w:sz w:val="20"/>
        </w:rPr>
        <w:t>föreskrifter</w:t>
      </w:r>
      <w:r>
        <w:rPr>
          <w:sz w:val="20"/>
        </w:rPr>
        <w:t>) och des</w:t>
      </w:r>
      <w:r>
        <w:rPr>
          <w:sz w:val="20"/>
        </w:rPr>
        <w:t xml:space="preserve">sa regler för medietjänster (nedan kallade </w:t>
      </w:r>
      <w:r>
        <w:rPr>
          <w:i/>
          <w:iCs/>
          <w:sz w:val="20"/>
        </w:rPr>
        <w:t>regler</w:t>
      </w:r>
      <w:r>
        <w:rPr>
          <w:sz w:val="20"/>
        </w:rPr>
        <w:t>).</w:t>
      </w:r>
      <w:r w:rsidR="003C0382">
        <w:rPr>
          <w:rStyle w:val="FootnoteReference"/>
          <w:sz w:val="20"/>
        </w:rPr>
        <w:footnoteReference w:id="1"/>
      </w:r>
      <w:r>
        <w:rPr>
          <w:sz w:val="13"/>
        </w:rPr>
        <w:t xml:space="preserve"> </w:t>
      </w:r>
      <w:r>
        <w:rPr>
          <w:sz w:val="20"/>
        </w:rPr>
        <w:t>Föreskrifterna och reglerna ska träda i kraft den 5 november 2024.</w:t>
      </w:r>
    </w:p>
    <w:p w14:paraId="787E4122" w14:textId="77777777" w:rsidR="0006113D" w:rsidRDefault="0006113D">
      <w:pPr>
        <w:pStyle w:val="BodyText"/>
        <w:spacing w:before="182"/>
      </w:pPr>
    </w:p>
    <w:p w14:paraId="1E95B615" w14:textId="77777777" w:rsidR="0006113D" w:rsidRDefault="000613C4">
      <w:pPr>
        <w:pStyle w:val="Heading1"/>
        <w:numPr>
          <w:ilvl w:val="0"/>
          <w:numId w:val="14"/>
        </w:numPr>
        <w:tabs>
          <w:tab w:val="left" w:pos="1853"/>
        </w:tabs>
      </w:pPr>
      <w:bookmarkStart w:id="1" w:name="_Toc184721778"/>
      <w:r>
        <w:rPr>
          <w:color w:val="391200"/>
        </w:rPr>
        <w:t>Tillämpningsområde och jurisdiktion</w:t>
      </w:r>
      <w:bookmarkEnd w:id="1"/>
    </w:p>
    <w:p w14:paraId="7076F980" w14:textId="77777777" w:rsidR="0006113D" w:rsidRDefault="0006113D">
      <w:pPr>
        <w:pStyle w:val="BodyText"/>
        <w:spacing w:before="98"/>
        <w:rPr>
          <w:rFonts w:ascii="Georgia"/>
          <w:b/>
          <w:sz w:val="36"/>
        </w:rPr>
      </w:pPr>
    </w:p>
    <w:p w14:paraId="1F4E9458" w14:textId="77777777" w:rsidR="0006113D" w:rsidRDefault="000613C4">
      <w:pPr>
        <w:pStyle w:val="ListParagraph"/>
        <w:numPr>
          <w:ilvl w:val="1"/>
          <w:numId w:val="14"/>
        </w:numPr>
        <w:tabs>
          <w:tab w:val="left" w:pos="1850"/>
          <w:tab w:val="left" w:pos="1853"/>
        </w:tabs>
        <w:spacing w:line="292" w:lineRule="auto"/>
        <w:ind w:right="859" w:hanging="776"/>
        <w:jc w:val="both"/>
        <w:rPr>
          <w:sz w:val="20"/>
        </w:rPr>
      </w:pPr>
      <w:r>
        <w:rPr>
          <w:sz w:val="20"/>
        </w:rPr>
        <w:t>Föreskrifterna och reglerna ger verkan åt artiklarna 5, 6.1, 6a.</w:t>
      </w:r>
      <w:proofErr w:type="gramStart"/>
      <w:r>
        <w:rPr>
          <w:sz w:val="20"/>
        </w:rPr>
        <w:t>1–6a</w:t>
      </w:r>
      <w:proofErr w:type="gramEnd"/>
      <w:r>
        <w:rPr>
          <w:sz w:val="20"/>
        </w:rPr>
        <w:t>.3, 7, 8, 9, 10 och 11 i direktivet om audiovisuella medietjänster i Irland, i den mån de avser audiovisuella medietjänster på begäran.</w:t>
      </w:r>
    </w:p>
    <w:p w14:paraId="249DBCBA" w14:textId="77777777" w:rsidR="0006113D" w:rsidRDefault="0006113D">
      <w:pPr>
        <w:pStyle w:val="BodyText"/>
        <w:spacing w:before="8"/>
      </w:pPr>
    </w:p>
    <w:p w14:paraId="525DED5B" w14:textId="77777777" w:rsidR="0006113D" w:rsidRDefault="000613C4">
      <w:pPr>
        <w:pStyle w:val="ListParagraph"/>
        <w:numPr>
          <w:ilvl w:val="1"/>
          <w:numId w:val="14"/>
        </w:numPr>
        <w:tabs>
          <w:tab w:val="left" w:pos="1850"/>
          <w:tab w:val="left" w:pos="1853"/>
        </w:tabs>
        <w:spacing w:line="292" w:lineRule="auto"/>
        <w:ind w:right="871" w:hanging="776"/>
        <w:jc w:val="both"/>
        <w:rPr>
          <w:sz w:val="20"/>
        </w:rPr>
      </w:pPr>
      <w:r>
        <w:rPr>
          <w:sz w:val="20"/>
        </w:rPr>
        <w:t>Föreskrifterna och reglerna är följaktligen tillämp</w:t>
      </w:r>
      <w:r>
        <w:rPr>
          <w:sz w:val="20"/>
        </w:rPr>
        <w:t>liga på leverantörer av medietjänster som tillhandahåller audiovisuella medietjänster på begäran.</w:t>
      </w:r>
    </w:p>
    <w:p w14:paraId="7867A854" w14:textId="77777777" w:rsidR="0006113D" w:rsidRDefault="0006113D">
      <w:pPr>
        <w:pStyle w:val="BodyText"/>
        <w:spacing w:before="11"/>
      </w:pPr>
    </w:p>
    <w:p w14:paraId="3BB18A6A" w14:textId="77777777" w:rsidR="0006113D" w:rsidRDefault="000613C4">
      <w:pPr>
        <w:pStyle w:val="ListParagraph"/>
        <w:numPr>
          <w:ilvl w:val="1"/>
          <w:numId w:val="14"/>
        </w:numPr>
        <w:tabs>
          <w:tab w:val="left" w:pos="1850"/>
          <w:tab w:val="left" w:pos="1853"/>
        </w:tabs>
        <w:spacing w:line="292" w:lineRule="auto"/>
        <w:ind w:right="859" w:hanging="776"/>
        <w:jc w:val="both"/>
        <w:rPr>
          <w:sz w:val="20"/>
        </w:rPr>
      </w:pPr>
      <w:r>
        <w:rPr>
          <w:sz w:val="20"/>
        </w:rPr>
        <w:t>Föreskrifterna och reglerna är endast tillämpliga på leverantörer av medietjänster som tillhandahåller audiovisuella medietjänster på begäran som omfattas av</w:t>
      </w:r>
      <w:r>
        <w:rPr>
          <w:sz w:val="20"/>
        </w:rPr>
        <w:t xml:space="preserve"> statens jurisdiktion i den mening som avses i avsnitt 2A i lagen.</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73D80BC6" w14:textId="77777777" w:rsidR="0006113D" w:rsidRDefault="0006113D">
      <w:pPr>
        <w:pStyle w:val="BodyText"/>
      </w:pPr>
    </w:p>
    <w:p w14:paraId="380AD3A5" w14:textId="77777777" w:rsidR="0006113D" w:rsidRDefault="000613C4">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779"/>
      <w:bookmarkEnd w:id="2"/>
      <w:r>
        <w:rPr>
          <w:color w:val="391200"/>
        </w:rPr>
        <w:t>Syfte, utarbetande och tillämpning av föreskrifterna och reglerna</w:t>
      </w:r>
      <w:bookmarkEnd w:id="3"/>
    </w:p>
    <w:p w14:paraId="12662DF9" w14:textId="77777777" w:rsidR="0006113D" w:rsidRDefault="000613C4">
      <w:pPr>
        <w:pStyle w:val="Heading2"/>
        <w:spacing w:before="329"/>
        <w:ind w:left="1853"/>
      </w:pPr>
      <w:bookmarkStart w:id="4" w:name="_Toc184721780"/>
      <w:r>
        <w:rPr>
          <w:color w:val="391200"/>
        </w:rPr>
        <w:t>Föremålet för upphandlingen</w:t>
      </w:r>
      <w:bookmarkEnd w:id="4"/>
    </w:p>
    <w:p w14:paraId="74FE5271" w14:textId="77777777" w:rsidR="0006113D" w:rsidRDefault="000613C4">
      <w:pPr>
        <w:pStyle w:val="ListParagraph"/>
        <w:numPr>
          <w:ilvl w:val="1"/>
          <w:numId w:val="14"/>
        </w:numPr>
        <w:tabs>
          <w:tab w:val="left" w:pos="1850"/>
          <w:tab w:val="left" w:pos="1853"/>
        </w:tabs>
        <w:spacing w:before="270" w:line="292" w:lineRule="auto"/>
        <w:ind w:right="860"/>
        <w:jc w:val="both"/>
        <w:rPr>
          <w:sz w:val="20"/>
        </w:rPr>
      </w:pPr>
      <w:r>
        <w:rPr>
          <w:sz w:val="20"/>
        </w:rPr>
        <w:t>Syftet med föreskrifterna och reglerna är att säkerställa att leverantörer av medietjänster som tillhandahåller audiovisuella medietjänster på begäran som omfattas av statens jurisdiktion uppfyller kraven i artiklarna 5, 6.1, 6a.</w:t>
      </w:r>
      <w:proofErr w:type="gramStart"/>
      <w:r>
        <w:rPr>
          <w:sz w:val="20"/>
        </w:rPr>
        <w:t>1–6a</w:t>
      </w:r>
      <w:proofErr w:type="gramEnd"/>
      <w:r>
        <w:rPr>
          <w:sz w:val="20"/>
        </w:rPr>
        <w:t xml:space="preserve">.3, 7, 8, 9, 10 och 11 </w:t>
      </w:r>
      <w:r>
        <w:rPr>
          <w:sz w:val="20"/>
        </w:rPr>
        <w:t>i direktivet om audiovisuella medietjänster.</w:t>
      </w:r>
    </w:p>
    <w:p w14:paraId="5BADA09A" w14:textId="77777777" w:rsidR="0006113D" w:rsidRDefault="000613C4">
      <w:pPr>
        <w:pStyle w:val="Heading2"/>
        <w:ind w:left="1853"/>
      </w:pPr>
      <w:bookmarkStart w:id="5" w:name="_Toc184721781"/>
      <w:r>
        <w:rPr>
          <w:color w:val="391200"/>
        </w:rPr>
        <w:t>Utarbetande av föreskrifterna och reglerna</w:t>
      </w:r>
      <w:bookmarkEnd w:id="5"/>
    </w:p>
    <w:p w14:paraId="2EF70EFC" w14:textId="77777777" w:rsidR="0006113D" w:rsidRDefault="000613C4">
      <w:pPr>
        <w:pStyle w:val="ListParagraph"/>
        <w:numPr>
          <w:ilvl w:val="1"/>
          <w:numId w:val="14"/>
        </w:numPr>
        <w:tabs>
          <w:tab w:val="left" w:pos="1850"/>
          <w:tab w:val="left" w:pos="1853"/>
        </w:tabs>
        <w:spacing w:before="269" w:line="292" w:lineRule="auto"/>
        <w:ind w:right="870"/>
        <w:jc w:val="both"/>
        <w:rPr>
          <w:sz w:val="20"/>
        </w:rPr>
      </w:pPr>
      <w:r>
        <w:rPr>
          <w:sz w:val="20"/>
        </w:rPr>
        <w:t>I enlighet med avsnitt 46N.6 i lagen har kommissionen tagit hänsyn till följande frågor vid utarbetandet av föreskrifterna: -</w:t>
      </w:r>
    </w:p>
    <w:p w14:paraId="5706A79F" w14:textId="77777777" w:rsidR="0006113D" w:rsidRDefault="0006113D">
      <w:pPr>
        <w:pStyle w:val="BodyText"/>
        <w:spacing w:before="11"/>
      </w:pPr>
    </w:p>
    <w:p w14:paraId="355962F1" w14:textId="77777777" w:rsidR="0006113D" w:rsidRDefault="000613C4">
      <w:pPr>
        <w:pStyle w:val="ListParagraph"/>
        <w:numPr>
          <w:ilvl w:val="2"/>
          <w:numId w:val="14"/>
        </w:numPr>
        <w:tabs>
          <w:tab w:val="left" w:pos="2705"/>
        </w:tabs>
        <w:spacing w:line="271" w:lineRule="auto"/>
        <w:ind w:right="863"/>
        <w:rPr>
          <w:sz w:val="20"/>
        </w:rPr>
      </w:pPr>
      <w:r>
        <w:rPr>
          <w:sz w:val="20"/>
        </w:rPr>
        <w:t>graden av skada eller brott som sannolikt</w:t>
      </w:r>
      <w:r>
        <w:rPr>
          <w:sz w:val="20"/>
        </w:rPr>
        <w:t xml:space="preserve"> kommer att orsakas av att en viss fråga tas med i programmaterialet,</w:t>
      </w:r>
    </w:p>
    <w:p w14:paraId="41358BC5" w14:textId="77777777" w:rsidR="0006113D" w:rsidRDefault="0006113D">
      <w:pPr>
        <w:pStyle w:val="BodyText"/>
        <w:spacing w:before="32"/>
      </w:pPr>
    </w:p>
    <w:p w14:paraId="3E3FE4B3" w14:textId="77777777" w:rsidR="0006113D" w:rsidRDefault="000613C4">
      <w:pPr>
        <w:pStyle w:val="ListParagraph"/>
        <w:numPr>
          <w:ilvl w:val="2"/>
          <w:numId w:val="14"/>
        </w:numPr>
        <w:tabs>
          <w:tab w:val="left" w:pos="2705"/>
        </w:tabs>
        <w:jc w:val="left"/>
        <w:rPr>
          <w:sz w:val="20"/>
        </w:rPr>
      </w:pPr>
      <w:r>
        <w:rPr>
          <w:sz w:val="20"/>
        </w:rPr>
        <w:t>den troliga storleken på och sammansättningen av den potentiella målgruppen för programmaterial,</w:t>
      </w:r>
    </w:p>
    <w:p w14:paraId="34358297" w14:textId="77777777" w:rsidR="0006113D" w:rsidRDefault="0006113D">
      <w:pPr>
        <w:pStyle w:val="BodyText"/>
        <w:spacing w:before="43"/>
      </w:pPr>
    </w:p>
    <w:p w14:paraId="03DFB35A" w14:textId="77777777" w:rsidR="0006113D" w:rsidRDefault="000613C4">
      <w:pPr>
        <w:pStyle w:val="ListParagraph"/>
        <w:numPr>
          <w:ilvl w:val="2"/>
          <w:numId w:val="14"/>
        </w:numPr>
        <w:tabs>
          <w:tab w:val="left" w:pos="2705"/>
        </w:tabs>
        <w:spacing w:line="280" w:lineRule="auto"/>
        <w:ind w:right="864"/>
        <w:rPr>
          <w:sz w:val="20"/>
        </w:rPr>
      </w:pPr>
      <w:r>
        <w:rPr>
          <w:sz w:val="20"/>
        </w:rPr>
        <w:t>publikens sannolika förväntningar på programmaterialets art och i vilken utsträckning p</w:t>
      </w:r>
      <w:r>
        <w:rPr>
          <w:sz w:val="20"/>
        </w:rPr>
        <w:t>otentiella medlemmar av målgruppen kan få kännedom om programmaterialets karaktär,</w:t>
      </w:r>
    </w:p>
    <w:p w14:paraId="37F024AA" w14:textId="77777777" w:rsidR="0006113D" w:rsidRDefault="0006113D">
      <w:pPr>
        <w:pStyle w:val="BodyText"/>
        <w:spacing w:before="25"/>
      </w:pPr>
    </w:p>
    <w:p w14:paraId="12BB649A" w14:textId="77777777" w:rsidR="0006113D" w:rsidRDefault="000613C4">
      <w:pPr>
        <w:pStyle w:val="ListParagraph"/>
        <w:numPr>
          <w:ilvl w:val="2"/>
          <w:numId w:val="14"/>
        </w:numPr>
        <w:tabs>
          <w:tab w:val="left" w:pos="2705"/>
        </w:tabs>
        <w:spacing w:line="271" w:lineRule="auto"/>
        <w:ind w:right="863"/>
        <w:rPr>
          <w:sz w:val="20"/>
        </w:rPr>
      </w:pPr>
      <w:r>
        <w:rPr>
          <w:sz w:val="20"/>
        </w:rPr>
        <w:t>sannolikheten för att personer som inte känner till programmaterialets art oavsiktligt utsätts för det genom sina egna handlingar,</w:t>
      </w:r>
    </w:p>
    <w:p w14:paraId="3A0F2F6D" w14:textId="77777777" w:rsidR="0006113D" w:rsidRDefault="0006113D">
      <w:pPr>
        <w:pStyle w:val="BodyText"/>
        <w:spacing w:before="32"/>
      </w:pPr>
    </w:p>
    <w:p w14:paraId="739B4D60" w14:textId="77777777" w:rsidR="0006113D" w:rsidRDefault="000613C4">
      <w:pPr>
        <w:pStyle w:val="ListParagraph"/>
        <w:numPr>
          <w:ilvl w:val="2"/>
          <w:numId w:val="14"/>
        </w:numPr>
        <w:tabs>
          <w:tab w:val="left" w:pos="2705"/>
        </w:tabs>
        <w:spacing w:before="1" w:line="285" w:lineRule="auto"/>
        <w:ind w:right="864"/>
        <w:rPr>
          <w:sz w:val="20"/>
        </w:rPr>
      </w:pPr>
      <w:r>
        <w:rPr>
          <w:sz w:val="20"/>
        </w:rPr>
        <w:t>det önskvärda i att säkerställa att leverantören av en sändningstjänst eller en audiovisuell medietjänst på begäran informerar kommissionen om alla ändringar som påverkar tjänstens art och i synnerhet om alla ändringar som är relevanta för tillämpningen av</w:t>
      </w:r>
      <w:r>
        <w:rPr>
          <w:sz w:val="20"/>
        </w:rPr>
        <w:t xml:space="preserve"> föreskrifterna för medietjänster,</w:t>
      </w:r>
    </w:p>
    <w:p w14:paraId="27F4417B" w14:textId="77777777" w:rsidR="0006113D" w:rsidRDefault="0006113D">
      <w:pPr>
        <w:pStyle w:val="BodyText"/>
        <w:spacing w:before="18"/>
      </w:pPr>
    </w:p>
    <w:p w14:paraId="6080CAD9" w14:textId="77777777" w:rsidR="0006113D" w:rsidRDefault="000613C4">
      <w:pPr>
        <w:pStyle w:val="ListParagraph"/>
        <w:numPr>
          <w:ilvl w:val="2"/>
          <w:numId w:val="14"/>
        </w:numPr>
        <w:tabs>
          <w:tab w:val="left" w:pos="2705"/>
        </w:tabs>
        <w:spacing w:line="271" w:lineRule="auto"/>
        <w:ind w:right="868"/>
        <w:rPr>
          <w:sz w:val="20"/>
        </w:rPr>
      </w:pPr>
      <w:r>
        <w:rPr>
          <w:sz w:val="20"/>
        </w:rPr>
        <w:t>det önskvärda i att upprätthålla en oberoende redaktionell kontroll över programmen.</w:t>
      </w:r>
    </w:p>
    <w:p w14:paraId="47F2C564" w14:textId="77777777" w:rsidR="0006113D" w:rsidRDefault="0006113D">
      <w:pPr>
        <w:pStyle w:val="BodyText"/>
        <w:spacing w:before="32"/>
      </w:pPr>
    </w:p>
    <w:p w14:paraId="478B7002" w14:textId="77777777" w:rsidR="0006113D" w:rsidRDefault="000613C4">
      <w:pPr>
        <w:pStyle w:val="ListParagraph"/>
        <w:numPr>
          <w:ilvl w:val="1"/>
          <w:numId w:val="14"/>
        </w:numPr>
        <w:tabs>
          <w:tab w:val="left" w:pos="1850"/>
          <w:tab w:val="left" w:pos="1853"/>
        </w:tabs>
        <w:spacing w:line="292" w:lineRule="auto"/>
        <w:ind w:right="866"/>
        <w:jc w:val="both"/>
        <w:rPr>
          <w:sz w:val="20"/>
        </w:rPr>
      </w:pPr>
      <w:r>
        <w:rPr>
          <w:sz w:val="20"/>
        </w:rPr>
        <w:t>Föreskrifterna och reglerna har utarbetats i enlighet med de förfaranden som föreskrivs i avsnitt 46Q i lagen.</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0613C4">
      <w:pPr>
        <w:pStyle w:val="Heading1"/>
        <w:numPr>
          <w:ilvl w:val="0"/>
          <w:numId w:val="14"/>
        </w:numPr>
        <w:tabs>
          <w:tab w:val="left" w:pos="1853"/>
          <w:tab w:val="left" w:pos="1855"/>
        </w:tabs>
        <w:spacing w:line="206" w:lineRule="auto"/>
        <w:ind w:left="1855" w:right="861" w:hanging="852"/>
        <w:jc w:val="both"/>
      </w:pPr>
      <w:bookmarkStart w:id="6" w:name="_Toc184721782"/>
      <w:proofErr w:type="spellStart"/>
      <w:r>
        <w:rPr>
          <w:color w:val="391200"/>
        </w:rPr>
        <w:t>Regleringsprinciper</w:t>
      </w:r>
      <w:proofErr w:type="spellEnd"/>
      <w:r>
        <w:rPr>
          <w:color w:val="391200"/>
        </w:rPr>
        <w:t xml:space="preserve"> s</w:t>
      </w:r>
      <w:r>
        <w:rPr>
          <w:color w:val="391200"/>
        </w:rPr>
        <w:t>om är relevanta för föreskrifterna och reglerna</w:t>
      </w:r>
      <w:bookmarkEnd w:id="6"/>
    </w:p>
    <w:p w14:paraId="30A91B59" w14:textId="77777777" w:rsidR="0006113D" w:rsidRDefault="000613C4">
      <w:pPr>
        <w:pStyle w:val="ListParagraph"/>
        <w:numPr>
          <w:ilvl w:val="1"/>
          <w:numId w:val="14"/>
        </w:numPr>
        <w:tabs>
          <w:tab w:val="left" w:pos="1850"/>
          <w:tab w:val="left" w:pos="1853"/>
        </w:tabs>
        <w:spacing w:before="276" w:line="292" w:lineRule="auto"/>
        <w:ind w:right="869" w:hanging="850"/>
        <w:jc w:val="both"/>
        <w:rPr>
          <w:sz w:val="20"/>
        </w:rPr>
      </w:pPr>
      <w:r>
        <w:rPr>
          <w:sz w:val="20"/>
        </w:rPr>
        <w:t xml:space="preserve">I sin tolkning, tillämpning och verkställighet av föreskrifterna och reglerna måste kommissionen, i enlighet med sina offentligrättsliga skyldigheter, agera lagenligt, </w:t>
      </w:r>
      <w:r>
        <w:rPr>
          <w:sz w:val="20"/>
        </w:rPr>
        <w:lastRenderedPageBreak/>
        <w:t>rationellt och rättvist.</w:t>
      </w:r>
    </w:p>
    <w:p w14:paraId="628AE2C5" w14:textId="77777777" w:rsidR="0006113D" w:rsidRDefault="0006113D">
      <w:pPr>
        <w:pStyle w:val="BodyText"/>
        <w:spacing w:before="10"/>
      </w:pPr>
    </w:p>
    <w:p w14:paraId="052A9DAD" w14:textId="77777777" w:rsidR="0006113D" w:rsidRDefault="000613C4">
      <w:pPr>
        <w:pStyle w:val="ListParagraph"/>
        <w:numPr>
          <w:ilvl w:val="1"/>
          <w:numId w:val="14"/>
        </w:numPr>
        <w:tabs>
          <w:tab w:val="left" w:pos="1853"/>
        </w:tabs>
        <w:ind w:hanging="850"/>
        <w:rPr>
          <w:sz w:val="20"/>
        </w:rPr>
      </w:pPr>
      <w:r>
        <w:rPr>
          <w:sz w:val="20"/>
        </w:rPr>
        <w:t>Närmare bestämt måste kommissionen agera i enlighet med följande:</w:t>
      </w:r>
    </w:p>
    <w:p w14:paraId="4EEF9DDC" w14:textId="77777777" w:rsidR="0006113D" w:rsidRDefault="0006113D">
      <w:pPr>
        <w:pStyle w:val="BodyText"/>
        <w:spacing w:before="61"/>
      </w:pPr>
    </w:p>
    <w:p w14:paraId="5987DA9C" w14:textId="77777777" w:rsidR="0006113D" w:rsidRDefault="000613C4">
      <w:pPr>
        <w:pStyle w:val="ListParagraph"/>
        <w:numPr>
          <w:ilvl w:val="2"/>
          <w:numId w:val="14"/>
        </w:numPr>
        <w:tabs>
          <w:tab w:val="left" w:pos="2705"/>
        </w:tabs>
        <w:jc w:val="left"/>
        <w:rPr>
          <w:sz w:val="20"/>
        </w:rPr>
      </w:pPr>
      <w:r>
        <w:rPr>
          <w:sz w:val="20"/>
        </w:rPr>
        <w:t>dess allmänna lagstadgade mål och funktioner enligt lagen,</w:t>
      </w:r>
    </w:p>
    <w:p w14:paraId="77085E0C" w14:textId="77777777" w:rsidR="0006113D" w:rsidRDefault="0006113D">
      <w:pPr>
        <w:rPr>
          <w:sz w:val="20"/>
          <w:lang w:val="el-GR"/>
        </w:rPr>
      </w:pPr>
    </w:p>
    <w:p w14:paraId="17F17333" w14:textId="77777777" w:rsidR="0006113D" w:rsidRDefault="000613C4">
      <w:pPr>
        <w:pStyle w:val="ListParagraph"/>
        <w:numPr>
          <w:ilvl w:val="2"/>
          <w:numId w:val="14"/>
        </w:numPr>
        <w:tabs>
          <w:tab w:val="left" w:pos="2705"/>
        </w:tabs>
        <w:spacing w:before="79"/>
        <w:jc w:val="left"/>
        <w:rPr>
          <w:sz w:val="20"/>
        </w:rPr>
      </w:pPr>
      <w:r>
        <w:rPr>
          <w:sz w:val="20"/>
        </w:rPr>
        <w:t>de särskilda lagstadgade mål som ligger till grund för föreskrifterna och reglerna,</w:t>
      </w:r>
    </w:p>
    <w:p w14:paraId="24DD3901" w14:textId="77777777" w:rsidR="0006113D" w:rsidRDefault="0006113D">
      <w:pPr>
        <w:pStyle w:val="BodyText"/>
        <w:spacing w:before="41"/>
      </w:pPr>
    </w:p>
    <w:p w14:paraId="55E0AE28" w14:textId="77777777" w:rsidR="0006113D" w:rsidRDefault="000613C4">
      <w:pPr>
        <w:pStyle w:val="ListParagraph"/>
        <w:numPr>
          <w:ilvl w:val="2"/>
          <w:numId w:val="14"/>
        </w:numPr>
        <w:tabs>
          <w:tab w:val="left" w:pos="2705"/>
        </w:tabs>
        <w:spacing w:line="285" w:lineRule="auto"/>
        <w:ind w:right="865"/>
        <w:rPr>
          <w:sz w:val="20"/>
        </w:rPr>
      </w:pPr>
      <w:r>
        <w:rPr>
          <w:sz w:val="20"/>
        </w:rPr>
        <w:t>de rättigheter som följer av konstitutionen, Europeiska unionens stadga om de grundläggande rättigheterna, den europeiska konventionen om skydd för de mänskliga rättighete</w:t>
      </w:r>
      <w:r>
        <w:rPr>
          <w:sz w:val="20"/>
        </w:rPr>
        <w:t>rna och de grundläggande friheterna i den mån de är tillämpliga enligt 2003 års lag om den europeiska konventionen om skydd för de mänskliga rättigheterna och de grundläggande friheterna och EU-fördragen.</w:t>
      </w:r>
    </w:p>
    <w:p w14:paraId="278629B9" w14:textId="77777777" w:rsidR="0006113D" w:rsidRDefault="0006113D">
      <w:pPr>
        <w:pStyle w:val="BodyText"/>
        <w:spacing w:before="19"/>
      </w:pPr>
    </w:p>
    <w:p w14:paraId="60FB54FA" w14:textId="77777777" w:rsidR="0006113D" w:rsidRDefault="000613C4">
      <w:pPr>
        <w:pStyle w:val="ListParagraph"/>
        <w:numPr>
          <w:ilvl w:val="1"/>
          <w:numId w:val="14"/>
        </w:numPr>
        <w:tabs>
          <w:tab w:val="left" w:pos="1853"/>
        </w:tabs>
        <w:spacing w:line="292" w:lineRule="auto"/>
        <w:ind w:right="870" w:hanging="850"/>
        <w:rPr>
          <w:sz w:val="20"/>
        </w:rPr>
      </w:pPr>
      <w:r>
        <w:rPr>
          <w:sz w:val="20"/>
        </w:rPr>
        <w:t>Vid tolkning och tillämpning av föreskrifterna och</w:t>
      </w:r>
      <w:r>
        <w:rPr>
          <w:sz w:val="20"/>
        </w:rPr>
        <w:t xml:space="preserve"> reglerna kommer kommissionen att ta vederbörlig hänsyn till:</w:t>
      </w:r>
    </w:p>
    <w:p w14:paraId="24F7F28F" w14:textId="77777777" w:rsidR="0006113D" w:rsidRDefault="0006113D">
      <w:pPr>
        <w:pStyle w:val="BodyText"/>
        <w:spacing w:before="49"/>
      </w:pPr>
    </w:p>
    <w:p w14:paraId="57211577" w14:textId="77777777" w:rsidR="0006113D" w:rsidRDefault="000613C4">
      <w:pPr>
        <w:pStyle w:val="ListParagraph"/>
        <w:numPr>
          <w:ilvl w:val="2"/>
          <w:numId w:val="14"/>
        </w:numPr>
        <w:tabs>
          <w:tab w:val="left" w:pos="2705"/>
        </w:tabs>
        <w:spacing w:line="285" w:lineRule="auto"/>
        <w:ind w:right="864"/>
        <w:rPr>
          <w:sz w:val="20"/>
        </w:rPr>
      </w:pPr>
      <w:r>
        <w:rPr>
          <w:sz w:val="20"/>
        </w:rPr>
        <w:t>Statens ratificering av FN:s konvention om rättigheter för personer med funktionsnedsättning, särskilt artiklarna 9 (Tillgänglighet), 21 (Yttrandefrihet) och 30 (Deltagande i kulturliv, rekreat</w:t>
      </w:r>
      <w:r>
        <w:rPr>
          <w:sz w:val="20"/>
        </w:rPr>
        <w:t>ion, fritidsverksamhet och idrott).</w:t>
      </w:r>
    </w:p>
    <w:p w14:paraId="2B4154F1" w14:textId="77777777" w:rsidR="0006113D" w:rsidRDefault="0006113D">
      <w:pPr>
        <w:pStyle w:val="BodyText"/>
        <w:spacing w:before="57"/>
      </w:pPr>
    </w:p>
    <w:p w14:paraId="04646BCF" w14:textId="77777777" w:rsidR="0006113D" w:rsidRDefault="000613C4">
      <w:pPr>
        <w:pStyle w:val="ListParagraph"/>
        <w:numPr>
          <w:ilvl w:val="2"/>
          <w:numId w:val="14"/>
        </w:numPr>
        <w:tabs>
          <w:tab w:val="left" w:pos="2705"/>
        </w:tabs>
        <w:spacing w:line="283" w:lineRule="auto"/>
        <w:ind w:right="858"/>
        <w:rPr>
          <w:sz w:val="20"/>
        </w:rPr>
      </w:pPr>
      <w:r>
        <w:rPr>
          <w:sz w:val="20"/>
        </w:rPr>
        <w:t>Bestämmelserna i det europeiska tillgänglighetsdirektivet och S.I. nr 636/2023 – 2023 års föreskrifter om Europeiska unionen (tillgänglighetskrav för produkter och tjänster) (planeras träda i kraft den 28 juni 2025).</w:t>
      </w:r>
    </w:p>
    <w:p w14:paraId="1B8897E7" w14:textId="77777777" w:rsidR="0006113D" w:rsidRDefault="000613C4">
      <w:pPr>
        <w:pStyle w:val="Heading2"/>
        <w:spacing w:before="212"/>
        <w:ind w:left="1853"/>
        <w:rPr>
          <w:rFonts w:ascii="Arial"/>
        </w:rPr>
      </w:pPr>
      <w:bookmarkStart w:id="7" w:name="_Toc184721783"/>
      <w:r>
        <w:rPr>
          <w:rFonts w:ascii="Arial"/>
          <w:color w:val="391200"/>
        </w:rPr>
        <w:t>Al</w:t>
      </w:r>
      <w:r>
        <w:rPr>
          <w:rFonts w:ascii="Arial"/>
          <w:color w:val="391200"/>
        </w:rPr>
        <w:t>lm</w:t>
      </w:r>
      <w:r>
        <w:rPr>
          <w:rFonts w:ascii="Arial"/>
          <w:color w:val="391200"/>
        </w:rPr>
        <w:t>ä</w:t>
      </w:r>
      <w:r>
        <w:rPr>
          <w:rFonts w:ascii="Arial"/>
          <w:color w:val="391200"/>
        </w:rPr>
        <w:t>nna lagstadgade m</w:t>
      </w:r>
      <w:r>
        <w:rPr>
          <w:rFonts w:ascii="Arial"/>
          <w:color w:val="391200"/>
        </w:rPr>
        <w:t>å</w:t>
      </w:r>
      <w:r>
        <w:rPr>
          <w:rFonts w:ascii="Arial"/>
          <w:color w:val="391200"/>
        </w:rPr>
        <w:t>l och funktioner</w:t>
      </w:r>
      <w:bookmarkEnd w:id="7"/>
    </w:p>
    <w:p w14:paraId="62383921" w14:textId="77777777" w:rsidR="0006113D" w:rsidRDefault="000613C4">
      <w:pPr>
        <w:pStyle w:val="ListParagraph"/>
        <w:numPr>
          <w:ilvl w:val="1"/>
          <w:numId w:val="14"/>
        </w:numPr>
        <w:tabs>
          <w:tab w:val="left" w:pos="1853"/>
        </w:tabs>
        <w:spacing w:before="156" w:line="292" w:lineRule="auto"/>
        <w:ind w:right="811" w:hanging="850"/>
        <w:rPr>
          <w:sz w:val="20"/>
        </w:rPr>
      </w:pPr>
      <w:r>
        <w:rPr>
          <w:sz w:val="20"/>
        </w:rPr>
        <w:t>I avsnitt 7.2 i lagen föreskrivs att kommissionen vid fullgörandet av sina uppgifter ska sträva efter att säkerställa att de demokratiska värdena i konstitutionen, särskilt de som rör yttrandefrihet, respekteras och at</w:t>
      </w:r>
      <w:r>
        <w:rPr>
          <w:sz w:val="20"/>
        </w:rPr>
        <w:t>t allmänhetens intressen, inbegripet barns intressen, skyddas, med särskilt engagemang för barns säkerhet. Kommissionen ska också sträva efter att säkerställa att kommissionens politik när det gäller audiovisuella medietjänster på begäran på bästa sätt til</w:t>
      </w:r>
      <w:r>
        <w:rPr>
          <w:sz w:val="20"/>
        </w:rPr>
        <w:t>lgodoser behoven hos befolkningen på ön Irland när det gäller personer med funktionsnedsättning och deras krav på tillgänglighet till dessa tjänster.</w:t>
      </w:r>
    </w:p>
    <w:p w14:paraId="21F49A61" w14:textId="77777777" w:rsidR="0006113D" w:rsidRDefault="0006113D">
      <w:pPr>
        <w:pStyle w:val="BodyText"/>
        <w:spacing w:before="7"/>
      </w:pPr>
    </w:p>
    <w:p w14:paraId="3FD34A96" w14:textId="77777777" w:rsidR="0006113D" w:rsidRDefault="000613C4">
      <w:pPr>
        <w:pStyle w:val="ListParagraph"/>
        <w:numPr>
          <w:ilvl w:val="1"/>
          <w:numId w:val="14"/>
        </w:numPr>
        <w:tabs>
          <w:tab w:val="left" w:pos="1850"/>
          <w:tab w:val="left" w:pos="1853"/>
        </w:tabs>
        <w:spacing w:line="292" w:lineRule="auto"/>
        <w:ind w:right="864" w:hanging="850"/>
        <w:jc w:val="both"/>
        <w:rPr>
          <w:sz w:val="20"/>
        </w:rPr>
      </w:pPr>
      <w:r>
        <w:rPr>
          <w:sz w:val="20"/>
        </w:rPr>
        <w:t>Dessutom måste kommissionen sträva efter att se till att dess regleringssystem i) tar upp programmaterial och annat innehåll som är skadligt eller olagligt, ii) tar hänsyn till tekniska och samhälleliga förändringar, och iii) agerar proportionerligt, konse</w:t>
      </w:r>
      <w:r>
        <w:rPr>
          <w:sz w:val="20"/>
        </w:rPr>
        <w:t xml:space="preserve">kvent och rättvist.  </w:t>
      </w:r>
    </w:p>
    <w:p w14:paraId="27E1440B" w14:textId="77777777" w:rsidR="0006113D" w:rsidRDefault="0006113D">
      <w:pPr>
        <w:pStyle w:val="BodyText"/>
        <w:spacing w:before="47"/>
      </w:pPr>
    </w:p>
    <w:p w14:paraId="07FC34E3" w14:textId="77777777" w:rsidR="0006113D" w:rsidRDefault="000613C4">
      <w:pPr>
        <w:pStyle w:val="ListParagraph"/>
        <w:numPr>
          <w:ilvl w:val="1"/>
          <w:numId w:val="14"/>
        </w:numPr>
        <w:tabs>
          <w:tab w:val="left" w:pos="1853"/>
        </w:tabs>
        <w:ind w:hanging="850"/>
        <w:rPr>
          <w:sz w:val="20"/>
        </w:rPr>
      </w:pPr>
      <w:r>
        <w:rPr>
          <w:sz w:val="20"/>
        </w:rPr>
        <w:t>I avsnitt 7.3 i lagen föreskrivs dessutom att kommissionen bland annat ska:</w:t>
      </w:r>
    </w:p>
    <w:p w14:paraId="7185A89A" w14:textId="77777777" w:rsidR="0006113D" w:rsidRDefault="0006113D">
      <w:pPr>
        <w:pStyle w:val="BodyText"/>
        <w:spacing w:before="61"/>
      </w:pPr>
    </w:p>
    <w:p w14:paraId="2FA2085E" w14:textId="77777777" w:rsidR="0006113D" w:rsidRDefault="000613C4">
      <w:pPr>
        <w:pStyle w:val="ListParagraph"/>
        <w:numPr>
          <w:ilvl w:val="2"/>
          <w:numId w:val="14"/>
        </w:numPr>
        <w:tabs>
          <w:tab w:val="left" w:pos="2705"/>
        </w:tabs>
        <w:spacing w:line="271" w:lineRule="auto"/>
        <w:ind w:right="868"/>
        <w:rPr>
          <w:sz w:val="20"/>
        </w:rPr>
      </w:pPr>
      <w:r>
        <w:rPr>
          <w:sz w:val="20"/>
        </w:rPr>
        <w:t>stimulera tillhandahållandet av högkvalitativa, diversifierade och innovativa program från leverantörer av audiovisuella medietjänster på begäran,</w:t>
      </w:r>
    </w:p>
    <w:p w14:paraId="7627D1B1" w14:textId="77777777" w:rsidR="0006113D" w:rsidRDefault="0006113D">
      <w:pPr>
        <w:pStyle w:val="BodyText"/>
        <w:spacing w:before="32"/>
      </w:pPr>
    </w:p>
    <w:p w14:paraId="70A46171" w14:textId="77777777" w:rsidR="0006113D" w:rsidRDefault="000613C4">
      <w:pPr>
        <w:pStyle w:val="ListParagraph"/>
        <w:numPr>
          <w:ilvl w:val="2"/>
          <w:numId w:val="14"/>
        </w:numPr>
        <w:tabs>
          <w:tab w:val="left" w:pos="2705"/>
        </w:tabs>
        <w:spacing w:before="1" w:line="271" w:lineRule="auto"/>
        <w:ind w:right="866"/>
        <w:rPr>
          <w:sz w:val="20"/>
        </w:rPr>
      </w:pPr>
      <w:r>
        <w:rPr>
          <w:sz w:val="20"/>
        </w:rPr>
        <w:t>främja o</w:t>
      </w:r>
      <w:r>
        <w:rPr>
          <w:sz w:val="20"/>
        </w:rPr>
        <w:t>ch uppmuntra miljömässig hållbarhet i strategier och praxis hos leverantörer av audiovisuella medietjänster på begäran,</w:t>
      </w:r>
    </w:p>
    <w:p w14:paraId="6D3B2CDA" w14:textId="77777777" w:rsidR="0006113D" w:rsidRDefault="0006113D">
      <w:pPr>
        <w:pStyle w:val="BodyText"/>
        <w:spacing w:before="31"/>
      </w:pPr>
    </w:p>
    <w:p w14:paraId="12348A54" w14:textId="77777777" w:rsidR="0006113D" w:rsidRDefault="000613C4">
      <w:pPr>
        <w:pStyle w:val="ListParagraph"/>
        <w:numPr>
          <w:ilvl w:val="2"/>
          <w:numId w:val="14"/>
        </w:numPr>
        <w:tabs>
          <w:tab w:val="left" w:pos="2705"/>
        </w:tabs>
        <w:spacing w:line="271" w:lineRule="auto"/>
        <w:ind w:right="862"/>
        <w:rPr>
          <w:sz w:val="20"/>
        </w:rPr>
      </w:pPr>
      <w:r>
        <w:rPr>
          <w:sz w:val="20"/>
        </w:rPr>
        <w:t xml:space="preserve">delta i evidensbaserat beslutsfattande i utövandet av sina uppgifter och främja </w:t>
      </w:r>
      <w:r>
        <w:rPr>
          <w:sz w:val="20"/>
        </w:rPr>
        <w:lastRenderedPageBreak/>
        <w:t>evidensbaserat beslutsfattande hos dem som den samråder</w:t>
      </w:r>
      <w:r>
        <w:rPr>
          <w:sz w:val="20"/>
        </w:rPr>
        <w:t xml:space="preserve"> med,</w:t>
      </w:r>
    </w:p>
    <w:p w14:paraId="04AB77FC" w14:textId="77777777" w:rsidR="0006113D" w:rsidRDefault="0006113D">
      <w:pPr>
        <w:pStyle w:val="BodyText"/>
        <w:spacing w:before="34"/>
      </w:pPr>
    </w:p>
    <w:p w14:paraId="53F0E801" w14:textId="12E3FC79" w:rsidR="0006113D" w:rsidRPr="003C0382" w:rsidRDefault="000613C4" w:rsidP="003C0382">
      <w:pPr>
        <w:pStyle w:val="ListParagraph"/>
        <w:numPr>
          <w:ilvl w:val="2"/>
          <w:numId w:val="14"/>
        </w:numPr>
        <w:tabs>
          <w:tab w:val="left" w:pos="2705"/>
        </w:tabs>
        <w:spacing w:before="79" w:line="280" w:lineRule="auto"/>
        <w:ind w:right="866"/>
        <w:rPr>
          <w:sz w:val="20"/>
        </w:rPr>
      </w:pPr>
      <w:r>
        <w:rPr>
          <w:sz w:val="20"/>
        </w:rPr>
        <w:t>främja efterlevnaden av bestämmelserna i lagen och bestämmelserna i alla lagar, bestämmelser eller andra författningar som utfärdats med stöd av lagen, på det sätt som kommissionen anser lämpligt, bland annat genom att offentliggöra riktlinjer för h</w:t>
      </w:r>
      <w:r>
        <w:rPr>
          <w:sz w:val="20"/>
        </w:rPr>
        <w:t>ur dessa bestämmelser kan följas.</w:t>
      </w:r>
    </w:p>
    <w:p w14:paraId="5C01461A" w14:textId="77777777" w:rsidR="0006113D" w:rsidRDefault="0006113D">
      <w:pPr>
        <w:pStyle w:val="BodyText"/>
        <w:spacing w:before="59"/>
      </w:pPr>
    </w:p>
    <w:p w14:paraId="37EB482F" w14:textId="77777777" w:rsidR="0006113D" w:rsidRDefault="000613C4">
      <w:pPr>
        <w:pStyle w:val="ListParagraph"/>
        <w:numPr>
          <w:ilvl w:val="1"/>
          <w:numId w:val="14"/>
        </w:numPr>
        <w:tabs>
          <w:tab w:val="left" w:pos="1850"/>
          <w:tab w:val="left" w:pos="1853"/>
        </w:tabs>
        <w:spacing w:line="292" w:lineRule="auto"/>
        <w:ind w:right="811" w:hanging="850"/>
        <w:jc w:val="both"/>
        <w:rPr>
          <w:sz w:val="20"/>
        </w:rPr>
      </w:pPr>
      <w:r>
        <w:rPr>
          <w:sz w:val="20"/>
        </w:rPr>
        <w:t xml:space="preserve">Enligt avsnitt 7.4 i lagen ska kommissionen vid fullgörandet av sina uppgifter beakta barns säkerhet och offentliggjorda riktlinjer från ministern för barn-, jämlikhets-, handikapp-, integrations- och ungdomsfrågor i denna fråga, regleringen av hasardspel </w:t>
      </w:r>
      <w:r>
        <w:rPr>
          <w:sz w:val="20"/>
        </w:rPr>
        <w:t>och justitieministerns offentliggjorda politik i denna fråga, klimatförändringar och miljömässig hållbarhet, och offentliggjorda riktlinjer från ministern för miljö-, klimat- och kommunikation i denna fråga, samt regeringens offentliggjorda riktlinjer i nå</w:t>
      </w:r>
      <w:r>
        <w:rPr>
          <w:sz w:val="20"/>
        </w:rPr>
        <w:t>gon av dessa frågor.</w:t>
      </w:r>
    </w:p>
    <w:p w14:paraId="583D0CC3" w14:textId="77777777" w:rsidR="0006113D" w:rsidRDefault="000613C4">
      <w:pPr>
        <w:pStyle w:val="Heading2"/>
        <w:spacing w:before="198"/>
        <w:ind w:left="1853"/>
        <w:rPr>
          <w:rFonts w:ascii="Arial"/>
        </w:rPr>
      </w:pPr>
      <w:bookmarkStart w:id="8" w:name="_Toc184721784"/>
      <w:r>
        <w:rPr>
          <w:rFonts w:ascii="Arial"/>
          <w:color w:val="391200"/>
        </w:rPr>
        <w:t>S</w:t>
      </w:r>
      <w:r>
        <w:rPr>
          <w:rFonts w:ascii="Arial"/>
          <w:color w:val="391200"/>
        </w:rPr>
        <w:t>ä</w:t>
      </w:r>
      <w:r>
        <w:rPr>
          <w:rFonts w:ascii="Arial"/>
          <w:color w:val="391200"/>
        </w:rPr>
        <w:t>rskilda lagstadgade m</w:t>
      </w:r>
      <w:r>
        <w:rPr>
          <w:rFonts w:ascii="Arial"/>
          <w:color w:val="391200"/>
        </w:rPr>
        <w:t>å</w:t>
      </w:r>
      <w:r>
        <w:rPr>
          <w:rFonts w:ascii="Arial"/>
          <w:color w:val="391200"/>
        </w:rPr>
        <w:t>l</w:t>
      </w:r>
      <w:bookmarkEnd w:id="8"/>
    </w:p>
    <w:p w14:paraId="391F7EF0" w14:textId="77777777" w:rsidR="0006113D" w:rsidRDefault="000613C4">
      <w:pPr>
        <w:pStyle w:val="ListParagraph"/>
        <w:numPr>
          <w:ilvl w:val="1"/>
          <w:numId w:val="14"/>
        </w:numPr>
        <w:tabs>
          <w:tab w:val="left" w:pos="1850"/>
          <w:tab w:val="left" w:pos="1853"/>
        </w:tabs>
        <w:spacing w:before="159" w:line="292" w:lineRule="auto"/>
        <w:ind w:right="858" w:hanging="850"/>
        <w:jc w:val="both"/>
        <w:rPr>
          <w:sz w:val="20"/>
        </w:rPr>
      </w:pPr>
      <w:r>
        <w:rPr>
          <w:sz w:val="20"/>
        </w:rPr>
        <w:t xml:space="preserve">Enligt avsnitt 46N.5 och 46O.9 i lagen är syftet med föreskrifterna och reglerna att säkerställa att leverantörer av medietjänster som tillhandahåller audiovisuella medietjänster på begäran och som står under </w:t>
      </w:r>
      <w:r>
        <w:rPr>
          <w:sz w:val="20"/>
        </w:rPr>
        <w:t>statens jurisdiktion uppfyller kraven i artiklarna 5, 6.1, 6a.</w:t>
      </w:r>
      <w:proofErr w:type="gramStart"/>
      <w:r>
        <w:rPr>
          <w:sz w:val="20"/>
        </w:rPr>
        <w:t>1–6a</w:t>
      </w:r>
      <w:proofErr w:type="gramEnd"/>
      <w:r>
        <w:rPr>
          <w:sz w:val="20"/>
        </w:rPr>
        <w:t>.3, 7, 8, 9, 10 och 11 i direktivet om audiovisuella medietjänster.</w:t>
      </w:r>
    </w:p>
    <w:p w14:paraId="08559ED3" w14:textId="77777777" w:rsidR="0006113D" w:rsidRDefault="0006113D">
      <w:pPr>
        <w:pStyle w:val="BodyText"/>
        <w:spacing w:before="63"/>
      </w:pPr>
    </w:p>
    <w:p w14:paraId="57BAABC4" w14:textId="77777777" w:rsidR="0006113D" w:rsidRDefault="000613C4">
      <w:pPr>
        <w:pStyle w:val="Heading1"/>
        <w:numPr>
          <w:ilvl w:val="0"/>
          <w:numId w:val="13"/>
        </w:numPr>
        <w:tabs>
          <w:tab w:val="left" w:pos="1853"/>
        </w:tabs>
        <w:jc w:val="left"/>
        <w:rPr>
          <w:color w:val="391200"/>
        </w:rPr>
      </w:pPr>
      <w:bookmarkStart w:id="9" w:name="_Toc184721785"/>
      <w:r>
        <w:rPr>
          <w:color w:val="391200"/>
        </w:rPr>
        <w:t>Avgränsning</w:t>
      </w:r>
      <w:bookmarkEnd w:id="9"/>
    </w:p>
    <w:p w14:paraId="2F5C5100" w14:textId="77777777" w:rsidR="0006113D" w:rsidRDefault="000613C4">
      <w:pPr>
        <w:pStyle w:val="ListParagraph"/>
        <w:numPr>
          <w:ilvl w:val="1"/>
          <w:numId w:val="13"/>
        </w:numPr>
        <w:tabs>
          <w:tab w:val="left" w:pos="1850"/>
          <w:tab w:val="left" w:pos="1853"/>
        </w:tabs>
        <w:spacing w:before="276" w:line="292" w:lineRule="auto"/>
        <w:ind w:right="858"/>
        <w:jc w:val="both"/>
        <w:rPr>
          <w:sz w:val="20"/>
        </w:rPr>
      </w:pPr>
      <w:r>
        <w:rPr>
          <w:sz w:val="20"/>
        </w:rPr>
        <w:t>Om någon bestämmelse i föreskrifterna och reglerna befinns vara rättsstridig, ogiltig, förbjuden, omöjlig att</w:t>
      </w:r>
      <w:r>
        <w:rPr>
          <w:sz w:val="20"/>
        </w:rPr>
        <w:t xml:space="preserve"> verkställa eller tillämpas (antingen generellt eller med avseende på en viss leverantör av medietjänster) på grundval av någon lag (inbegripet konstitutionen och europeisk rätt), ska ett sådant konstaterande inte påverka lagligheten, giltigheten, verkstäl</w:t>
      </w:r>
      <w:r>
        <w:rPr>
          <w:sz w:val="20"/>
        </w:rPr>
        <w:t xml:space="preserve">ligheten eller tillämpligheten av någon annan bestämmelse i föreskrifterna och reglerna eller en del därav, såvida inte konstaterandet förklaras vara tillämpligt på en sådan annan bestämmelse eller del av den, eller samma är föremål för det rättsmedel som </w:t>
      </w:r>
      <w:r>
        <w:rPr>
          <w:sz w:val="20"/>
        </w:rPr>
        <w:t>beviljats av en domstol.</w:t>
      </w:r>
    </w:p>
    <w:p w14:paraId="039C3BD4" w14:textId="77777777" w:rsidR="0006113D" w:rsidRDefault="0006113D">
      <w:pPr>
        <w:pStyle w:val="BodyText"/>
        <w:spacing w:before="48"/>
      </w:pPr>
    </w:p>
    <w:p w14:paraId="1BAFEACA" w14:textId="77777777" w:rsidR="0006113D" w:rsidRDefault="000613C4">
      <w:pPr>
        <w:pStyle w:val="ListParagraph"/>
        <w:numPr>
          <w:ilvl w:val="1"/>
          <w:numId w:val="13"/>
        </w:numPr>
        <w:tabs>
          <w:tab w:val="left" w:pos="1850"/>
          <w:tab w:val="left" w:pos="1853"/>
        </w:tabs>
        <w:spacing w:line="292" w:lineRule="auto"/>
        <w:ind w:right="858"/>
        <w:jc w:val="both"/>
        <w:rPr>
          <w:sz w:val="20"/>
        </w:rPr>
      </w:pPr>
      <w:r>
        <w:rPr>
          <w:sz w:val="20"/>
        </w:rPr>
        <w:t xml:space="preserve">Utan att det påverkar tillämpningen av ovanstående ska alla andra bestämmelser och/eller delar av föreskrifterna och reglerna förbli fullt effektiva, tillämpliga och </w:t>
      </w:r>
      <w:proofErr w:type="spellStart"/>
      <w:r>
        <w:rPr>
          <w:sz w:val="20"/>
        </w:rPr>
        <w:t>verkställiga</w:t>
      </w:r>
      <w:proofErr w:type="spellEnd"/>
      <w:r>
        <w:rPr>
          <w:sz w:val="20"/>
        </w:rPr>
        <w:t xml:space="preserve">. I den mån det är nödvändigt ska alla bestämmelser </w:t>
      </w:r>
      <w:r>
        <w:rPr>
          <w:sz w:val="20"/>
        </w:rPr>
        <w:t>eller delar av föreskrifterna och reglerna som befunnits vara rättsstridiga, ogiltiga, förbjudna, omöjliga att verkställa eller tillämpa, avgränsas från föreskrifterna och reglerna.</w:t>
      </w:r>
    </w:p>
    <w:p w14:paraId="46CF18C1" w14:textId="77777777" w:rsidR="0006113D" w:rsidRDefault="0006113D">
      <w:pPr>
        <w:pStyle w:val="BodyText"/>
        <w:spacing w:before="142"/>
      </w:pPr>
    </w:p>
    <w:p w14:paraId="11F587FF" w14:textId="77777777" w:rsidR="0006113D" w:rsidRDefault="000613C4">
      <w:pPr>
        <w:pStyle w:val="Heading1"/>
        <w:numPr>
          <w:ilvl w:val="0"/>
          <w:numId w:val="13"/>
        </w:numPr>
        <w:tabs>
          <w:tab w:val="left" w:pos="1853"/>
        </w:tabs>
        <w:jc w:val="left"/>
        <w:rPr>
          <w:color w:val="391200"/>
        </w:rPr>
      </w:pPr>
      <w:bookmarkStart w:id="10" w:name="_Toc184721786"/>
      <w:r>
        <w:rPr>
          <w:color w:val="391200"/>
        </w:rPr>
        <w:t>Undantag</w:t>
      </w:r>
      <w:bookmarkEnd w:id="10"/>
    </w:p>
    <w:p w14:paraId="136EF9FC" w14:textId="77777777" w:rsidR="0006113D" w:rsidRDefault="000613C4">
      <w:pPr>
        <w:pStyle w:val="ListParagraph"/>
        <w:numPr>
          <w:ilvl w:val="1"/>
          <w:numId w:val="13"/>
        </w:numPr>
        <w:tabs>
          <w:tab w:val="left" w:pos="1850"/>
          <w:tab w:val="left" w:pos="1853"/>
        </w:tabs>
        <w:spacing w:before="278" w:line="292" w:lineRule="auto"/>
        <w:ind w:right="863"/>
        <w:jc w:val="both"/>
        <w:rPr>
          <w:sz w:val="20"/>
        </w:rPr>
      </w:pPr>
      <w:r>
        <w:rPr>
          <w:sz w:val="20"/>
        </w:rPr>
        <w:t>Det faktum att kommissionen inte svarar på eller kommenterar någ</w:t>
      </w:r>
      <w:r>
        <w:rPr>
          <w:sz w:val="20"/>
        </w:rPr>
        <w:t>on inlämning, bedömning, förslag, rapport, förenlighetsförklaring eller någon motsvarande handling som lämnats in av en leverantör av audiovisuella medietjänster på begäran och som ingår i det register över leverantörer av audiovisuella medietjänster på be</w:t>
      </w:r>
      <w:r>
        <w:rPr>
          <w:sz w:val="20"/>
        </w:rPr>
        <w:t xml:space="preserve">gäran som upprättats av kommissionen i enlighet med lagen ska inte anses vara ett godtagande </w:t>
      </w:r>
      <w:r>
        <w:rPr>
          <w:sz w:val="20"/>
        </w:rPr>
        <w:lastRenderedPageBreak/>
        <w:t>eller godkännande av innehållet i någon del av samma ämne och ska inte innebära att leverantören av medietjänster har uppfyllt sina skyldigheter enligt lagen och/e</w:t>
      </w:r>
      <w:r>
        <w:rPr>
          <w:sz w:val="20"/>
        </w:rPr>
        <w:t>ller föreskrifterna och reglerna.</w:t>
      </w:r>
    </w:p>
    <w:p w14:paraId="237902CE" w14:textId="77777777" w:rsidR="0006113D" w:rsidRDefault="0006113D">
      <w:pPr>
        <w:pStyle w:val="BodyText"/>
        <w:spacing w:before="46"/>
      </w:pPr>
    </w:p>
    <w:p w14:paraId="746D4C89" w14:textId="77777777" w:rsidR="0006113D" w:rsidRDefault="000613C4">
      <w:pPr>
        <w:pStyle w:val="ListParagraph"/>
        <w:numPr>
          <w:ilvl w:val="1"/>
          <w:numId w:val="13"/>
        </w:numPr>
        <w:tabs>
          <w:tab w:val="left" w:pos="1850"/>
          <w:tab w:val="left" w:pos="1853"/>
        </w:tabs>
        <w:spacing w:line="292" w:lineRule="auto"/>
        <w:ind w:right="864"/>
        <w:jc w:val="both"/>
        <w:rPr>
          <w:sz w:val="20"/>
        </w:rPr>
      </w:pPr>
      <w:r>
        <w:rPr>
          <w:sz w:val="20"/>
        </w:rPr>
        <w:t xml:space="preserve">Utan att det påverkar ovanstående får det faktum att kommissionen inte svarar eller kommenterar en sådan handling inte skapa en </w:t>
      </w:r>
      <w:proofErr w:type="spellStart"/>
      <w:r>
        <w:rPr>
          <w:sz w:val="20"/>
        </w:rPr>
        <w:t>estoppel</w:t>
      </w:r>
      <w:proofErr w:type="spellEnd"/>
      <w:r>
        <w:rPr>
          <w:sz w:val="20"/>
        </w:rPr>
        <w:t xml:space="preserve"> mot eller innebära att kommissionen avstår från någon av sina befogenheter eller rättigheter enligt lagen och/eller för</w:t>
      </w:r>
      <w:r>
        <w:rPr>
          <w:sz w:val="20"/>
        </w:rPr>
        <w:t>eskrifterna och reglerna.</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0613C4">
      <w:pPr>
        <w:pStyle w:val="Heading1"/>
        <w:numPr>
          <w:ilvl w:val="0"/>
          <w:numId w:val="13"/>
        </w:numPr>
        <w:tabs>
          <w:tab w:val="left" w:pos="1853"/>
        </w:tabs>
        <w:spacing w:before="23"/>
        <w:jc w:val="left"/>
        <w:rPr>
          <w:color w:val="391200"/>
        </w:rPr>
      </w:pPr>
      <w:bookmarkStart w:id="11" w:name="_Toc184721787"/>
      <w:r>
        <w:rPr>
          <w:color w:val="391200"/>
        </w:rPr>
        <w:t>Efterlevnad och verkställighet</w:t>
      </w:r>
      <w:bookmarkEnd w:id="11"/>
    </w:p>
    <w:p w14:paraId="2FC609A5" w14:textId="77777777" w:rsidR="0006113D" w:rsidRDefault="000613C4">
      <w:pPr>
        <w:pStyle w:val="ListParagraph"/>
        <w:numPr>
          <w:ilvl w:val="1"/>
          <w:numId w:val="13"/>
        </w:numPr>
        <w:tabs>
          <w:tab w:val="left" w:pos="1850"/>
          <w:tab w:val="left" w:pos="1853"/>
        </w:tabs>
        <w:spacing w:before="278" w:line="292" w:lineRule="auto"/>
        <w:ind w:right="866"/>
        <w:jc w:val="both"/>
        <w:rPr>
          <w:sz w:val="20"/>
        </w:rPr>
      </w:pPr>
      <w:r>
        <w:rPr>
          <w:sz w:val="20"/>
        </w:rPr>
        <w:t>Enligt paragraferna 46N.10 och 46O.11 i lagen ska underlåtenhet av en leverantör av audiovisuella medietjänster att följa föreskrifterna eller reglerna utgöra en överträdelse i den mening som avs</w:t>
      </w:r>
      <w:r>
        <w:rPr>
          <w:sz w:val="20"/>
        </w:rPr>
        <w:t>es i del 8B i lagen.</w:t>
      </w:r>
    </w:p>
    <w:p w14:paraId="5B6CBC02" w14:textId="77777777" w:rsidR="0006113D" w:rsidRDefault="0006113D">
      <w:pPr>
        <w:pStyle w:val="BodyText"/>
        <w:spacing w:before="8"/>
      </w:pPr>
    </w:p>
    <w:p w14:paraId="757573FC" w14:textId="77777777" w:rsidR="0006113D" w:rsidRDefault="000613C4">
      <w:pPr>
        <w:pStyle w:val="ListParagraph"/>
        <w:numPr>
          <w:ilvl w:val="1"/>
          <w:numId w:val="13"/>
        </w:numPr>
        <w:tabs>
          <w:tab w:val="left" w:pos="1850"/>
          <w:tab w:val="left" w:pos="1853"/>
        </w:tabs>
        <w:spacing w:line="290" w:lineRule="auto"/>
        <w:ind w:right="866"/>
        <w:jc w:val="both"/>
        <w:rPr>
          <w:sz w:val="20"/>
        </w:rPr>
      </w:pPr>
      <w:r>
        <w:rPr>
          <w:sz w:val="20"/>
        </w:rPr>
        <w:t>En leverantör av audiovisuella medietjänster ska se till att de har inrättat system och kontroller för att visa att skyldigheterna i föreskrifterna och reglerna efterlevs.</w:t>
      </w:r>
    </w:p>
    <w:p w14:paraId="35EF93E4" w14:textId="77777777" w:rsidR="0006113D" w:rsidRDefault="0006113D">
      <w:pPr>
        <w:pStyle w:val="BodyText"/>
        <w:spacing w:before="3"/>
      </w:pPr>
    </w:p>
    <w:p w14:paraId="430969B8" w14:textId="77777777" w:rsidR="0006113D" w:rsidRDefault="000613C4">
      <w:pPr>
        <w:pStyle w:val="ListParagraph"/>
        <w:numPr>
          <w:ilvl w:val="1"/>
          <w:numId w:val="13"/>
        </w:numPr>
        <w:tabs>
          <w:tab w:val="left" w:pos="1850"/>
          <w:tab w:val="left" w:pos="1853"/>
        </w:tabs>
        <w:spacing w:line="292" w:lineRule="auto"/>
        <w:ind w:right="858"/>
        <w:jc w:val="both"/>
        <w:rPr>
          <w:sz w:val="20"/>
        </w:rPr>
      </w:pPr>
      <w:r>
        <w:rPr>
          <w:sz w:val="20"/>
        </w:rPr>
        <w:t>Enligt avsnitt 47.3 i lagen är leverantörer av medietjänster som tillhandahåller audiovisuella medietjänster på begäran skyldiga att utarbeta och genomföra en uppförandekod för hantering av klagomål om att leverantören av medietjänster inte följer föreskri</w:t>
      </w:r>
      <w:r>
        <w:rPr>
          <w:sz w:val="20"/>
        </w:rPr>
        <w:t>fterna för medietjänster eller reglerna för medietjänster.</w:t>
      </w:r>
    </w:p>
    <w:p w14:paraId="5B299427" w14:textId="77777777" w:rsidR="0006113D" w:rsidRDefault="0006113D">
      <w:pPr>
        <w:pStyle w:val="BodyText"/>
        <w:spacing w:before="172"/>
      </w:pPr>
    </w:p>
    <w:p w14:paraId="652593FA" w14:textId="77777777" w:rsidR="0006113D" w:rsidRDefault="000613C4">
      <w:pPr>
        <w:pStyle w:val="Heading1"/>
        <w:numPr>
          <w:ilvl w:val="0"/>
          <w:numId w:val="13"/>
        </w:numPr>
        <w:tabs>
          <w:tab w:val="left" w:pos="1853"/>
        </w:tabs>
        <w:jc w:val="left"/>
        <w:rPr>
          <w:color w:val="391200"/>
        </w:rPr>
      </w:pPr>
      <w:bookmarkStart w:id="12" w:name="_Toc184721788"/>
      <w:r>
        <w:rPr>
          <w:color w:val="391200"/>
        </w:rPr>
        <w:t>Klagomål och information</w:t>
      </w:r>
      <w:bookmarkEnd w:id="12"/>
    </w:p>
    <w:p w14:paraId="6DAAC8AA" w14:textId="77777777" w:rsidR="0006113D" w:rsidRDefault="000613C4">
      <w:pPr>
        <w:pStyle w:val="ListParagraph"/>
        <w:numPr>
          <w:ilvl w:val="1"/>
          <w:numId w:val="13"/>
        </w:numPr>
        <w:tabs>
          <w:tab w:val="left" w:pos="1850"/>
          <w:tab w:val="left" w:pos="1853"/>
        </w:tabs>
        <w:spacing w:before="278" w:line="290" w:lineRule="auto"/>
        <w:ind w:right="857"/>
        <w:jc w:val="both"/>
        <w:rPr>
          <w:sz w:val="20"/>
        </w:rPr>
      </w:pPr>
      <w:r>
        <w:rPr>
          <w:sz w:val="20"/>
        </w:rPr>
        <w:t>En person får framföra klagomål om de anser att en leverantör av medietjänster på begäran inte har följt dessa föreskrifter och regler.</w:t>
      </w:r>
    </w:p>
    <w:p w14:paraId="4BE122B6" w14:textId="77777777" w:rsidR="0006113D" w:rsidRDefault="0006113D">
      <w:pPr>
        <w:pStyle w:val="BodyText"/>
        <w:spacing w:before="53"/>
      </w:pPr>
    </w:p>
    <w:p w14:paraId="16FD6AD3" w14:textId="77777777" w:rsidR="0006113D" w:rsidRDefault="000613C4">
      <w:pPr>
        <w:pStyle w:val="BodyText"/>
        <w:spacing w:before="1" w:line="292" w:lineRule="auto"/>
        <w:ind w:left="1853" w:right="857"/>
        <w:jc w:val="both"/>
      </w:pPr>
      <w:r>
        <w:t>I detta avseende och med beaktande av skyldigheten enligt artikel 7 i direktivet om audiovisuella medietjänster för var</w:t>
      </w:r>
      <w:r>
        <w:t>je medlemsstat i Europeiska unionen att utse en enda, lättillgänglig, även för personer med funktionsnedsättning, och allmänt tillgänglig kontaktpunkt online för tillhandahållande av information och mottagande av klagomål om tillgänglighetsfrågor, har komm</w:t>
      </w:r>
      <w:r>
        <w:t>issionen inrättat ett kontaktcentrum för att hantera frågor och ta emot klagomål om tillgänglighetsfrågor.</w:t>
      </w:r>
    </w:p>
    <w:p w14:paraId="12F7D7CD" w14:textId="77777777" w:rsidR="0006113D" w:rsidRDefault="0006113D">
      <w:pPr>
        <w:pStyle w:val="BodyText"/>
        <w:spacing w:before="45"/>
      </w:pPr>
    </w:p>
    <w:p w14:paraId="491EA153" w14:textId="77777777" w:rsidR="0006113D" w:rsidRDefault="000613C4">
      <w:pPr>
        <w:pStyle w:val="BodyText"/>
        <w:spacing w:line="292" w:lineRule="auto"/>
        <w:ind w:left="1853" w:right="859"/>
        <w:jc w:val="both"/>
      </w:pPr>
      <w:r>
        <w:t>Information om klagomålshanteringsprocessen finns på vår webbplats (</w:t>
      </w:r>
      <w:hyperlink r:id="rId13">
        <w:r>
          <w:rPr>
            <w:color w:val="0000FF"/>
            <w:u w:val="single" w:color="0000FF"/>
          </w:rPr>
          <w:t>www.cnam.ie</w:t>
        </w:r>
      </w:hyperlink>
      <w:r>
        <w:t>) eller så kan du kontakta kon</w:t>
      </w:r>
      <w:r>
        <w:t xml:space="preserve">taktcentrumet för </w:t>
      </w:r>
      <w:proofErr w:type="spellStart"/>
      <w:r>
        <w:t>Coimisiún</w:t>
      </w:r>
      <w:proofErr w:type="spellEnd"/>
      <w:r>
        <w:t xml:space="preserve"> </w:t>
      </w:r>
      <w:proofErr w:type="spellStart"/>
      <w:r>
        <w:t>na</w:t>
      </w:r>
      <w:proofErr w:type="spellEnd"/>
      <w:r>
        <w:t xml:space="preserve"> </w:t>
      </w:r>
      <w:proofErr w:type="spellStart"/>
      <w:r>
        <w:t>Meán</w:t>
      </w:r>
      <w:proofErr w:type="spellEnd"/>
      <w:r>
        <w:t xml:space="preserve"> på + 353 1 963 7755 eller på </w:t>
      </w:r>
      <w:hyperlink r:id="rId14">
        <w:r>
          <w:rPr>
            <w:color w:val="0000FF"/>
            <w:u w:val="single" w:color="0000FF"/>
          </w:rPr>
          <w:t>usersupport@cnam.ie.</w:t>
        </w:r>
      </w:hyperlink>
    </w:p>
    <w:p w14:paraId="371FBC6D" w14:textId="77777777" w:rsidR="0006113D" w:rsidRDefault="0006113D">
      <w:pPr>
        <w:pStyle w:val="BodyText"/>
        <w:spacing w:before="49"/>
      </w:pPr>
    </w:p>
    <w:p w14:paraId="578C822E" w14:textId="19D7E019" w:rsidR="0006113D" w:rsidRDefault="000613C4">
      <w:pPr>
        <w:pStyle w:val="ListParagraph"/>
        <w:numPr>
          <w:ilvl w:val="1"/>
          <w:numId w:val="13"/>
        </w:numPr>
        <w:tabs>
          <w:tab w:val="left" w:pos="1850"/>
          <w:tab w:val="left" w:pos="1853"/>
        </w:tabs>
        <w:spacing w:line="292" w:lineRule="auto"/>
        <w:ind w:right="865"/>
        <w:jc w:val="both"/>
        <w:rPr>
          <w:sz w:val="13"/>
        </w:rPr>
      </w:pPr>
      <w:r>
        <w:rPr>
          <w:sz w:val="20"/>
        </w:rPr>
        <w:t>Kommissionen råder klagande att i första hand lämna in sina klagomål till leverantören av medietjänster på begäran, efterso</w:t>
      </w:r>
      <w:r>
        <w:rPr>
          <w:sz w:val="20"/>
        </w:rPr>
        <w:t xml:space="preserve">m detta är det snabbaste sättet att få ett klagomål </w:t>
      </w:r>
      <w:r>
        <w:rPr>
          <w:sz w:val="20"/>
        </w:rPr>
        <w:lastRenderedPageBreak/>
        <w:t>prövat och besvarat.</w:t>
      </w:r>
      <w:r w:rsidR="003C0382">
        <w:rPr>
          <w:rStyle w:val="FootnoteReference"/>
          <w:sz w:val="20"/>
        </w:rPr>
        <w:footnoteReference w:id="2"/>
      </w:r>
      <w:r>
        <w:rPr>
          <w:sz w:val="13"/>
        </w:rPr>
        <w:t xml:space="preserve"> </w:t>
      </w:r>
    </w:p>
    <w:p w14:paraId="446AFDB8" w14:textId="77777777" w:rsidR="0006113D" w:rsidRDefault="000613C4">
      <w:pPr>
        <w:pStyle w:val="Heading1"/>
        <w:numPr>
          <w:ilvl w:val="0"/>
          <w:numId w:val="13"/>
        </w:numPr>
        <w:tabs>
          <w:tab w:val="left" w:pos="1793"/>
        </w:tabs>
        <w:spacing w:before="141"/>
        <w:ind w:left="1793" w:hanging="790"/>
        <w:jc w:val="left"/>
        <w:rPr>
          <w:color w:val="391200"/>
        </w:rPr>
      </w:pPr>
      <w:bookmarkStart w:id="13" w:name="_Toc184721789"/>
      <w:r>
        <w:rPr>
          <w:color w:val="391200"/>
        </w:rPr>
        <w:t>Vägledning</w:t>
      </w:r>
      <w:bookmarkEnd w:id="13"/>
    </w:p>
    <w:p w14:paraId="579461F8" w14:textId="77777777" w:rsidR="0006113D" w:rsidRDefault="000613C4">
      <w:pPr>
        <w:pStyle w:val="ListParagraph"/>
        <w:numPr>
          <w:ilvl w:val="1"/>
          <w:numId w:val="13"/>
        </w:numPr>
        <w:tabs>
          <w:tab w:val="left" w:pos="1850"/>
          <w:tab w:val="left" w:pos="1853"/>
        </w:tabs>
        <w:spacing w:before="279" w:line="292" w:lineRule="auto"/>
        <w:ind w:right="863"/>
        <w:jc w:val="both"/>
        <w:rPr>
          <w:sz w:val="20"/>
        </w:rPr>
      </w:pPr>
      <w:r>
        <w:rPr>
          <w:sz w:val="20"/>
        </w:rPr>
        <w:t>Kommissionen får ge allmän icke-bindande vägledning avseende bestämmelserna i föreskrifterna och reglerna på begäran eller när det anses nödvändigt. Kommissionen förbehå</w:t>
      </w:r>
      <w:r>
        <w:rPr>
          <w:sz w:val="20"/>
        </w:rPr>
        <w:t>ller sig rätten att offentliggöra och ändra riktlinjer tid efter annan om den anser det lämpligt.</w:t>
      </w:r>
    </w:p>
    <w:p w14:paraId="727F5709" w14:textId="77777777" w:rsidR="0006113D" w:rsidRDefault="0006113D">
      <w:pPr>
        <w:pStyle w:val="BodyText"/>
      </w:pPr>
    </w:p>
    <w:p w14:paraId="0CD34189" w14:textId="77777777" w:rsidR="0006113D" w:rsidRDefault="000613C4">
      <w:pPr>
        <w:pStyle w:val="ListParagraph"/>
        <w:numPr>
          <w:ilvl w:val="1"/>
          <w:numId w:val="13"/>
        </w:numPr>
        <w:tabs>
          <w:tab w:val="left" w:pos="1850"/>
          <w:tab w:val="left" w:pos="1853"/>
        </w:tabs>
        <w:spacing w:before="79" w:line="292" w:lineRule="auto"/>
        <w:ind w:right="858"/>
        <w:jc w:val="both"/>
        <w:rPr>
          <w:sz w:val="20"/>
        </w:rPr>
      </w:pPr>
      <w:r>
        <w:rPr>
          <w:sz w:val="20"/>
        </w:rPr>
        <w:t xml:space="preserve">Begäran om vägledning ska innehålla relevant material som är kopplat till begäran om vägledning. Begäran bör tydligt ange de avsnitt i föreskrifterna och reglerna som den begärande parten anser vara relevanta och ange den specifika fråga som den begärande </w:t>
      </w:r>
      <w:r>
        <w:rPr>
          <w:sz w:val="20"/>
        </w:rPr>
        <w:t>parten vill ha synpunkter på.</w:t>
      </w:r>
    </w:p>
    <w:p w14:paraId="1F85CDAF" w14:textId="77777777" w:rsidR="0006113D" w:rsidRDefault="0006113D">
      <w:pPr>
        <w:pStyle w:val="BodyText"/>
        <w:spacing w:before="47"/>
      </w:pPr>
    </w:p>
    <w:p w14:paraId="6B306CCB" w14:textId="77777777" w:rsidR="0006113D" w:rsidRDefault="000613C4">
      <w:pPr>
        <w:pStyle w:val="ListParagraph"/>
        <w:numPr>
          <w:ilvl w:val="1"/>
          <w:numId w:val="13"/>
        </w:numPr>
        <w:tabs>
          <w:tab w:val="left" w:pos="1850"/>
          <w:tab w:val="left" w:pos="1853"/>
        </w:tabs>
        <w:spacing w:before="1" w:line="292" w:lineRule="auto"/>
        <w:ind w:right="867"/>
        <w:jc w:val="both"/>
        <w:rPr>
          <w:sz w:val="20"/>
        </w:rPr>
      </w:pPr>
      <w:r>
        <w:rPr>
          <w:sz w:val="20"/>
        </w:rPr>
        <w:t>Kommissionen frånsäger sig allt ansvar för beslut (eller konsekvenser av dessa) som fattas efter mottagandet av icke-bindande vägledning från kommissionen.</w:t>
      </w:r>
    </w:p>
    <w:p w14:paraId="3BCA86C1" w14:textId="77777777" w:rsidR="0006113D" w:rsidRDefault="0006113D">
      <w:pPr>
        <w:pStyle w:val="BodyText"/>
        <w:spacing w:before="218"/>
      </w:pPr>
    </w:p>
    <w:p w14:paraId="63A0803D" w14:textId="77777777" w:rsidR="0006113D" w:rsidRDefault="000613C4">
      <w:pPr>
        <w:pStyle w:val="Heading1"/>
        <w:numPr>
          <w:ilvl w:val="0"/>
          <w:numId w:val="13"/>
        </w:numPr>
        <w:tabs>
          <w:tab w:val="left" w:pos="1853"/>
        </w:tabs>
        <w:spacing w:before="1" w:line="206" w:lineRule="auto"/>
        <w:ind w:right="1001"/>
        <w:jc w:val="left"/>
        <w:rPr>
          <w:color w:val="391200"/>
        </w:rPr>
      </w:pPr>
      <w:bookmarkStart w:id="14" w:name="_Toc184721790"/>
      <w:r>
        <w:rPr>
          <w:color w:val="391200"/>
        </w:rPr>
        <w:t>Definitioner – Föreskrifter och regler för medietjänster</w:t>
      </w:r>
      <w:bookmarkEnd w:id="14"/>
    </w:p>
    <w:p w14:paraId="1F64941B" w14:textId="77777777" w:rsidR="0006113D" w:rsidRDefault="000613C4">
      <w:pPr>
        <w:pStyle w:val="BodyText"/>
        <w:spacing w:before="288" w:line="292" w:lineRule="auto"/>
        <w:ind w:left="1853" w:right="866"/>
        <w:jc w:val="both"/>
      </w:pPr>
      <w:r>
        <w:rPr>
          <w:i/>
          <w:iCs/>
        </w:rPr>
        <w:t>tillträdest</w:t>
      </w:r>
      <w:r>
        <w:rPr>
          <w:i/>
          <w:iCs/>
        </w:rPr>
        <w:t>jänster</w:t>
      </w:r>
      <w:r>
        <w:t>: undertextning, bildtextning, teckenspråk (inklusive irländskt teckenspråk när det gäller tjänster som riktar sig till irländsk publik) och ljudbeskrivning enligt definitionen i dessa föreskrifter och regler.</w:t>
      </w:r>
    </w:p>
    <w:p w14:paraId="70929185" w14:textId="77777777" w:rsidR="0006113D" w:rsidRDefault="0006113D">
      <w:pPr>
        <w:pStyle w:val="BodyText"/>
        <w:spacing w:before="8"/>
      </w:pPr>
    </w:p>
    <w:p w14:paraId="41E5809F" w14:textId="77777777" w:rsidR="0006113D" w:rsidRDefault="000613C4">
      <w:pPr>
        <w:pStyle w:val="BodyText"/>
        <w:spacing w:line="292" w:lineRule="auto"/>
        <w:ind w:left="1853" w:right="858"/>
        <w:jc w:val="both"/>
      </w:pPr>
      <w:r>
        <w:rPr>
          <w:i/>
          <w:iCs/>
        </w:rPr>
        <w:t>ljudbeskrivning</w:t>
      </w:r>
      <w:r>
        <w:t xml:space="preserve">: en kommentar som ger </w:t>
      </w:r>
      <w:r>
        <w:t>personer som är synskadade en muntlig beskrivning av vad som händer på skärmen vid ett givet tillfälle. Det ges som ett stöd för att förstå och dra nytta av programmet. Tekniken använder ett andra ljudspår som ger en beskrivning av programmets innehåll och</w:t>
      </w:r>
      <w:r>
        <w:t xml:space="preserve"> effekten på skärmen.</w:t>
      </w:r>
    </w:p>
    <w:p w14:paraId="1C841D6B" w14:textId="77777777" w:rsidR="0006113D" w:rsidRDefault="0006113D">
      <w:pPr>
        <w:pStyle w:val="BodyText"/>
        <w:spacing w:before="7"/>
      </w:pPr>
    </w:p>
    <w:p w14:paraId="13695A8E" w14:textId="77777777" w:rsidR="0006113D" w:rsidRDefault="000613C4">
      <w:pPr>
        <w:pStyle w:val="BodyText"/>
        <w:spacing w:line="292" w:lineRule="auto"/>
        <w:ind w:left="1853" w:right="859"/>
        <w:jc w:val="both"/>
      </w:pPr>
      <w:r>
        <w:rPr>
          <w:i/>
          <w:iCs/>
        </w:rPr>
        <w:t>audiovisuella kommersiella meddelanden</w:t>
      </w:r>
      <w:r>
        <w:t>: ett kommersiellt meddelande som består av bilder med eller utan ljud och som är avsedda att direkt eller indirekt främja varor, tjänster eller anseende hos en fysisk eller juridisk person som b</w:t>
      </w:r>
      <w:r>
        <w:t>edriver ekonomisk verksamhet. Sådana bilder åtföljer eller ingår i ett program eller i en användargenererad video mot betalning eller liknande ersättning eller i form av egenreklam. Till de olika formerna av audiovisuella kommersiella meddelanden hör bland</w:t>
      </w:r>
      <w:r>
        <w:t xml:space="preserve"> annat tv-reklam, sponsring, teleshopping och produktplacering.</w:t>
      </w:r>
    </w:p>
    <w:p w14:paraId="4BC3B467" w14:textId="77777777" w:rsidR="0006113D" w:rsidRDefault="0006113D">
      <w:pPr>
        <w:pStyle w:val="BodyText"/>
        <w:spacing w:before="7"/>
      </w:pPr>
    </w:p>
    <w:p w14:paraId="2DECC3D0" w14:textId="77777777" w:rsidR="0006113D" w:rsidRDefault="000613C4">
      <w:pPr>
        <w:pStyle w:val="Heading3"/>
        <w:rPr>
          <w:b w:val="0"/>
        </w:rPr>
      </w:pPr>
      <w:r>
        <w:rPr>
          <w:b w:val="0"/>
          <w:i/>
          <w:iCs/>
        </w:rPr>
        <w:t>audiovisuell medietjänst</w:t>
      </w:r>
      <w:r>
        <w:rPr>
          <w:b w:val="0"/>
        </w:rPr>
        <w:t>:</w:t>
      </w:r>
    </w:p>
    <w:p w14:paraId="6F20C7B8" w14:textId="77777777" w:rsidR="0006113D" w:rsidRDefault="000613C4">
      <w:pPr>
        <w:pStyle w:val="ListParagraph"/>
        <w:numPr>
          <w:ilvl w:val="0"/>
          <w:numId w:val="12"/>
        </w:numPr>
        <w:tabs>
          <w:tab w:val="left" w:pos="2664"/>
        </w:tabs>
        <w:spacing w:before="168" w:line="285" w:lineRule="auto"/>
        <w:ind w:right="865"/>
        <w:rPr>
          <w:sz w:val="20"/>
        </w:rPr>
      </w:pPr>
      <w:r>
        <w:rPr>
          <w:sz w:val="20"/>
        </w:rPr>
        <w:t>En tjänst i den mening som avses i artiklarna 56 och 57 i fördraget om Europeiska unionens funktionssätt, där –</w:t>
      </w:r>
    </w:p>
    <w:p w14:paraId="579AD0C8" w14:textId="77777777" w:rsidR="0006113D" w:rsidRDefault="000613C4">
      <w:pPr>
        <w:pStyle w:val="ListParagraph"/>
        <w:numPr>
          <w:ilvl w:val="1"/>
          <w:numId w:val="12"/>
        </w:numPr>
        <w:tabs>
          <w:tab w:val="left" w:pos="3310"/>
        </w:tabs>
        <w:spacing w:before="125"/>
        <w:ind w:left="3310" w:hanging="358"/>
        <w:rPr>
          <w:sz w:val="20"/>
        </w:rPr>
      </w:pPr>
      <w:r>
        <w:rPr>
          <w:sz w:val="20"/>
        </w:rPr>
        <w:t>det huvudsakliga syftet med tjänsten, eller</w:t>
      </w:r>
    </w:p>
    <w:p w14:paraId="69487B12" w14:textId="77777777" w:rsidR="0006113D" w:rsidRDefault="000613C4">
      <w:pPr>
        <w:pStyle w:val="ListParagraph"/>
        <w:numPr>
          <w:ilvl w:val="1"/>
          <w:numId w:val="12"/>
        </w:numPr>
        <w:tabs>
          <w:tab w:val="left" w:pos="3309"/>
        </w:tabs>
        <w:spacing w:before="164"/>
        <w:ind w:left="3309" w:hanging="357"/>
        <w:rPr>
          <w:sz w:val="20"/>
        </w:rPr>
      </w:pPr>
      <w:r>
        <w:rPr>
          <w:sz w:val="20"/>
        </w:rPr>
        <w:lastRenderedPageBreak/>
        <w:t>det huvudsakliga syftet eller en särskiljbar del av tjänsten, är</w:t>
      </w:r>
    </w:p>
    <w:p w14:paraId="1CA64964" w14:textId="77777777" w:rsidR="0006113D" w:rsidRDefault="000613C4">
      <w:pPr>
        <w:pStyle w:val="BodyText"/>
        <w:spacing w:before="161" w:line="290" w:lineRule="auto"/>
        <w:ind w:left="2664" w:right="865"/>
        <w:jc w:val="both"/>
      </w:pPr>
      <w:r>
        <w:t>att under redaktionellt ansvar av e</w:t>
      </w:r>
      <w:r>
        <w:t>n leverantör av medietjänster tillhandahålla audiovisuella program till allmänheten via elektroniska kommunikationsnät i informations-, underhållnings- eller utbildningssyfte, eller</w:t>
      </w:r>
    </w:p>
    <w:p w14:paraId="325A51BA" w14:textId="77777777" w:rsidR="0006113D" w:rsidRDefault="000613C4">
      <w:pPr>
        <w:pStyle w:val="ListParagraph"/>
        <w:numPr>
          <w:ilvl w:val="0"/>
          <w:numId w:val="12"/>
        </w:numPr>
        <w:tabs>
          <w:tab w:val="left" w:pos="2602"/>
        </w:tabs>
        <w:spacing w:before="121"/>
        <w:ind w:left="2602" w:hanging="464"/>
        <w:jc w:val="both"/>
        <w:rPr>
          <w:sz w:val="20"/>
        </w:rPr>
      </w:pPr>
      <w:r>
        <w:rPr>
          <w:sz w:val="20"/>
        </w:rPr>
        <w:t>audiovisuella kommersiella meddelanden.</w:t>
      </w:r>
    </w:p>
    <w:p w14:paraId="4DFE2296" w14:textId="77777777" w:rsidR="0006113D" w:rsidRDefault="0006113D">
      <w:pPr>
        <w:pStyle w:val="BodyText"/>
        <w:spacing w:before="60"/>
      </w:pPr>
    </w:p>
    <w:p w14:paraId="2981C26A" w14:textId="77777777" w:rsidR="0006113D" w:rsidRDefault="000613C4">
      <w:pPr>
        <w:pStyle w:val="BodyText"/>
        <w:spacing w:before="1" w:line="292" w:lineRule="auto"/>
        <w:ind w:left="1853" w:right="859"/>
        <w:jc w:val="both"/>
      </w:pPr>
      <w:r>
        <w:rPr>
          <w:i/>
          <w:iCs/>
        </w:rPr>
        <w:t>audiovisuella medietjänster på be</w:t>
      </w:r>
      <w:r>
        <w:rPr>
          <w:i/>
          <w:iCs/>
        </w:rPr>
        <w:t>gäran (tjänst på begäran)</w:t>
      </w:r>
      <w:r>
        <w:t>: en audiovisuell medietjänst som tillhandahålls av en leverantör av medietjänster för att se program vid den tidpunkt som användaren väljer och på egen begäran på grundval av en katalog över program som valts ut av leverantören av</w:t>
      </w:r>
      <w:r>
        <w:t xml:space="preserve"> medietjänster.</w:t>
      </w:r>
    </w:p>
    <w:p w14:paraId="49962F1D" w14:textId="77777777" w:rsidR="0006113D" w:rsidRDefault="0006113D">
      <w:pPr>
        <w:spacing w:line="292" w:lineRule="auto"/>
        <w:jc w:val="both"/>
        <w:rPr>
          <w:lang w:val="el-GR"/>
        </w:rPr>
      </w:pPr>
    </w:p>
    <w:p w14:paraId="567D094F" w14:textId="77777777" w:rsidR="0006113D" w:rsidRDefault="000613C4">
      <w:pPr>
        <w:pStyle w:val="BodyText"/>
        <w:spacing w:before="79" w:line="292" w:lineRule="auto"/>
        <w:ind w:left="1853" w:right="865"/>
        <w:jc w:val="both"/>
      </w:pPr>
      <w:r>
        <w:rPr>
          <w:i/>
          <w:iCs/>
        </w:rPr>
        <w:t>bildtextning</w:t>
      </w:r>
      <w:r>
        <w:t xml:space="preserve">: betyder text på skärmen som återges vad som sägs på skärmen. </w:t>
      </w:r>
      <w:r>
        <w:t>Även om det liknar undertextning är det dock inte lika sofistikerat och innebär en mer grundläggande återgivning av vad som sägs på skärmen, ibland med en enda färg, ordagrant och endast kan ha texten i versaler.</w:t>
      </w:r>
    </w:p>
    <w:p w14:paraId="15DB01AE" w14:textId="77777777" w:rsidR="0006113D" w:rsidRDefault="0006113D">
      <w:pPr>
        <w:pStyle w:val="BodyText"/>
        <w:spacing w:before="47"/>
      </w:pPr>
    </w:p>
    <w:p w14:paraId="0DDC2BDB" w14:textId="77777777" w:rsidR="0006113D" w:rsidRDefault="000613C4">
      <w:pPr>
        <w:spacing w:before="1"/>
        <w:ind w:left="1853"/>
        <w:jc w:val="both"/>
        <w:rPr>
          <w:sz w:val="20"/>
        </w:rPr>
      </w:pPr>
      <w:r>
        <w:rPr>
          <w:i/>
          <w:iCs/>
          <w:sz w:val="20"/>
        </w:rPr>
        <w:t>barn</w:t>
      </w:r>
      <w:r>
        <w:rPr>
          <w:sz w:val="20"/>
        </w:rPr>
        <w:t>: en eller flera personer under 18 år.</w:t>
      </w:r>
    </w:p>
    <w:p w14:paraId="528B3A83" w14:textId="77777777" w:rsidR="0006113D" w:rsidRDefault="0006113D">
      <w:pPr>
        <w:pStyle w:val="BodyText"/>
        <w:spacing w:before="60"/>
      </w:pPr>
    </w:p>
    <w:p w14:paraId="42509825" w14:textId="77777777" w:rsidR="0006113D" w:rsidRDefault="000613C4">
      <w:pPr>
        <w:pStyle w:val="BodyText"/>
        <w:spacing w:line="292" w:lineRule="auto"/>
        <w:ind w:left="1853" w:right="859"/>
        <w:jc w:val="both"/>
      </w:pPr>
      <w:r>
        <w:rPr>
          <w:i/>
          <w:iCs/>
        </w:rPr>
        <w:t>redaktionellt ansvar</w:t>
      </w:r>
      <w:r>
        <w:t>: utövande av faktisk kontroll över såväl valet av program som deras organisation, antingen i en kronologisk tidsplan, när det gäller tv-sändningar, eller i en katalog, när det gäller audiovisuella medietjänster på begäran. Det redaktionella ansvaret medfö</w:t>
      </w:r>
      <w:r>
        <w:t>r inte nödvändigtvis något rättsligt ansvar enligt nationell lagstiftning för innehållet eller tillhandahållna tjänster.</w:t>
      </w:r>
    </w:p>
    <w:p w14:paraId="28E99424" w14:textId="77777777" w:rsidR="0006113D" w:rsidRDefault="0006113D">
      <w:pPr>
        <w:pStyle w:val="BodyText"/>
        <w:spacing w:before="7"/>
      </w:pPr>
    </w:p>
    <w:p w14:paraId="23E4F49C" w14:textId="77777777" w:rsidR="0006113D" w:rsidRDefault="000613C4">
      <w:pPr>
        <w:pStyle w:val="BodyText"/>
        <w:spacing w:line="292" w:lineRule="auto"/>
        <w:ind w:left="1853" w:right="860"/>
        <w:jc w:val="both"/>
      </w:pPr>
      <w:r>
        <w:rPr>
          <w:i/>
          <w:iCs/>
        </w:rPr>
        <w:t>elektroniskt kommunikationsnät</w:t>
      </w:r>
      <w:r>
        <w:t>: system för överföring, oberoende av om det bygger på en permanent infrastruktur eller en centralt admi</w:t>
      </w:r>
      <w:r>
        <w:t>nistrerad kapacitet eller inte, och i tillämpliga fall utrustning för koppling eller dirigering samt andra resurser, inbegripet nätelement som inte är aktiva, som medger överföring av signaler via tråd, via radio, på optisk väg eller via andra elektromagne</w:t>
      </w:r>
      <w:r>
        <w:t>tiska överföringsmedier, däribland satellitnät, fasta nät (kretskopplade och paketkopplade, inbegripet internet) och mobilnät, elnätssystem i den utsträckning dessa används för signalöverföring, nät för radio- och tv-utsändning samt kabel-tv-nät, oberoende</w:t>
      </w:r>
      <w:r>
        <w:t xml:space="preserve"> av vilken typ av information som överförs.</w:t>
      </w:r>
    </w:p>
    <w:p w14:paraId="2188BBBF" w14:textId="77777777" w:rsidR="0006113D" w:rsidRDefault="0006113D">
      <w:pPr>
        <w:pStyle w:val="BodyText"/>
        <w:spacing w:before="5"/>
      </w:pPr>
    </w:p>
    <w:p w14:paraId="15975546" w14:textId="77777777" w:rsidR="0006113D" w:rsidRDefault="000613C4">
      <w:pPr>
        <w:pStyle w:val="BodyText"/>
        <w:spacing w:line="292" w:lineRule="auto"/>
        <w:ind w:left="1853" w:right="865"/>
        <w:jc w:val="both"/>
      </w:pPr>
      <w:r>
        <w:rPr>
          <w:i/>
          <w:iCs/>
        </w:rPr>
        <w:t>irländskt teckenspråk</w:t>
      </w:r>
      <w:r>
        <w:t xml:space="preserve">: de dövas inhemska naturliga språk i Irland. Det är ett visuellt och rumsligt språk i vilket händerna men också ansiktet och kroppen utnyttjas. Irländskt teckenspråk har sina egna komplexa </w:t>
      </w:r>
      <w:r>
        <w:t>språkliga strukturer, regler och egenskaper.</w:t>
      </w:r>
    </w:p>
    <w:p w14:paraId="69AF0B76" w14:textId="77777777" w:rsidR="0006113D" w:rsidRDefault="0006113D">
      <w:pPr>
        <w:pStyle w:val="BodyText"/>
        <w:spacing w:before="9"/>
      </w:pPr>
    </w:p>
    <w:p w14:paraId="7B578E12" w14:textId="77777777" w:rsidR="0006113D" w:rsidRDefault="000613C4">
      <w:pPr>
        <w:pStyle w:val="BodyText"/>
        <w:spacing w:line="292" w:lineRule="auto"/>
        <w:ind w:left="1853" w:right="863"/>
        <w:jc w:val="both"/>
      </w:pPr>
      <w:r>
        <w:rPr>
          <w:i/>
          <w:iCs/>
        </w:rPr>
        <w:t>leverantör av medietjänster</w:t>
      </w:r>
      <w:r>
        <w:t>: den fysiska eller juridiska person som har det redaktionella ansvaret för valet av audiovisuellt innehåll i den audiovisuella medietjänsten och som bestämmer hur det ska organiseras</w:t>
      </w:r>
      <w:r>
        <w:t>.</w:t>
      </w:r>
    </w:p>
    <w:p w14:paraId="68F2516E" w14:textId="77777777" w:rsidR="0006113D" w:rsidRDefault="0006113D">
      <w:pPr>
        <w:pStyle w:val="BodyText"/>
        <w:spacing w:before="8"/>
      </w:pPr>
    </w:p>
    <w:p w14:paraId="332AE3C5" w14:textId="77777777" w:rsidR="0006113D" w:rsidRDefault="000613C4">
      <w:pPr>
        <w:pStyle w:val="BodyText"/>
        <w:spacing w:line="292" w:lineRule="auto"/>
        <w:ind w:left="1853" w:right="861"/>
        <w:jc w:val="both"/>
      </w:pPr>
      <w:r>
        <w:rPr>
          <w:i/>
          <w:iCs/>
        </w:rPr>
        <w:t>produktplacering</w:t>
      </w:r>
      <w:r>
        <w:t>: varje form av audiovisuellt kommersiellt meddelande som omfattar eller hänvisar till en produkt, en tjänst eller varumärket för en produkt på ett sådant sätt att det visas i ett program eller en användargenererad video mot betalning el</w:t>
      </w:r>
      <w:r>
        <w:t>ler liknande ersättning.</w:t>
      </w:r>
    </w:p>
    <w:p w14:paraId="0F70CB3F" w14:textId="77777777" w:rsidR="0006113D" w:rsidRDefault="000613C4">
      <w:pPr>
        <w:pStyle w:val="BodyText"/>
        <w:spacing w:before="119" w:line="292" w:lineRule="auto"/>
        <w:ind w:left="1853" w:right="863"/>
        <w:jc w:val="both"/>
      </w:pPr>
      <w:r>
        <w:rPr>
          <w:i/>
          <w:iCs/>
        </w:rPr>
        <w:t>program</w:t>
      </w:r>
      <w:r>
        <w:t xml:space="preserve">: en uppsättning rörliga bilder med eller utan ljud som utgör ett enskilt föremål, </w:t>
      </w:r>
      <w:r>
        <w:lastRenderedPageBreak/>
        <w:t>oavsett längd, inom en programtablå eller en katalog som upprättats av en leverantör av medietjänster, inbegripet långfilmer, videoklipp, idr</w:t>
      </w:r>
      <w:r>
        <w:t>ottsevenemang, komedier, dokumentärer, barnprogram och originaldrama.</w:t>
      </w:r>
    </w:p>
    <w:p w14:paraId="7531D8B8" w14:textId="77777777" w:rsidR="0006113D" w:rsidRDefault="0006113D">
      <w:pPr>
        <w:pStyle w:val="BodyText"/>
        <w:spacing w:before="6"/>
      </w:pPr>
    </w:p>
    <w:p w14:paraId="14540AD3" w14:textId="77777777" w:rsidR="0006113D" w:rsidRDefault="000613C4">
      <w:pPr>
        <w:pStyle w:val="BodyText"/>
        <w:spacing w:line="292" w:lineRule="auto"/>
        <w:ind w:left="1853" w:right="859"/>
        <w:jc w:val="both"/>
      </w:pPr>
      <w:r>
        <w:rPr>
          <w:i/>
          <w:iCs/>
        </w:rPr>
        <w:t>teckenspråk</w:t>
      </w:r>
      <w:r>
        <w:t>: dövas inhemska naturliga språk. Det är ett visuellt och rumsligt språk i vilket händerna men också ansiktet och kroppen utnyttjas. Teckenspråk har sina egna komplexa språkl</w:t>
      </w:r>
      <w:r>
        <w:t>iga strukturer, regler och egenskaper.</w:t>
      </w:r>
    </w:p>
    <w:p w14:paraId="35DD2BA0" w14:textId="77777777" w:rsidR="0006113D" w:rsidRDefault="0006113D">
      <w:pPr>
        <w:spacing w:line="292" w:lineRule="auto"/>
        <w:jc w:val="both"/>
        <w:rPr>
          <w:lang w:val="el-GR"/>
        </w:rPr>
      </w:pPr>
    </w:p>
    <w:p w14:paraId="0719D7A1" w14:textId="77777777" w:rsidR="0006113D" w:rsidRDefault="000613C4">
      <w:pPr>
        <w:pStyle w:val="BodyText"/>
        <w:spacing w:before="79" w:line="292" w:lineRule="auto"/>
        <w:ind w:left="1853" w:right="859"/>
        <w:jc w:val="both"/>
      </w:pPr>
      <w:r>
        <w:rPr>
          <w:i/>
          <w:iCs/>
        </w:rPr>
        <w:t>sponsring</w:t>
      </w:r>
      <w:r>
        <w:t>: bidrag från offentliga eller privata företag eller fysiska personer som inte tillhandahåller audiovisuella medietjänster eller videodelningsplattformstjänster eller producerar audiovisuella verk till finansiering av audiovisuella medietjänster, videodeln</w:t>
      </w:r>
      <w:r>
        <w:t>ingsplattformstjänster, användarproducerade videor eller program i syfte att främja deras namn, varumärke, image, verksamhet eller produkter.</w:t>
      </w:r>
    </w:p>
    <w:p w14:paraId="0571E261" w14:textId="77777777" w:rsidR="0006113D" w:rsidRDefault="0006113D">
      <w:pPr>
        <w:pStyle w:val="BodyText"/>
        <w:spacing w:before="7"/>
      </w:pPr>
    </w:p>
    <w:p w14:paraId="7D066120" w14:textId="77777777" w:rsidR="0006113D" w:rsidRDefault="000613C4">
      <w:pPr>
        <w:pStyle w:val="BodyText"/>
        <w:spacing w:line="292" w:lineRule="auto"/>
        <w:ind w:left="1853" w:right="858"/>
        <w:jc w:val="both"/>
      </w:pPr>
      <w:r>
        <w:rPr>
          <w:i/>
          <w:iCs/>
        </w:rPr>
        <w:t>dolda audiovisuella kommersiella meddelanden</w:t>
      </w:r>
      <w:r>
        <w:t>: återgivning i ord eller bild av varor, tjänster, namn, varumärke el</w:t>
      </w:r>
      <w:r>
        <w:t>ler verksamhet som bedrivs av en varu- eller tjänsteleverantör i program, när en sådan återgivning av leverantören av medietjänster är avsedd att tjäna som reklam och kan vilseleda allmänheten i fråga om dess karaktär. En sådan återgivning ska betraktas so</w:t>
      </w:r>
      <w:r>
        <w:t>m avsiktlig särskilt om den sker mot betalning eller liknande ersättning.</w:t>
      </w:r>
    </w:p>
    <w:p w14:paraId="78C90A2C" w14:textId="77777777" w:rsidR="0006113D" w:rsidRDefault="0006113D">
      <w:pPr>
        <w:pStyle w:val="BodyText"/>
        <w:spacing w:before="6"/>
      </w:pPr>
    </w:p>
    <w:p w14:paraId="53983C6F" w14:textId="77777777" w:rsidR="0006113D" w:rsidRDefault="000613C4">
      <w:pPr>
        <w:pStyle w:val="BodyText"/>
        <w:spacing w:before="1" w:line="292" w:lineRule="auto"/>
        <w:ind w:left="1853" w:right="865"/>
        <w:jc w:val="both"/>
      </w:pPr>
      <w:r>
        <w:rPr>
          <w:i/>
          <w:iCs/>
        </w:rPr>
        <w:t>subliminala tekniker</w:t>
      </w:r>
      <w:r>
        <w:t>: kommersiella meddelanden som inbegriper varje teknisk anordning som, genom användning av bilder av mycket kort varaktighet eller på annat sätt, utnyttjar möjli</w:t>
      </w:r>
      <w:r>
        <w:t>gheten att förmedla ett budskap till, eller på annat sätt påverka, publikmedlemmar utan att de känner till eller är fullt medvetna om vad som har gjorts.</w:t>
      </w:r>
    </w:p>
    <w:p w14:paraId="1253514F" w14:textId="77777777" w:rsidR="0006113D" w:rsidRDefault="0006113D">
      <w:pPr>
        <w:pStyle w:val="BodyText"/>
        <w:spacing w:before="9"/>
      </w:pPr>
    </w:p>
    <w:p w14:paraId="2162F527" w14:textId="77777777" w:rsidR="0006113D" w:rsidRDefault="000613C4">
      <w:pPr>
        <w:pStyle w:val="BodyText"/>
        <w:spacing w:line="292" w:lineRule="auto"/>
        <w:ind w:left="1853" w:right="865"/>
        <w:jc w:val="both"/>
      </w:pPr>
      <w:r>
        <w:rPr>
          <w:i/>
          <w:iCs/>
        </w:rPr>
        <w:t>undertextning</w:t>
      </w:r>
      <w:r>
        <w:t xml:space="preserve">: text på skärmen som föreställer vad som sägs på skärmen. Undertextning kan vara öppen </w:t>
      </w:r>
      <w:r>
        <w:t>eller dold. Öppen undertextning är undertextning som alltid finns synlig på skärmen. Dold undertextning kan göras synlig eller inte synlig som publiken önskar, till exempel med hjälp av en fjärrkontroll. Undertextning är formaterad för att underlätta tolkn</w:t>
      </w:r>
      <w:r>
        <w:t>ingen och förståelsen av texten och koppla den mer exakt till åtgärden på skärmen.</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0613C4">
      <w:pPr>
        <w:pStyle w:val="Heading1"/>
        <w:spacing w:before="23"/>
        <w:ind w:left="395" w:right="327" w:firstLine="0"/>
        <w:jc w:val="center"/>
      </w:pPr>
      <w:bookmarkStart w:id="15" w:name="_Toc184721791"/>
      <w:r>
        <w:lastRenderedPageBreak/>
        <w:t>Bestämmelser om föreskrifterna för medietjänster</w:t>
      </w:r>
      <w:bookmarkEnd w:id="15"/>
    </w:p>
    <w:p w14:paraId="4B41C227" w14:textId="77777777" w:rsidR="0006113D" w:rsidRDefault="000613C4">
      <w:pPr>
        <w:pStyle w:val="BodyText"/>
        <w:spacing w:before="278"/>
        <w:ind w:left="395" w:right="218"/>
        <w:jc w:val="center"/>
      </w:pPr>
      <w:r>
        <w:t>Följande bestämmelser finns med stöd av avsnitt 46N.1 och 46N.5 i lagen.</w:t>
      </w:r>
    </w:p>
    <w:p w14:paraId="34C23E37" w14:textId="77777777" w:rsidR="0006113D" w:rsidRDefault="0006113D">
      <w:pPr>
        <w:pStyle w:val="BodyText"/>
        <w:spacing w:before="43"/>
      </w:pPr>
    </w:p>
    <w:p w14:paraId="1AD99AFA" w14:textId="77777777" w:rsidR="0006113D" w:rsidRDefault="000613C4">
      <w:pPr>
        <w:pStyle w:val="Heading1"/>
        <w:numPr>
          <w:ilvl w:val="0"/>
          <w:numId w:val="13"/>
        </w:numPr>
        <w:tabs>
          <w:tab w:val="left" w:pos="1853"/>
        </w:tabs>
        <w:jc w:val="left"/>
        <w:rPr>
          <w:color w:val="391200"/>
        </w:rPr>
      </w:pPr>
      <w:bookmarkStart w:id="16" w:name="_Toc184721792"/>
      <w:r>
        <w:rPr>
          <w:color w:val="391200"/>
        </w:rPr>
        <w:t>Skadligt innehåll</w:t>
      </w:r>
      <w:bookmarkEnd w:id="16"/>
    </w:p>
    <w:p w14:paraId="291B17E1" w14:textId="77777777" w:rsidR="0006113D" w:rsidRDefault="000613C4">
      <w:pPr>
        <w:pStyle w:val="ListParagraph"/>
        <w:numPr>
          <w:ilvl w:val="1"/>
          <w:numId w:val="13"/>
        </w:numPr>
        <w:tabs>
          <w:tab w:val="left" w:pos="1852"/>
          <w:tab w:val="left" w:pos="1855"/>
        </w:tabs>
        <w:spacing w:before="278" w:line="292" w:lineRule="auto"/>
        <w:ind w:left="1855" w:right="856" w:hanging="852"/>
        <w:jc w:val="both"/>
        <w:rPr>
          <w:sz w:val="20"/>
        </w:rPr>
      </w:pPr>
      <w:r>
        <w:rPr>
          <w:sz w:val="20"/>
        </w:rPr>
        <w:t>Enligt avsnitt 46J.1 c och 46J.1 d i lagen får leverantörer av medietjänster på begäran inte tillhandahålla följande i en katalog över tjänsten:</w:t>
      </w:r>
    </w:p>
    <w:p w14:paraId="0F6FC8EA" w14:textId="77777777" w:rsidR="0006113D" w:rsidRDefault="0006113D">
      <w:pPr>
        <w:pStyle w:val="BodyText"/>
        <w:spacing w:before="8"/>
      </w:pPr>
    </w:p>
    <w:p w14:paraId="4E7B78FF" w14:textId="77777777" w:rsidR="0006113D" w:rsidRDefault="000613C4">
      <w:pPr>
        <w:pStyle w:val="ListParagraph"/>
        <w:numPr>
          <w:ilvl w:val="2"/>
          <w:numId w:val="13"/>
        </w:numPr>
        <w:tabs>
          <w:tab w:val="left" w:pos="2705"/>
        </w:tabs>
        <w:spacing w:before="1" w:line="292" w:lineRule="auto"/>
        <w:ind w:right="862"/>
        <w:jc w:val="both"/>
        <w:rPr>
          <w:sz w:val="20"/>
        </w:rPr>
      </w:pPr>
      <w:r>
        <w:rPr>
          <w:sz w:val="20"/>
        </w:rPr>
        <w:t>allt som rimligen kan anses utgöra handlingar som omfattas av begreppet offentlig uppmaning till terroristbrot</w:t>
      </w:r>
      <w:r>
        <w:rPr>
          <w:sz w:val="20"/>
        </w:rPr>
        <w:t>t enligt artikel 5 i direktiv (EU) 2017/541,</w:t>
      </w:r>
    </w:p>
    <w:p w14:paraId="71DDAD1E" w14:textId="77777777" w:rsidR="0006113D" w:rsidRDefault="0006113D">
      <w:pPr>
        <w:pStyle w:val="BodyText"/>
        <w:spacing w:before="8"/>
      </w:pPr>
    </w:p>
    <w:p w14:paraId="604759F9" w14:textId="0472C97F" w:rsidR="0006113D" w:rsidRDefault="000613C4">
      <w:pPr>
        <w:pStyle w:val="ListParagraph"/>
        <w:numPr>
          <w:ilvl w:val="2"/>
          <w:numId w:val="13"/>
        </w:numPr>
        <w:tabs>
          <w:tab w:val="left" w:pos="2705"/>
        </w:tabs>
        <w:spacing w:line="292" w:lineRule="auto"/>
        <w:ind w:right="857"/>
        <w:jc w:val="both"/>
        <w:rPr>
          <w:sz w:val="20"/>
        </w:rPr>
      </w:pPr>
      <w:r>
        <w:rPr>
          <w:sz w:val="20"/>
        </w:rPr>
        <w:t>allt som rimligen kan anses sannolikt uppmana till våld eller hat mot en grupp av personer eller en medlem av en grupp, på någon av de grunder som anges i artikel 21 i stadgan, dvs. kön, ras, hudfärg, etniskt e</w:t>
      </w:r>
      <w:r>
        <w:rPr>
          <w:sz w:val="20"/>
        </w:rPr>
        <w:t>ller socialt ursprung, genetiska särdrag, språk, religion eller övertygelse, politisk eller annan åskådning, tillhörighet till nationell minoritet, förmögenhet, börd, funktionsnedsättning, ålder eller sexuell läggning.</w:t>
      </w:r>
      <w:r w:rsidR="003C0382">
        <w:rPr>
          <w:rStyle w:val="FootnoteReference"/>
          <w:sz w:val="20"/>
        </w:rPr>
        <w:footnoteReference w:id="3"/>
      </w:r>
      <w:r>
        <w:rPr>
          <w:sz w:val="20"/>
        </w:rPr>
        <w:t xml:space="preserve"> Medborgarskap utgör en sådan grund </w:t>
      </w:r>
      <w:r>
        <w:rPr>
          <w:sz w:val="20"/>
        </w:rPr>
        <w:t>utan att det påverkar tillämpningen av de särskilda bestämmelserna i Fördraget om upprättandet av Europeiska gemenskapen och Fördraget om Europeiska unionen.</w:t>
      </w:r>
    </w:p>
    <w:p w14:paraId="2C538BE3" w14:textId="77777777" w:rsidR="0006113D" w:rsidRDefault="0006113D">
      <w:pPr>
        <w:pStyle w:val="BodyText"/>
        <w:spacing w:before="5"/>
      </w:pPr>
    </w:p>
    <w:p w14:paraId="1C2A428F" w14:textId="77777777" w:rsidR="0006113D" w:rsidRDefault="000613C4">
      <w:pPr>
        <w:pStyle w:val="ListParagraph"/>
        <w:numPr>
          <w:ilvl w:val="1"/>
          <w:numId w:val="13"/>
        </w:numPr>
        <w:tabs>
          <w:tab w:val="left" w:pos="1852"/>
          <w:tab w:val="left" w:pos="1855"/>
        </w:tabs>
        <w:spacing w:line="292" w:lineRule="auto"/>
        <w:ind w:left="1855" w:right="857" w:hanging="852"/>
        <w:jc w:val="both"/>
        <w:rPr>
          <w:sz w:val="20"/>
        </w:rPr>
      </w:pPr>
      <w:r>
        <w:rPr>
          <w:sz w:val="20"/>
        </w:rPr>
        <w:t xml:space="preserve">Utan att det påverkar tillämpningen av avsnitt 11.1 ska leverantörer av medietjänster på begäran </w:t>
      </w:r>
      <w:r>
        <w:rPr>
          <w:sz w:val="20"/>
        </w:rPr>
        <w:t>tillhandahålla tillräcklig information till publiken om innehåll som kan skada barns fysiska, mentala eller moraliska utveckling. Leverantören av medietjänster ska använda ett system som beskriver den potentiellt skadliga karaktären hos innehållet i dess a</w:t>
      </w:r>
      <w:r>
        <w:rPr>
          <w:sz w:val="20"/>
        </w:rPr>
        <w:t>udiovisuella medietjänster på begäran.</w:t>
      </w:r>
    </w:p>
    <w:p w14:paraId="1C48192E" w14:textId="77777777" w:rsidR="0006113D" w:rsidRDefault="0006113D">
      <w:pPr>
        <w:pStyle w:val="BodyText"/>
        <w:spacing w:before="47"/>
      </w:pPr>
    </w:p>
    <w:p w14:paraId="14FABA27" w14:textId="77777777" w:rsidR="0006113D" w:rsidRDefault="000613C4">
      <w:pPr>
        <w:pStyle w:val="ListParagraph"/>
        <w:numPr>
          <w:ilvl w:val="1"/>
          <w:numId w:val="13"/>
        </w:numPr>
        <w:tabs>
          <w:tab w:val="left" w:pos="1852"/>
          <w:tab w:val="left" w:pos="1855"/>
        </w:tabs>
        <w:spacing w:before="1" w:line="292" w:lineRule="auto"/>
        <w:ind w:left="1855" w:right="862" w:hanging="852"/>
        <w:jc w:val="both"/>
        <w:rPr>
          <w:sz w:val="20"/>
        </w:rPr>
      </w:pPr>
      <w:r>
        <w:rPr>
          <w:sz w:val="20"/>
        </w:rPr>
        <w:t>Leverantörer av medietjänster på begäran ska vidta lämpliga åtgärder för att säkerställa att program med innehåll som kan skada barns fysiska, mentala eller moraliska utveckling, inbegripet, men inte begränsat till f</w:t>
      </w:r>
      <w:r>
        <w:rPr>
          <w:sz w:val="20"/>
        </w:rPr>
        <w:t>öljande:</w:t>
      </w:r>
    </w:p>
    <w:p w14:paraId="71C425BC" w14:textId="77777777" w:rsidR="0006113D" w:rsidRDefault="0006113D">
      <w:pPr>
        <w:pStyle w:val="BodyText"/>
        <w:spacing w:before="48"/>
      </w:pPr>
    </w:p>
    <w:p w14:paraId="0CE886A6" w14:textId="77777777" w:rsidR="0006113D" w:rsidRDefault="000613C4">
      <w:pPr>
        <w:pStyle w:val="ListParagraph"/>
        <w:numPr>
          <w:ilvl w:val="2"/>
          <w:numId w:val="13"/>
        </w:numPr>
        <w:tabs>
          <w:tab w:val="left" w:pos="2705"/>
        </w:tabs>
        <w:spacing w:before="1"/>
        <w:ind w:hanging="852"/>
        <w:rPr>
          <w:sz w:val="20"/>
        </w:rPr>
      </w:pPr>
      <w:r>
        <w:rPr>
          <w:sz w:val="20"/>
        </w:rPr>
        <w:t>innehåll som består av pornografi,</w:t>
      </w:r>
    </w:p>
    <w:p w14:paraId="4F8250C4" w14:textId="77777777" w:rsidR="0006113D" w:rsidRDefault="0006113D">
      <w:pPr>
        <w:pStyle w:val="BodyText"/>
        <w:spacing w:before="60"/>
      </w:pPr>
    </w:p>
    <w:p w14:paraId="55614D76" w14:textId="77777777" w:rsidR="0006113D" w:rsidRDefault="000613C4">
      <w:pPr>
        <w:pStyle w:val="ListParagraph"/>
        <w:numPr>
          <w:ilvl w:val="2"/>
          <w:numId w:val="13"/>
        </w:numPr>
        <w:tabs>
          <w:tab w:val="left" w:pos="2705"/>
        </w:tabs>
        <w:spacing w:line="292" w:lineRule="auto"/>
        <w:ind w:right="860" w:hanging="852"/>
        <w:jc w:val="both"/>
        <w:rPr>
          <w:sz w:val="20"/>
        </w:rPr>
      </w:pPr>
      <w:r>
        <w:rPr>
          <w:sz w:val="20"/>
        </w:rPr>
        <w:t>innehåll som består av meningslöst våld,</w:t>
      </w:r>
      <w:r>
        <w:rPr>
          <w:sz w:val="20"/>
        </w:rPr>
        <w:br/>
      </w:r>
      <w:r>
        <w:rPr>
          <w:sz w:val="20"/>
        </w:rPr>
        <w:t>endast tillhandahålls på ett sätt som säkerställer att barn normalt inte hör eller ser dem.</w:t>
      </w:r>
    </w:p>
    <w:p w14:paraId="10E5950A" w14:textId="77777777" w:rsidR="0006113D" w:rsidRDefault="0006113D">
      <w:pPr>
        <w:pStyle w:val="BodyText"/>
        <w:spacing w:before="8"/>
      </w:pPr>
    </w:p>
    <w:p w14:paraId="52936D0F" w14:textId="77777777" w:rsidR="0006113D" w:rsidRDefault="000613C4">
      <w:pPr>
        <w:pStyle w:val="ListParagraph"/>
        <w:numPr>
          <w:ilvl w:val="1"/>
          <w:numId w:val="13"/>
        </w:numPr>
        <w:tabs>
          <w:tab w:val="left" w:pos="1852"/>
          <w:tab w:val="left" w:pos="1855"/>
        </w:tabs>
        <w:spacing w:before="1" w:line="292" w:lineRule="auto"/>
        <w:ind w:left="1855" w:right="860" w:hanging="852"/>
        <w:jc w:val="both"/>
        <w:rPr>
          <w:sz w:val="20"/>
        </w:rPr>
      </w:pPr>
      <w:r>
        <w:rPr>
          <w:sz w:val="20"/>
        </w:rPr>
        <w:t>Lämpliga åtgärder i enlighet med avsnitt 11.3 kan innebära att leverantörer av audiovisuella medietjänster på begäran använder några eller alla av följande skyddsm</w:t>
      </w:r>
      <w:r>
        <w:rPr>
          <w:sz w:val="20"/>
        </w:rPr>
        <w:t>ekanismer:</w:t>
      </w:r>
    </w:p>
    <w:p w14:paraId="7CCBBCC6" w14:textId="77777777" w:rsidR="0006113D" w:rsidRDefault="0006113D">
      <w:pPr>
        <w:pStyle w:val="BodyText"/>
        <w:spacing w:before="10"/>
      </w:pPr>
    </w:p>
    <w:p w14:paraId="2F160073" w14:textId="77777777" w:rsidR="0006113D" w:rsidRDefault="000613C4">
      <w:pPr>
        <w:pStyle w:val="ListParagraph"/>
        <w:numPr>
          <w:ilvl w:val="0"/>
          <w:numId w:val="11"/>
        </w:numPr>
        <w:tabs>
          <w:tab w:val="left" w:pos="2705"/>
        </w:tabs>
        <w:spacing w:before="1"/>
        <w:jc w:val="left"/>
        <w:rPr>
          <w:sz w:val="20"/>
        </w:rPr>
      </w:pPr>
      <w:r>
        <w:rPr>
          <w:sz w:val="20"/>
        </w:rPr>
        <w:t>användning av förhandsvarningar om innehåll,</w:t>
      </w:r>
    </w:p>
    <w:p w14:paraId="7A1C13D1" w14:textId="77777777" w:rsidR="0006113D" w:rsidRDefault="0006113D">
      <w:pPr>
        <w:pStyle w:val="BodyText"/>
        <w:spacing w:before="40"/>
      </w:pPr>
    </w:p>
    <w:p w14:paraId="2231232D" w14:textId="77777777" w:rsidR="0006113D" w:rsidRDefault="000613C4">
      <w:pPr>
        <w:pStyle w:val="ListParagraph"/>
        <w:numPr>
          <w:ilvl w:val="0"/>
          <w:numId w:val="11"/>
        </w:numPr>
        <w:tabs>
          <w:tab w:val="left" w:pos="2705"/>
        </w:tabs>
        <w:jc w:val="left"/>
        <w:rPr>
          <w:sz w:val="20"/>
        </w:rPr>
      </w:pPr>
      <w:r>
        <w:rPr>
          <w:sz w:val="20"/>
        </w:rPr>
        <w:t>tillhandahållande av föräldrakontroll, inbegripet begränsade lägen och PIN-åtkomst,</w:t>
      </w:r>
    </w:p>
    <w:p w14:paraId="521F3EB4" w14:textId="77777777" w:rsidR="0006113D" w:rsidRDefault="0006113D">
      <w:pPr>
        <w:pStyle w:val="BodyText"/>
        <w:spacing w:before="43"/>
      </w:pPr>
    </w:p>
    <w:p w14:paraId="13B55290" w14:textId="1E704999" w:rsidR="0006113D" w:rsidRDefault="000613C4">
      <w:pPr>
        <w:pStyle w:val="ListParagraph"/>
        <w:numPr>
          <w:ilvl w:val="0"/>
          <w:numId w:val="11"/>
        </w:numPr>
        <w:tabs>
          <w:tab w:val="left" w:pos="2705"/>
        </w:tabs>
        <w:spacing w:before="1"/>
        <w:jc w:val="left"/>
        <w:rPr>
          <w:sz w:val="13"/>
        </w:rPr>
      </w:pPr>
      <w:r>
        <w:rPr>
          <w:sz w:val="20"/>
        </w:rPr>
        <w:t>verktyg för ålderskontroll,</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0613C4">
      <w:pPr>
        <w:pStyle w:val="ListParagraph"/>
        <w:numPr>
          <w:ilvl w:val="0"/>
          <w:numId w:val="11"/>
        </w:numPr>
        <w:tabs>
          <w:tab w:val="left" w:pos="2705"/>
        </w:tabs>
        <w:spacing w:before="79" w:line="273" w:lineRule="auto"/>
        <w:ind w:right="858"/>
        <w:jc w:val="left"/>
        <w:rPr>
          <w:sz w:val="20"/>
        </w:rPr>
      </w:pPr>
      <w:r>
        <w:rPr>
          <w:sz w:val="20"/>
        </w:rPr>
        <w:t>system för kontotillgång, t.ex. när innehåll endast är tillgängligt via kreditkort eller andra registreringsmekanismer.</w:t>
      </w:r>
    </w:p>
    <w:p w14:paraId="0678E144" w14:textId="77777777" w:rsidR="0006113D" w:rsidRDefault="0006113D">
      <w:pPr>
        <w:pStyle w:val="BodyText"/>
        <w:spacing w:before="28"/>
      </w:pPr>
    </w:p>
    <w:p w14:paraId="66669616" w14:textId="77777777" w:rsidR="0006113D" w:rsidRDefault="000613C4">
      <w:pPr>
        <w:pStyle w:val="ListParagraph"/>
        <w:numPr>
          <w:ilvl w:val="0"/>
          <w:numId w:val="11"/>
        </w:numPr>
        <w:tabs>
          <w:tab w:val="left" w:pos="2705"/>
        </w:tabs>
        <w:jc w:val="left"/>
        <w:rPr>
          <w:sz w:val="20"/>
        </w:rPr>
      </w:pPr>
      <w:r>
        <w:rPr>
          <w:sz w:val="20"/>
        </w:rPr>
        <w:t>andra tekniska åtgärder som leder till ett likvärdigt resultat av ovanstående.</w:t>
      </w:r>
    </w:p>
    <w:p w14:paraId="0898C687" w14:textId="77777777" w:rsidR="0006113D" w:rsidRDefault="0006113D">
      <w:pPr>
        <w:pStyle w:val="BodyText"/>
        <w:spacing w:before="43"/>
      </w:pPr>
    </w:p>
    <w:p w14:paraId="6804D82C" w14:textId="77777777" w:rsidR="0006113D" w:rsidRDefault="000613C4">
      <w:pPr>
        <w:pStyle w:val="ListParagraph"/>
        <w:numPr>
          <w:ilvl w:val="1"/>
          <w:numId w:val="13"/>
        </w:numPr>
        <w:tabs>
          <w:tab w:val="left" w:pos="1852"/>
          <w:tab w:val="left" w:pos="1855"/>
        </w:tabs>
        <w:spacing w:line="292" w:lineRule="auto"/>
        <w:ind w:left="1855" w:right="859" w:hanging="852"/>
        <w:jc w:val="both"/>
        <w:rPr>
          <w:sz w:val="20"/>
        </w:rPr>
      </w:pPr>
      <w:r>
        <w:rPr>
          <w:sz w:val="20"/>
        </w:rPr>
        <w:t>Lämpliga åtgärder enligt avsnitt 11.3 ska stå i proport</w:t>
      </w:r>
      <w:r>
        <w:rPr>
          <w:sz w:val="20"/>
        </w:rPr>
        <w:t>ion till programmets potentiella skada för barn. I detta avseende ska leverantörer av medietjänster på begäran ta hänsyn till materialets potential att skada barn när de fastställer det proportionerliga tillvägagångssätt som ska användas. Följande faktorer</w:t>
      </w:r>
      <w:r>
        <w:rPr>
          <w:sz w:val="20"/>
        </w:rPr>
        <w:t xml:space="preserve"> bör beaktas: -</w:t>
      </w:r>
    </w:p>
    <w:p w14:paraId="1CE5F37E" w14:textId="77777777" w:rsidR="0006113D" w:rsidRDefault="0006113D">
      <w:pPr>
        <w:pStyle w:val="BodyText"/>
        <w:spacing w:before="8"/>
      </w:pPr>
    </w:p>
    <w:p w14:paraId="3CBAE4A4" w14:textId="77777777" w:rsidR="0006113D" w:rsidRDefault="000613C4">
      <w:pPr>
        <w:pStyle w:val="ListParagraph"/>
        <w:numPr>
          <w:ilvl w:val="0"/>
          <w:numId w:val="10"/>
        </w:numPr>
        <w:tabs>
          <w:tab w:val="left" w:pos="2705"/>
        </w:tabs>
        <w:spacing w:before="1"/>
        <w:jc w:val="left"/>
        <w:rPr>
          <w:sz w:val="20"/>
        </w:rPr>
      </w:pPr>
      <w:r>
        <w:rPr>
          <w:sz w:val="20"/>
        </w:rPr>
        <w:t>den sannolika graden av skada som kan orsakas av programmets innehåll,</w:t>
      </w:r>
    </w:p>
    <w:p w14:paraId="68E2466F" w14:textId="77777777" w:rsidR="0006113D" w:rsidRDefault="0006113D">
      <w:pPr>
        <w:pStyle w:val="BodyText"/>
        <w:spacing w:before="58"/>
      </w:pPr>
    </w:p>
    <w:p w14:paraId="4BB50EE1" w14:textId="77777777" w:rsidR="0006113D" w:rsidRDefault="000613C4">
      <w:pPr>
        <w:pStyle w:val="ListParagraph"/>
        <w:numPr>
          <w:ilvl w:val="0"/>
          <w:numId w:val="10"/>
        </w:numPr>
        <w:tabs>
          <w:tab w:val="left" w:pos="2705"/>
        </w:tabs>
        <w:ind w:hanging="996"/>
        <w:jc w:val="left"/>
        <w:rPr>
          <w:sz w:val="20"/>
        </w:rPr>
      </w:pPr>
      <w:r>
        <w:rPr>
          <w:sz w:val="20"/>
        </w:rPr>
        <w:t>sannolikheten för att barn får tillgång till innehållet,</w:t>
      </w:r>
    </w:p>
    <w:p w14:paraId="7C089F8E" w14:textId="77777777" w:rsidR="0006113D" w:rsidRDefault="0006113D">
      <w:pPr>
        <w:pStyle w:val="BodyText"/>
        <w:spacing w:before="61"/>
      </w:pPr>
    </w:p>
    <w:p w14:paraId="71DE1846" w14:textId="77777777" w:rsidR="0006113D" w:rsidRDefault="000613C4">
      <w:pPr>
        <w:pStyle w:val="ListParagraph"/>
        <w:numPr>
          <w:ilvl w:val="0"/>
          <w:numId w:val="10"/>
        </w:numPr>
        <w:tabs>
          <w:tab w:val="left" w:pos="2705"/>
        </w:tabs>
        <w:ind w:hanging="1039"/>
        <w:jc w:val="left"/>
        <w:rPr>
          <w:sz w:val="20"/>
        </w:rPr>
      </w:pPr>
      <w:r>
        <w:rPr>
          <w:sz w:val="20"/>
        </w:rPr>
        <w:t>typen av tjänst på begäran och dess troliga publik.</w:t>
      </w:r>
    </w:p>
    <w:p w14:paraId="705621D9" w14:textId="77777777" w:rsidR="0006113D" w:rsidRDefault="0006113D">
      <w:pPr>
        <w:pStyle w:val="BodyText"/>
        <w:spacing w:before="59"/>
      </w:pPr>
    </w:p>
    <w:p w14:paraId="335D7BBE" w14:textId="77777777" w:rsidR="0006113D" w:rsidRDefault="000613C4">
      <w:pPr>
        <w:pStyle w:val="ListParagraph"/>
        <w:numPr>
          <w:ilvl w:val="1"/>
          <w:numId w:val="13"/>
        </w:numPr>
        <w:tabs>
          <w:tab w:val="left" w:pos="1852"/>
          <w:tab w:val="left" w:pos="1855"/>
        </w:tabs>
        <w:spacing w:line="292" w:lineRule="auto"/>
        <w:ind w:left="1855" w:right="858" w:hanging="852"/>
        <w:jc w:val="both"/>
        <w:rPr>
          <w:sz w:val="20"/>
        </w:rPr>
      </w:pPr>
      <w:r>
        <w:rPr>
          <w:sz w:val="20"/>
        </w:rPr>
        <w:t>Utan att det påverkar tillämpningen av avsnitten 11.3, 11.4 och 11.5 ska det skadligaste innehållet, nämligen meningslöst våld och pornografi, omfattas av de strängaste åtgärderna.</w:t>
      </w:r>
    </w:p>
    <w:p w14:paraId="2460EFE2" w14:textId="77777777" w:rsidR="0006113D" w:rsidRDefault="0006113D">
      <w:pPr>
        <w:pStyle w:val="BodyText"/>
        <w:spacing w:before="8"/>
      </w:pPr>
    </w:p>
    <w:p w14:paraId="35DF6BFF" w14:textId="77777777" w:rsidR="0006113D" w:rsidRDefault="000613C4">
      <w:pPr>
        <w:pStyle w:val="ListParagraph"/>
        <w:numPr>
          <w:ilvl w:val="1"/>
          <w:numId w:val="13"/>
        </w:numPr>
        <w:tabs>
          <w:tab w:val="left" w:pos="1852"/>
          <w:tab w:val="left" w:pos="1855"/>
        </w:tabs>
        <w:spacing w:line="292" w:lineRule="auto"/>
        <w:ind w:left="1855" w:right="858" w:hanging="852"/>
        <w:jc w:val="both"/>
        <w:rPr>
          <w:sz w:val="20"/>
        </w:rPr>
      </w:pPr>
      <w:r>
        <w:rPr>
          <w:sz w:val="20"/>
        </w:rPr>
        <w:t>Personuppgifter om barn som samlats in eller på annat sätt genererats av l</w:t>
      </w:r>
      <w:r>
        <w:rPr>
          <w:sz w:val="20"/>
        </w:rPr>
        <w:t>everantörer av medietjänster i enlighet med avsnitt 11.3, 11.4 eller 11.6 får inte behandlas för kommersiella ändamål, såsom direkt marknadsföring, profilering och beteendeinriktad reklam.</w:t>
      </w:r>
    </w:p>
    <w:p w14:paraId="573EE6A2" w14:textId="77777777" w:rsidR="0006113D" w:rsidRDefault="0006113D">
      <w:pPr>
        <w:pStyle w:val="BodyText"/>
        <w:spacing w:before="192"/>
      </w:pPr>
    </w:p>
    <w:p w14:paraId="2322BC41" w14:textId="77777777" w:rsidR="0006113D" w:rsidRDefault="000613C4">
      <w:pPr>
        <w:pStyle w:val="Heading1"/>
        <w:numPr>
          <w:ilvl w:val="0"/>
          <w:numId w:val="13"/>
        </w:numPr>
        <w:tabs>
          <w:tab w:val="left" w:pos="1853"/>
        </w:tabs>
        <w:jc w:val="left"/>
      </w:pPr>
      <w:bookmarkStart w:id="18" w:name="_Toc184721793"/>
      <w:r>
        <w:t>Rättigheter till filmverk</w:t>
      </w:r>
      <w:bookmarkEnd w:id="18"/>
    </w:p>
    <w:p w14:paraId="069CD692" w14:textId="77777777" w:rsidR="0006113D" w:rsidRDefault="000613C4">
      <w:pPr>
        <w:pStyle w:val="ListParagraph"/>
        <w:numPr>
          <w:ilvl w:val="1"/>
          <w:numId w:val="13"/>
        </w:numPr>
        <w:tabs>
          <w:tab w:val="left" w:pos="1852"/>
          <w:tab w:val="left" w:pos="1855"/>
        </w:tabs>
        <w:spacing w:before="399" w:line="254" w:lineRule="auto"/>
        <w:ind w:left="1855" w:right="864" w:hanging="852"/>
        <w:jc w:val="both"/>
        <w:rPr>
          <w:sz w:val="24"/>
        </w:rPr>
      </w:pPr>
      <w:r>
        <w:rPr>
          <w:sz w:val="20"/>
        </w:rPr>
        <w:t>Leverantörer av medietjänster på begäran</w:t>
      </w:r>
      <w:r>
        <w:rPr>
          <w:sz w:val="20"/>
        </w:rPr>
        <w:t xml:space="preserve"> får inte sända filmverk utanför de perioder som avtalats med rättsinnehavarna</w:t>
      </w:r>
      <w:r>
        <w:rPr>
          <w:sz w:val="24"/>
        </w:rPr>
        <w:t>.</w:t>
      </w:r>
    </w:p>
    <w:p w14:paraId="49E0410E" w14:textId="77777777" w:rsidR="0006113D" w:rsidRDefault="0006113D">
      <w:pPr>
        <w:pStyle w:val="BodyText"/>
        <w:spacing w:before="178"/>
      </w:pPr>
    </w:p>
    <w:p w14:paraId="3B2CA1C2" w14:textId="77777777" w:rsidR="0006113D" w:rsidRDefault="000613C4">
      <w:pPr>
        <w:pStyle w:val="Heading1"/>
        <w:numPr>
          <w:ilvl w:val="0"/>
          <w:numId w:val="13"/>
        </w:numPr>
        <w:tabs>
          <w:tab w:val="left" w:pos="1855"/>
        </w:tabs>
        <w:ind w:left="1855" w:hanging="852"/>
        <w:jc w:val="left"/>
      </w:pPr>
      <w:bookmarkStart w:id="19" w:name="_Toc184721794"/>
      <w:r>
        <w:t>Audiovisuella kommersiella meddelanden</w:t>
      </w:r>
      <w:bookmarkEnd w:id="19"/>
    </w:p>
    <w:p w14:paraId="3A4669FE" w14:textId="77777777" w:rsidR="0006113D" w:rsidRDefault="000613C4">
      <w:pPr>
        <w:pStyle w:val="ListParagraph"/>
        <w:numPr>
          <w:ilvl w:val="1"/>
          <w:numId w:val="13"/>
        </w:numPr>
        <w:tabs>
          <w:tab w:val="left" w:pos="1852"/>
          <w:tab w:val="left" w:pos="1855"/>
        </w:tabs>
        <w:spacing w:before="396" w:line="292" w:lineRule="auto"/>
        <w:ind w:left="1855" w:right="861" w:hanging="852"/>
        <w:jc w:val="both"/>
        <w:rPr>
          <w:sz w:val="20"/>
        </w:rPr>
      </w:pPr>
      <w:r>
        <w:rPr>
          <w:sz w:val="20"/>
        </w:rPr>
        <w:t>Leverantörer av medietjänster på begäran ska säkerställa att audiovisuella kommersiella meddelanden som de tillhandahåller är lätt igenk</w:t>
      </w:r>
      <w:r>
        <w:rPr>
          <w:sz w:val="20"/>
        </w:rPr>
        <w:t>ännliga som sådana.</w:t>
      </w:r>
    </w:p>
    <w:p w14:paraId="3A5CF8EF" w14:textId="77777777" w:rsidR="0006113D" w:rsidRDefault="0006113D">
      <w:pPr>
        <w:pStyle w:val="BodyText"/>
        <w:spacing w:before="11"/>
      </w:pPr>
    </w:p>
    <w:p w14:paraId="1BC6C37D" w14:textId="77777777" w:rsidR="0006113D" w:rsidRDefault="000613C4">
      <w:pPr>
        <w:pStyle w:val="ListParagraph"/>
        <w:numPr>
          <w:ilvl w:val="1"/>
          <w:numId w:val="13"/>
        </w:numPr>
        <w:tabs>
          <w:tab w:val="left" w:pos="1850"/>
          <w:tab w:val="left" w:pos="1853"/>
        </w:tabs>
        <w:spacing w:line="292" w:lineRule="auto"/>
        <w:ind w:right="863"/>
        <w:jc w:val="both"/>
        <w:rPr>
          <w:sz w:val="20"/>
        </w:rPr>
      </w:pPr>
      <w:r>
        <w:rPr>
          <w:sz w:val="20"/>
        </w:rPr>
        <w:t>Leverantörer av medietjänster som tillhandahåller tjänster på begäran får inte i eller vid sidan av program inkludera några hemliga audiovisuella kommersiella meddelanden eller audiovisuella kommersiella meddelanden som använder subliminal teknik.</w:t>
      </w:r>
    </w:p>
    <w:p w14:paraId="69B656EE" w14:textId="77777777" w:rsidR="0006113D" w:rsidRDefault="0006113D">
      <w:pPr>
        <w:spacing w:line="292" w:lineRule="auto"/>
        <w:jc w:val="both"/>
        <w:rPr>
          <w:sz w:val="20"/>
          <w:lang w:val="el-GR"/>
        </w:rPr>
      </w:pPr>
    </w:p>
    <w:p w14:paraId="2E777326" w14:textId="77777777" w:rsidR="0006113D" w:rsidRDefault="000613C4">
      <w:pPr>
        <w:pStyle w:val="ListParagraph"/>
        <w:numPr>
          <w:ilvl w:val="1"/>
          <w:numId w:val="13"/>
        </w:numPr>
        <w:tabs>
          <w:tab w:val="left" w:pos="1853"/>
        </w:tabs>
        <w:spacing w:before="79" w:line="292" w:lineRule="auto"/>
        <w:ind w:right="864"/>
        <w:rPr>
          <w:sz w:val="20"/>
        </w:rPr>
      </w:pPr>
      <w:r>
        <w:rPr>
          <w:sz w:val="20"/>
        </w:rPr>
        <w:lastRenderedPageBreak/>
        <w:t>Leveran</w:t>
      </w:r>
      <w:r>
        <w:rPr>
          <w:sz w:val="20"/>
        </w:rPr>
        <w:t>törer av medietjänster på begäran får inte tillhandahålla audiovisuella kommersiella meddelanden som är skadliga för allmänheten, nämligen: -</w:t>
      </w:r>
    </w:p>
    <w:p w14:paraId="37894B27" w14:textId="77777777" w:rsidR="0006113D" w:rsidRDefault="0006113D">
      <w:pPr>
        <w:pStyle w:val="BodyText"/>
        <w:spacing w:before="9"/>
      </w:pPr>
    </w:p>
    <w:p w14:paraId="2914E28C" w14:textId="77777777" w:rsidR="0006113D" w:rsidRDefault="000613C4">
      <w:pPr>
        <w:pStyle w:val="ListParagraph"/>
        <w:numPr>
          <w:ilvl w:val="0"/>
          <w:numId w:val="9"/>
        </w:numPr>
        <w:tabs>
          <w:tab w:val="left" w:pos="2705"/>
        </w:tabs>
        <w:spacing w:line="292" w:lineRule="auto"/>
        <w:ind w:right="866"/>
        <w:jc w:val="both"/>
        <w:rPr>
          <w:sz w:val="20"/>
        </w:rPr>
      </w:pPr>
      <w:r>
        <w:rPr>
          <w:sz w:val="20"/>
        </w:rPr>
        <w:t>audiovisuella kommersiella meddelanden som kränker respekten för människans värdighet,</w:t>
      </w:r>
    </w:p>
    <w:p w14:paraId="2143E45C" w14:textId="77777777" w:rsidR="0006113D" w:rsidRDefault="0006113D">
      <w:pPr>
        <w:pStyle w:val="BodyText"/>
        <w:spacing w:before="8"/>
      </w:pPr>
    </w:p>
    <w:p w14:paraId="449C6C8C" w14:textId="77777777" w:rsidR="0006113D" w:rsidRDefault="000613C4">
      <w:pPr>
        <w:pStyle w:val="ListParagraph"/>
        <w:numPr>
          <w:ilvl w:val="0"/>
          <w:numId w:val="9"/>
        </w:numPr>
        <w:tabs>
          <w:tab w:val="left" w:pos="2705"/>
        </w:tabs>
        <w:spacing w:line="292" w:lineRule="auto"/>
        <w:ind w:right="866" w:hanging="994"/>
        <w:jc w:val="both"/>
        <w:rPr>
          <w:sz w:val="20"/>
        </w:rPr>
      </w:pPr>
      <w:r>
        <w:rPr>
          <w:sz w:val="20"/>
        </w:rPr>
        <w:t>audiovisuella kommersiell</w:t>
      </w:r>
      <w:r>
        <w:rPr>
          <w:sz w:val="20"/>
        </w:rPr>
        <w:t>a meddelanden som inbegriper eller främjar diskriminering på grund av kön, ras eller etniskt ursprung, nationalitet, religion eller övertygelse, funktionshinder, ålder eller sexuell läggning,</w:t>
      </w:r>
    </w:p>
    <w:p w14:paraId="3FFD0981" w14:textId="77777777" w:rsidR="0006113D" w:rsidRDefault="0006113D">
      <w:pPr>
        <w:pStyle w:val="BodyText"/>
        <w:spacing w:before="8"/>
      </w:pPr>
    </w:p>
    <w:p w14:paraId="6962811D" w14:textId="77777777" w:rsidR="0006113D" w:rsidRDefault="000613C4">
      <w:pPr>
        <w:pStyle w:val="ListParagraph"/>
        <w:numPr>
          <w:ilvl w:val="0"/>
          <w:numId w:val="9"/>
        </w:numPr>
        <w:tabs>
          <w:tab w:val="left" w:pos="2705"/>
        </w:tabs>
        <w:spacing w:line="292" w:lineRule="auto"/>
        <w:ind w:right="865" w:hanging="1037"/>
        <w:jc w:val="both"/>
        <w:rPr>
          <w:sz w:val="20"/>
        </w:rPr>
      </w:pPr>
      <w:r>
        <w:rPr>
          <w:sz w:val="20"/>
        </w:rPr>
        <w:t>audiovisuella kommersiella meddelanden som uppmuntrar till bete</w:t>
      </w:r>
      <w:r>
        <w:rPr>
          <w:sz w:val="20"/>
        </w:rPr>
        <w:t>enden som är skadliga för hälsa eller säkerhet,</w:t>
      </w:r>
    </w:p>
    <w:p w14:paraId="03001AEB" w14:textId="77777777" w:rsidR="0006113D" w:rsidRDefault="0006113D">
      <w:pPr>
        <w:pStyle w:val="BodyText"/>
        <w:spacing w:before="10"/>
      </w:pPr>
    </w:p>
    <w:p w14:paraId="361553A2" w14:textId="77777777" w:rsidR="0006113D" w:rsidRDefault="000613C4">
      <w:pPr>
        <w:pStyle w:val="ListParagraph"/>
        <w:numPr>
          <w:ilvl w:val="0"/>
          <w:numId w:val="9"/>
        </w:numPr>
        <w:tabs>
          <w:tab w:val="left" w:pos="2705"/>
        </w:tabs>
        <w:spacing w:before="1" w:line="292" w:lineRule="auto"/>
        <w:ind w:right="865" w:hanging="1049"/>
        <w:jc w:val="both"/>
        <w:rPr>
          <w:sz w:val="20"/>
        </w:rPr>
      </w:pPr>
      <w:r>
        <w:rPr>
          <w:sz w:val="20"/>
        </w:rPr>
        <w:t>audiovisuella kommersiella meddelanden som uppmuntrar till beteenden som allvarligt skadar miljöskyddet,</w:t>
      </w:r>
    </w:p>
    <w:p w14:paraId="6B363269" w14:textId="77777777" w:rsidR="0006113D" w:rsidRDefault="0006113D">
      <w:pPr>
        <w:pStyle w:val="BodyText"/>
        <w:spacing w:before="8"/>
      </w:pPr>
    </w:p>
    <w:p w14:paraId="1938DEB5" w14:textId="77777777" w:rsidR="0006113D" w:rsidRDefault="000613C4">
      <w:pPr>
        <w:pStyle w:val="ListParagraph"/>
        <w:numPr>
          <w:ilvl w:val="0"/>
          <w:numId w:val="9"/>
        </w:numPr>
        <w:tabs>
          <w:tab w:val="left" w:pos="2705"/>
        </w:tabs>
        <w:spacing w:line="292" w:lineRule="auto"/>
        <w:ind w:right="864" w:hanging="1006"/>
        <w:jc w:val="both"/>
        <w:rPr>
          <w:sz w:val="20"/>
        </w:rPr>
      </w:pPr>
      <w:r>
        <w:rPr>
          <w:sz w:val="20"/>
        </w:rPr>
        <w:t>audiovisuella kommersiella meddelanden för cigaretter och andra tobaksvaror samt för elektroniska cigaretter och påfyllningsbehållare,</w:t>
      </w:r>
    </w:p>
    <w:p w14:paraId="35C48345" w14:textId="77777777" w:rsidR="0006113D" w:rsidRDefault="0006113D">
      <w:pPr>
        <w:pStyle w:val="BodyText"/>
        <w:spacing w:before="8"/>
      </w:pPr>
    </w:p>
    <w:p w14:paraId="4EECCCC6" w14:textId="77777777" w:rsidR="0006113D" w:rsidRDefault="000613C4">
      <w:pPr>
        <w:pStyle w:val="ListParagraph"/>
        <w:numPr>
          <w:ilvl w:val="0"/>
          <w:numId w:val="9"/>
        </w:numPr>
        <w:tabs>
          <w:tab w:val="left" w:pos="2705"/>
        </w:tabs>
        <w:spacing w:line="292" w:lineRule="auto"/>
        <w:ind w:right="865" w:hanging="1049"/>
        <w:jc w:val="both"/>
        <w:rPr>
          <w:sz w:val="20"/>
        </w:rPr>
      </w:pPr>
      <w:r>
        <w:rPr>
          <w:sz w:val="20"/>
        </w:rPr>
        <w:t>audiovisuella kommersiella meddelanden som uppmuntrar till en omåttlig konsumtion av alkoholhaltiga drycker,</w:t>
      </w:r>
    </w:p>
    <w:p w14:paraId="6D78B88B" w14:textId="77777777" w:rsidR="0006113D" w:rsidRDefault="0006113D">
      <w:pPr>
        <w:pStyle w:val="BodyText"/>
        <w:spacing w:before="11"/>
      </w:pPr>
    </w:p>
    <w:p w14:paraId="4B4CACEC" w14:textId="77777777" w:rsidR="0006113D" w:rsidRDefault="000613C4">
      <w:pPr>
        <w:pStyle w:val="ListParagraph"/>
        <w:numPr>
          <w:ilvl w:val="0"/>
          <w:numId w:val="9"/>
        </w:numPr>
        <w:tabs>
          <w:tab w:val="left" w:pos="2705"/>
        </w:tabs>
        <w:spacing w:line="292" w:lineRule="auto"/>
        <w:ind w:right="867" w:hanging="1092"/>
        <w:jc w:val="both"/>
        <w:rPr>
          <w:sz w:val="20"/>
        </w:rPr>
      </w:pPr>
      <w:r>
        <w:rPr>
          <w:sz w:val="20"/>
        </w:rPr>
        <w:t>audiovisuella kommersiella meddelanden om läkemedel och medicinsk behandling som är receptbelagd i staten.</w:t>
      </w:r>
    </w:p>
    <w:p w14:paraId="5792C076" w14:textId="77777777" w:rsidR="0006113D" w:rsidRDefault="0006113D">
      <w:pPr>
        <w:pStyle w:val="BodyText"/>
        <w:spacing w:before="8"/>
      </w:pPr>
    </w:p>
    <w:p w14:paraId="33EE49D5" w14:textId="77777777" w:rsidR="0006113D" w:rsidRDefault="000613C4">
      <w:pPr>
        <w:pStyle w:val="ListParagraph"/>
        <w:numPr>
          <w:ilvl w:val="1"/>
          <w:numId w:val="13"/>
        </w:numPr>
        <w:tabs>
          <w:tab w:val="left" w:pos="1853"/>
        </w:tabs>
        <w:spacing w:line="292" w:lineRule="auto"/>
        <w:ind w:right="864"/>
        <w:rPr>
          <w:sz w:val="20"/>
        </w:rPr>
      </w:pPr>
      <w:r>
        <w:rPr>
          <w:sz w:val="20"/>
        </w:rPr>
        <w:t>Leverantörer av medietjänster på begär</w:t>
      </w:r>
      <w:r>
        <w:rPr>
          <w:sz w:val="20"/>
        </w:rPr>
        <w:t>an får inte tillhandahålla audiovisuella kommersiella meddelanden som är skadliga för barn, nämligen:</w:t>
      </w:r>
    </w:p>
    <w:p w14:paraId="5793377C" w14:textId="77777777" w:rsidR="0006113D" w:rsidRDefault="0006113D">
      <w:pPr>
        <w:pStyle w:val="BodyText"/>
        <w:spacing w:before="8"/>
      </w:pPr>
    </w:p>
    <w:p w14:paraId="45C47859" w14:textId="77777777" w:rsidR="0006113D" w:rsidRDefault="000613C4">
      <w:pPr>
        <w:pStyle w:val="ListParagraph"/>
        <w:numPr>
          <w:ilvl w:val="0"/>
          <w:numId w:val="8"/>
        </w:numPr>
        <w:tabs>
          <w:tab w:val="left" w:pos="2705"/>
        </w:tabs>
        <w:spacing w:line="292" w:lineRule="auto"/>
        <w:ind w:right="869"/>
        <w:jc w:val="both"/>
        <w:rPr>
          <w:sz w:val="20"/>
        </w:rPr>
      </w:pPr>
      <w:r>
        <w:rPr>
          <w:sz w:val="20"/>
        </w:rPr>
        <w:t>audiovisuella kommersiella meddelanden som direkt uppmanar barn att köpa eller hyra en produkt eller tjänst genom att utnyttja deras oerfarenhet eller go</w:t>
      </w:r>
      <w:r>
        <w:rPr>
          <w:sz w:val="20"/>
        </w:rPr>
        <w:t>dtrogenhet,</w:t>
      </w:r>
    </w:p>
    <w:p w14:paraId="1D49C22E" w14:textId="77777777" w:rsidR="0006113D" w:rsidRDefault="0006113D">
      <w:pPr>
        <w:pStyle w:val="BodyText"/>
        <w:spacing w:before="11"/>
      </w:pPr>
    </w:p>
    <w:p w14:paraId="31AB1C01" w14:textId="77777777" w:rsidR="0006113D" w:rsidRDefault="000613C4">
      <w:pPr>
        <w:pStyle w:val="ListParagraph"/>
        <w:numPr>
          <w:ilvl w:val="0"/>
          <w:numId w:val="8"/>
        </w:numPr>
        <w:tabs>
          <w:tab w:val="left" w:pos="2705"/>
        </w:tabs>
        <w:spacing w:line="292" w:lineRule="auto"/>
        <w:ind w:right="864" w:hanging="994"/>
        <w:jc w:val="both"/>
        <w:rPr>
          <w:sz w:val="20"/>
        </w:rPr>
      </w:pPr>
      <w:r>
        <w:rPr>
          <w:sz w:val="20"/>
        </w:rPr>
        <w:t>audiovisuella kommersiella meddelanden som direkt uppmuntrar barn att övertala sina föräldrar eller andra att köpa de varor eller tjänster som annonseras,</w:t>
      </w:r>
    </w:p>
    <w:p w14:paraId="0C5E1C2C" w14:textId="77777777" w:rsidR="0006113D" w:rsidRDefault="0006113D">
      <w:pPr>
        <w:pStyle w:val="BodyText"/>
        <w:spacing w:before="8"/>
      </w:pPr>
    </w:p>
    <w:p w14:paraId="116B743E" w14:textId="77777777" w:rsidR="0006113D" w:rsidRDefault="000613C4">
      <w:pPr>
        <w:pStyle w:val="ListParagraph"/>
        <w:numPr>
          <w:ilvl w:val="0"/>
          <w:numId w:val="8"/>
        </w:numPr>
        <w:tabs>
          <w:tab w:val="left" w:pos="2705"/>
        </w:tabs>
        <w:spacing w:line="292" w:lineRule="auto"/>
        <w:ind w:right="867" w:hanging="1037"/>
        <w:jc w:val="both"/>
        <w:rPr>
          <w:sz w:val="20"/>
        </w:rPr>
      </w:pPr>
      <w:r>
        <w:rPr>
          <w:sz w:val="20"/>
        </w:rPr>
        <w:t>audiovisuella kommersiella meddelanden som utnyttjar barns särskilda förtroende för föräldrar, lärar</w:t>
      </w:r>
      <w:r>
        <w:rPr>
          <w:sz w:val="20"/>
        </w:rPr>
        <w:t>e eller andra personer,</w:t>
      </w:r>
    </w:p>
    <w:p w14:paraId="62572119" w14:textId="77777777" w:rsidR="0006113D" w:rsidRDefault="0006113D">
      <w:pPr>
        <w:pStyle w:val="BodyText"/>
        <w:spacing w:before="8"/>
      </w:pPr>
    </w:p>
    <w:p w14:paraId="439DAD39" w14:textId="77777777" w:rsidR="0006113D" w:rsidRDefault="000613C4">
      <w:pPr>
        <w:pStyle w:val="ListParagraph"/>
        <w:numPr>
          <w:ilvl w:val="0"/>
          <w:numId w:val="8"/>
        </w:numPr>
        <w:tabs>
          <w:tab w:val="left" w:pos="2705"/>
        </w:tabs>
        <w:spacing w:line="292" w:lineRule="auto"/>
        <w:ind w:right="866" w:hanging="1049"/>
        <w:jc w:val="both"/>
        <w:rPr>
          <w:sz w:val="20"/>
        </w:rPr>
      </w:pPr>
      <w:r>
        <w:rPr>
          <w:sz w:val="20"/>
        </w:rPr>
        <w:t>audiovisuella kommersiella meddelanden som på ett otillbörligt sätt visar barn i farliga situationer,</w:t>
      </w:r>
    </w:p>
    <w:p w14:paraId="130B4830" w14:textId="77777777" w:rsidR="0006113D" w:rsidRDefault="0006113D">
      <w:pPr>
        <w:pStyle w:val="BodyText"/>
        <w:spacing w:before="9"/>
      </w:pPr>
    </w:p>
    <w:p w14:paraId="32DD232B" w14:textId="77777777" w:rsidR="0006113D" w:rsidRDefault="000613C4">
      <w:pPr>
        <w:pStyle w:val="ListParagraph"/>
        <w:numPr>
          <w:ilvl w:val="0"/>
          <w:numId w:val="8"/>
        </w:numPr>
        <w:tabs>
          <w:tab w:val="left" w:pos="2705"/>
        </w:tabs>
        <w:spacing w:line="292" w:lineRule="auto"/>
        <w:ind w:right="865" w:hanging="1006"/>
        <w:jc w:val="both"/>
        <w:rPr>
          <w:sz w:val="20"/>
        </w:rPr>
      </w:pPr>
      <w:r>
        <w:rPr>
          <w:sz w:val="20"/>
        </w:rPr>
        <w:t>audiovisuella kommersiella meddelanden för alkoholhaltiga drycker som särskilt riktar sig till barn.</w:t>
      </w:r>
    </w:p>
    <w:p w14:paraId="689AF845" w14:textId="77777777" w:rsidR="0006113D" w:rsidRDefault="0006113D">
      <w:pPr>
        <w:pStyle w:val="BodyText"/>
        <w:spacing w:before="10"/>
      </w:pPr>
    </w:p>
    <w:p w14:paraId="1C334C21" w14:textId="77777777" w:rsidR="0006113D" w:rsidRDefault="000613C4">
      <w:pPr>
        <w:pStyle w:val="ListParagraph"/>
        <w:numPr>
          <w:ilvl w:val="1"/>
          <w:numId w:val="13"/>
        </w:numPr>
        <w:tabs>
          <w:tab w:val="left" w:pos="1711"/>
          <w:tab w:val="left" w:pos="1714"/>
        </w:tabs>
        <w:spacing w:line="292" w:lineRule="auto"/>
        <w:ind w:left="1714" w:right="863" w:hanging="852"/>
        <w:jc w:val="both"/>
        <w:rPr>
          <w:sz w:val="20"/>
        </w:rPr>
      </w:pPr>
      <w:r>
        <w:rPr>
          <w:sz w:val="20"/>
        </w:rPr>
        <w:t>Leverantörer av medietjäns</w:t>
      </w:r>
      <w:r>
        <w:rPr>
          <w:sz w:val="20"/>
        </w:rPr>
        <w:t>ter på begäran ska säkerställa att audiovisuella kommersiella meddelanden för alkoholhaltiga drycker som de tillhandahåller, med undantag för sponsring och produktplacering, uppfyller följande krav:</w:t>
      </w:r>
    </w:p>
    <w:p w14:paraId="76FC5864" w14:textId="77777777" w:rsidR="0006113D" w:rsidRDefault="0006113D">
      <w:pPr>
        <w:pStyle w:val="BodyText"/>
        <w:spacing w:before="8"/>
      </w:pPr>
    </w:p>
    <w:p w14:paraId="49D7DC54" w14:textId="77777777" w:rsidR="0006113D" w:rsidRDefault="000613C4">
      <w:pPr>
        <w:pStyle w:val="ListParagraph"/>
        <w:numPr>
          <w:ilvl w:val="0"/>
          <w:numId w:val="7"/>
        </w:numPr>
        <w:tabs>
          <w:tab w:val="left" w:pos="2705"/>
        </w:tabs>
        <w:spacing w:before="1" w:line="292" w:lineRule="auto"/>
        <w:ind w:right="866"/>
        <w:jc w:val="both"/>
        <w:rPr>
          <w:sz w:val="20"/>
        </w:rPr>
      </w:pPr>
      <w:r>
        <w:rPr>
          <w:sz w:val="20"/>
        </w:rPr>
        <w:lastRenderedPageBreak/>
        <w:t>audiovisuella kommersiella meddelanden får inte vara sär</w:t>
      </w:r>
      <w:r>
        <w:rPr>
          <w:sz w:val="20"/>
        </w:rPr>
        <w:t>skilt riktade till minderåriga eller, i synnerhet, avbilda minderåriga som konsumerar dessa drycker,</w:t>
      </w:r>
    </w:p>
    <w:p w14:paraId="368C58F9" w14:textId="77777777" w:rsidR="0006113D" w:rsidRDefault="000613C4">
      <w:pPr>
        <w:pStyle w:val="ListParagraph"/>
        <w:numPr>
          <w:ilvl w:val="0"/>
          <w:numId w:val="7"/>
        </w:numPr>
        <w:tabs>
          <w:tab w:val="left" w:pos="2705"/>
        </w:tabs>
        <w:spacing w:before="79" w:line="292" w:lineRule="auto"/>
        <w:ind w:right="868" w:hanging="994"/>
        <w:jc w:val="both"/>
        <w:rPr>
          <w:sz w:val="20"/>
        </w:rPr>
      </w:pPr>
      <w:r>
        <w:rPr>
          <w:sz w:val="20"/>
        </w:rPr>
        <w:t>audiovisuella kommersiella meddelanden ska inte koppla alkoholkonsumtion till förbättrad fysisk prestanda eller körning,</w:t>
      </w:r>
    </w:p>
    <w:p w14:paraId="413E10EA" w14:textId="77777777" w:rsidR="0006113D" w:rsidRDefault="0006113D">
      <w:pPr>
        <w:pStyle w:val="BodyText"/>
        <w:spacing w:before="9"/>
      </w:pPr>
    </w:p>
    <w:p w14:paraId="051BAD4A" w14:textId="77777777" w:rsidR="0006113D" w:rsidRDefault="000613C4">
      <w:pPr>
        <w:pStyle w:val="ListParagraph"/>
        <w:numPr>
          <w:ilvl w:val="0"/>
          <w:numId w:val="7"/>
        </w:numPr>
        <w:tabs>
          <w:tab w:val="left" w:pos="2705"/>
        </w:tabs>
        <w:spacing w:line="292" w:lineRule="auto"/>
        <w:ind w:right="863" w:hanging="1037"/>
        <w:jc w:val="both"/>
        <w:rPr>
          <w:sz w:val="20"/>
        </w:rPr>
      </w:pPr>
      <w:r>
        <w:rPr>
          <w:sz w:val="20"/>
        </w:rPr>
        <w:t>audiovisuella kommersiella meddelanden får inte ge intryck av att alkoholkonsumtion bidrar till social eller sexuell framgång,</w:t>
      </w:r>
    </w:p>
    <w:p w14:paraId="11D39FEA" w14:textId="77777777" w:rsidR="0006113D" w:rsidRDefault="0006113D">
      <w:pPr>
        <w:pStyle w:val="BodyText"/>
        <w:spacing w:before="8"/>
      </w:pPr>
    </w:p>
    <w:p w14:paraId="7EAA980A" w14:textId="77777777" w:rsidR="0006113D" w:rsidRDefault="000613C4">
      <w:pPr>
        <w:pStyle w:val="ListParagraph"/>
        <w:numPr>
          <w:ilvl w:val="0"/>
          <w:numId w:val="7"/>
        </w:numPr>
        <w:tabs>
          <w:tab w:val="left" w:pos="2705"/>
        </w:tabs>
        <w:spacing w:line="292" w:lineRule="auto"/>
        <w:ind w:right="868" w:hanging="1049"/>
        <w:jc w:val="both"/>
        <w:rPr>
          <w:sz w:val="20"/>
        </w:rPr>
      </w:pPr>
      <w:r>
        <w:rPr>
          <w:sz w:val="20"/>
        </w:rPr>
        <w:t>audiov</w:t>
      </w:r>
      <w:r>
        <w:rPr>
          <w:sz w:val="20"/>
        </w:rPr>
        <w:t xml:space="preserve">isuella kommersiella meddelanden får inte påstå att alkohol har terapeutiska egenskaper eller att den är en </w:t>
      </w:r>
      <w:proofErr w:type="spellStart"/>
      <w:r>
        <w:rPr>
          <w:sz w:val="20"/>
        </w:rPr>
        <w:t>stimulant</w:t>
      </w:r>
      <w:proofErr w:type="spellEnd"/>
      <w:r>
        <w:rPr>
          <w:sz w:val="20"/>
        </w:rPr>
        <w:t>, sedativ eller ett medel för att lösa personliga konflikter,</w:t>
      </w:r>
    </w:p>
    <w:p w14:paraId="7197B523" w14:textId="77777777" w:rsidR="0006113D" w:rsidRDefault="0006113D">
      <w:pPr>
        <w:pStyle w:val="BodyText"/>
        <w:spacing w:before="8"/>
      </w:pPr>
    </w:p>
    <w:p w14:paraId="640CE325" w14:textId="77777777" w:rsidR="0006113D" w:rsidRDefault="000613C4">
      <w:pPr>
        <w:pStyle w:val="ListParagraph"/>
        <w:numPr>
          <w:ilvl w:val="0"/>
          <w:numId w:val="7"/>
        </w:numPr>
        <w:tabs>
          <w:tab w:val="left" w:pos="2705"/>
        </w:tabs>
        <w:spacing w:line="292" w:lineRule="auto"/>
        <w:ind w:right="868" w:hanging="1006"/>
        <w:jc w:val="both"/>
        <w:rPr>
          <w:sz w:val="20"/>
        </w:rPr>
      </w:pPr>
      <w:r>
        <w:rPr>
          <w:sz w:val="20"/>
        </w:rPr>
        <w:t>audiovisuella kommersiella meddelanden får inte uppmuntra till en omåttlig a</w:t>
      </w:r>
      <w:r>
        <w:rPr>
          <w:sz w:val="20"/>
        </w:rPr>
        <w:t>lkoholkonsumtion eller framställa avhållsamhet eller måttfullhet i negativ dager,</w:t>
      </w:r>
    </w:p>
    <w:p w14:paraId="5D72DDC7" w14:textId="77777777" w:rsidR="0006113D" w:rsidRDefault="0006113D">
      <w:pPr>
        <w:pStyle w:val="BodyText"/>
        <w:spacing w:before="10"/>
      </w:pPr>
    </w:p>
    <w:p w14:paraId="1AB3053F" w14:textId="77777777" w:rsidR="0006113D" w:rsidRDefault="000613C4">
      <w:pPr>
        <w:pStyle w:val="ListParagraph"/>
        <w:numPr>
          <w:ilvl w:val="0"/>
          <w:numId w:val="7"/>
        </w:numPr>
        <w:tabs>
          <w:tab w:val="left" w:pos="2705"/>
        </w:tabs>
        <w:spacing w:before="1" w:line="292" w:lineRule="auto"/>
        <w:ind w:right="867" w:hanging="1049"/>
        <w:jc w:val="both"/>
        <w:rPr>
          <w:sz w:val="20"/>
        </w:rPr>
      </w:pPr>
      <w:r>
        <w:rPr>
          <w:sz w:val="20"/>
        </w:rPr>
        <w:t>audiovisuella kommersiella meddelanden får inte lägga tonvikten på hög alkoholhalt som en positiv kvalitet på dryckerna.</w:t>
      </w:r>
    </w:p>
    <w:p w14:paraId="60DCEF37" w14:textId="77777777" w:rsidR="0006113D" w:rsidRDefault="0006113D">
      <w:pPr>
        <w:pStyle w:val="BodyText"/>
        <w:spacing w:before="31"/>
      </w:pPr>
    </w:p>
    <w:p w14:paraId="16D20D11" w14:textId="77777777" w:rsidR="0006113D" w:rsidRDefault="000613C4">
      <w:pPr>
        <w:pStyle w:val="Heading1"/>
        <w:numPr>
          <w:ilvl w:val="0"/>
          <w:numId w:val="13"/>
        </w:numPr>
        <w:tabs>
          <w:tab w:val="left" w:pos="1713"/>
        </w:tabs>
        <w:ind w:left="1713" w:hanging="851"/>
        <w:jc w:val="left"/>
      </w:pPr>
      <w:bookmarkStart w:id="20" w:name="_Toc184721795"/>
      <w:r>
        <w:t>Sponsring</w:t>
      </w:r>
      <w:bookmarkEnd w:id="20"/>
    </w:p>
    <w:p w14:paraId="134BF0DD" w14:textId="77777777" w:rsidR="0006113D" w:rsidRDefault="000613C4">
      <w:pPr>
        <w:pStyle w:val="ListParagraph"/>
        <w:numPr>
          <w:ilvl w:val="1"/>
          <w:numId w:val="13"/>
        </w:numPr>
        <w:tabs>
          <w:tab w:val="left" w:pos="1711"/>
          <w:tab w:val="left" w:pos="1714"/>
        </w:tabs>
        <w:spacing w:before="389" w:line="292" w:lineRule="auto"/>
        <w:ind w:left="1714" w:right="861" w:hanging="852"/>
        <w:jc w:val="both"/>
        <w:rPr>
          <w:sz w:val="20"/>
        </w:rPr>
      </w:pPr>
      <w:r>
        <w:rPr>
          <w:sz w:val="20"/>
        </w:rPr>
        <w:t>Leverantörer av medietjänster på begäran eller program som sponsras ska uppfylla följande krav:</w:t>
      </w:r>
    </w:p>
    <w:p w14:paraId="6363FDCA" w14:textId="77777777" w:rsidR="0006113D" w:rsidRDefault="0006113D">
      <w:pPr>
        <w:pStyle w:val="BodyText"/>
        <w:spacing w:before="8"/>
      </w:pPr>
    </w:p>
    <w:p w14:paraId="0E0C0E5F" w14:textId="77777777" w:rsidR="0006113D" w:rsidRDefault="000613C4">
      <w:pPr>
        <w:pStyle w:val="ListParagraph"/>
        <w:numPr>
          <w:ilvl w:val="0"/>
          <w:numId w:val="6"/>
        </w:numPr>
        <w:tabs>
          <w:tab w:val="left" w:pos="2705"/>
        </w:tabs>
        <w:spacing w:line="292" w:lineRule="auto"/>
        <w:ind w:right="861"/>
        <w:jc w:val="both"/>
        <w:rPr>
          <w:sz w:val="20"/>
        </w:rPr>
      </w:pPr>
      <w:r>
        <w:rPr>
          <w:sz w:val="20"/>
        </w:rPr>
        <w:t>innehållet i de tjänster på begäran eller program som de tillhandahåller får under inga omständigheter påverkas på ett sådant sätt att det påverkar ansvaret oc</w:t>
      </w:r>
      <w:r>
        <w:rPr>
          <w:sz w:val="20"/>
        </w:rPr>
        <w:t>h det redaktionella oberoendet hos leverantören av medietjänster,</w:t>
      </w:r>
    </w:p>
    <w:p w14:paraId="7F8FF9C5" w14:textId="77777777" w:rsidR="0006113D" w:rsidRDefault="0006113D">
      <w:pPr>
        <w:pStyle w:val="BodyText"/>
        <w:spacing w:before="8"/>
      </w:pPr>
    </w:p>
    <w:p w14:paraId="516E01A9" w14:textId="77777777" w:rsidR="0006113D" w:rsidRDefault="000613C4">
      <w:pPr>
        <w:pStyle w:val="ListParagraph"/>
        <w:numPr>
          <w:ilvl w:val="0"/>
          <w:numId w:val="6"/>
        </w:numPr>
        <w:tabs>
          <w:tab w:val="left" w:pos="2705"/>
        </w:tabs>
        <w:spacing w:line="292" w:lineRule="auto"/>
        <w:ind w:right="863" w:hanging="994"/>
        <w:jc w:val="both"/>
        <w:rPr>
          <w:sz w:val="20"/>
        </w:rPr>
      </w:pPr>
      <w:r>
        <w:rPr>
          <w:sz w:val="20"/>
        </w:rPr>
        <w:t>de tjänster på begäran eller program som de tillhandahåller får inte direkt uppmuntra inköp eller hyra av varor eller tjänster, särskilt inte genom särskilda säljfrämjande hänvisningar till</w:t>
      </w:r>
      <w:r>
        <w:rPr>
          <w:sz w:val="20"/>
        </w:rPr>
        <w:t xml:space="preserve"> dessa varor eller tjänster,</w:t>
      </w:r>
    </w:p>
    <w:p w14:paraId="04429D6B" w14:textId="77777777" w:rsidR="0006113D" w:rsidRDefault="0006113D">
      <w:pPr>
        <w:pStyle w:val="BodyText"/>
        <w:spacing w:before="11"/>
      </w:pPr>
    </w:p>
    <w:p w14:paraId="0A9DD05D" w14:textId="77777777" w:rsidR="0006113D" w:rsidRDefault="000613C4">
      <w:pPr>
        <w:pStyle w:val="ListParagraph"/>
        <w:numPr>
          <w:ilvl w:val="0"/>
          <w:numId w:val="6"/>
        </w:numPr>
        <w:tabs>
          <w:tab w:val="left" w:pos="2705"/>
        </w:tabs>
        <w:ind w:hanging="1037"/>
        <w:jc w:val="left"/>
        <w:rPr>
          <w:sz w:val="20"/>
        </w:rPr>
      </w:pPr>
      <w:r>
        <w:rPr>
          <w:sz w:val="20"/>
        </w:rPr>
        <w:t>publiken ska tydligt informeras om att det finns ett sponsoravtal,</w:t>
      </w:r>
    </w:p>
    <w:p w14:paraId="634F45FE" w14:textId="77777777" w:rsidR="0006113D" w:rsidRDefault="0006113D">
      <w:pPr>
        <w:pStyle w:val="BodyText"/>
        <w:spacing w:before="59"/>
      </w:pPr>
    </w:p>
    <w:p w14:paraId="733D02AD" w14:textId="77777777" w:rsidR="0006113D" w:rsidRDefault="000613C4">
      <w:pPr>
        <w:pStyle w:val="ListParagraph"/>
        <w:numPr>
          <w:ilvl w:val="0"/>
          <w:numId w:val="6"/>
        </w:numPr>
        <w:tabs>
          <w:tab w:val="left" w:pos="2705"/>
        </w:tabs>
        <w:spacing w:line="292" w:lineRule="auto"/>
        <w:ind w:right="865" w:hanging="1049"/>
        <w:jc w:val="both"/>
        <w:rPr>
          <w:sz w:val="20"/>
        </w:rPr>
      </w:pPr>
      <w:r>
        <w:rPr>
          <w:sz w:val="20"/>
        </w:rPr>
        <w:t>sponsrade program ska tydligt kunna identifieras som sådana genom att sponsorns namn, logotyp och/eller eventuell annan symbol, såsom en hänvisning till spons</w:t>
      </w:r>
      <w:r>
        <w:rPr>
          <w:sz w:val="20"/>
        </w:rPr>
        <w:t>orns produkt(er) eller tjänst(er) eller något annat kännetecken, visas på lämpligt sätt i början av programmet, under programmet och/eller i slutet av programmet.</w:t>
      </w:r>
    </w:p>
    <w:p w14:paraId="069CAC26" w14:textId="77777777" w:rsidR="0006113D" w:rsidRDefault="0006113D">
      <w:pPr>
        <w:pStyle w:val="BodyText"/>
        <w:spacing w:before="8"/>
      </w:pPr>
    </w:p>
    <w:p w14:paraId="4384E6AD" w14:textId="77777777" w:rsidR="0006113D" w:rsidRDefault="000613C4">
      <w:pPr>
        <w:pStyle w:val="ListParagraph"/>
        <w:numPr>
          <w:ilvl w:val="1"/>
          <w:numId w:val="13"/>
        </w:numPr>
        <w:tabs>
          <w:tab w:val="left" w:pos="1711"/>
          <w:tab w:val="left" w:pos="1714"/>
        </w:tabs>
        <w:spacing w:line="292" w:lineRule="auto"/>
        <w:ind w:left="1714" w:right="859" w:hanging="852"/>
        <w:jc w:val="both"/>
        <w:rPr>
          <w:sz w:val="20"/>
        </w:rPr>
      </w:pPr>
      <w:r>
        <w:rPr>
          <w:sz w:val="20"/>
        </w:rPr>
        <w:t>Leverantörer av medietjänster på begäran får inte tillåta att tjänster på begäran eller prog</w:t>
      </w:r>
      <w:r>
        <w:rPr>
          <w:sz w:val="20"/>
        </w:rPr>
        <w:t>ram som de tillhandahåller sponsras av företag vars huvudsakliga verksamhet är tillverkning eller försäljning av cigaretter och andra tobaksvaror samt elektroniska cigaretter och påfyllningsbehållare.</w:t>
      </w:r>
    </w:p>
    <w:p w14:paraId="5C924F84" w14:textId="77777777" w:rsidR="0006113D" w:rsidRDefault="0006113D">
      <w:pPr>
        <w:pStyle w:val="BodyText"/>
        <w:spacing w:before="7"/>
      </w:pPr>
    </w:p>
    <w:p w14:paraId="74015E88" w14:textId="77777777" w:rsidR="0006113D" w:rsidRDefault="000613C4">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Leverantörer av medietjänster på begäran får inte tillåta tjänster på begäran eller program </w:t>
      </w:r>
      <w:r>
        <w:rPr>
          <w:sz w:val="20"/>
        </w:rPr>
        <w:lastRenderedPageBreak/>
        <w:t>som de tillhandahåller för att främja särskilda läkemedel eller medicinska behandlingar som är tillgängliga endast efter recept i staten.</w:t>
      </w:r>
    </w:p>
    <w:p w14:paraId="7394709A" w14:textId="77777777" w:rsidR="0006113D" w:rsidRDefault="0006113D">
      <w:pPr>
        <w:pStyle w:val="BodyText"/>
        <w:spacing w:before="8"/>
      </w:pPr>
    </w:p>
    <w:p w14:paraId="20B0C50D" w14:textId="77777777" w:rsidR="0006113D" w:rsidRDefault="000613C4">
      <w:pPr>
        <w:pStyle w:val="ListParagraph"/>
        <w:numPr>
          <w:ilvl w:val="1"/>
          <w:numId w:val="13"/>
        </w:numPr>
        <w:tabs>
          <w:tab w:val="left" w:pos="1711"/>
          <w:tab w:val="left" w:pos="1714"/>
        </w:tabs>
        <w:spacing w:line="292" w:lineRule="auto"/>
        <w:ind w:left="1714" w:right="859" w:hanging="852"/>
        <w:jc w:val="both"/>
        <w:rPr>
          <w:sz w:val="20"/>
        </w:rPr>
      </w:pPr>
      <w:r>
        <w:rPr>
          <w:sz w:val="20"/>
        </w:rPr>
        <w:t>Utan att det påverkar til</w:t>
      </w:r>
      <w:r>
        <w:rPr>
          <w:sz w:val="20"/>
        </w:rPr>
        <w:t>lämpningen av avsnitt 14.3 får leverantörer av medietjänster på begäran tillåta att tjänster på begäran eller program som de tillhandahåller marknadsförs av namn eller image för företag vars verksamhet omfattar tillverkning eller försäljning av läkemedel o</w:t>
      </w:r>
      <w:r>
        <w:rPr>
          <w:sz w:val="20"/>
        </w:rPr>
        <w:t>ch medicinsk behandling.</w:t>
      </w:r>
    </w:p>
    <w:p w14:paraId="43187345" w14:textId="77777777" w:rsidR="0006113D" w:rsidRDefault="000613C4">
      <w:pPr>
        <w:pStyle w:val="ListParagraph"/>
        <w:numPr>
          <w:ilvl w:val="1"/>
          <w:numId w:val="13"/>
        </w:numPr>
        <w:tabs>
          <w:tab w:val="left" w:pos="1711"/>
          <w:tab w:val="left" w:pos="1714"/>
        </w:tabs>
        <w:spacing w:before="79" w:line="292" w:lineRule="auto"/>
        <w:ind w:left="1714" w:right="865" w:hanging="852"/>
        <w:jc w:val="both"/>
        <w:rPr>
          <w:sz w:val="20"/>
        </w:rPr>
      </w:pPr>
      <w:r>
        <w:rPr>
          <w:sz w:val="20"/>
        </w:rPr>
        <w:t>Leverantörer av medietjänster på begäran får inte tillåta sponsring av nyhets- och aktualitetsprogram som de tillhandahåller.</w:t>
      </w:r>
    </w:p>
    <w:p w14:paraId="1C0AECAB" w14:textId="77777777" w:rsidR="0006113D" w:rsidRDefault="0006113D">
      <w:pPr>
        <w:pStyle w:val="BodyText"/>
        <w:spacing w:before="9"/>
      </w:pPr>
    </w:p>
    <w:p w14:paraId="6A26245A" w14:textId="77777777" w:rsidR="0006113D" w:rsidRDefault="000613C4">
      <w:pPr>
        <w:pStyle w:val="ListParagraph"/>
        <w:numPr>
          <w:ilvl w:val="1"/>
          <w:numId w:val="13"/>
        </w:numPr>
        <w:tabs>
          <w:tab w:val="left" w:pos="1711"/>
          <w:tab w:val="left" w:pos="1714"/>
        </w:tabs>
        <w:spacing w:line="292" w:lineRule="auto"/>
        <w:ind w:left="1714" w:right="861" w:hanging="852"/>
        <w:jc w:val="both"/>
        <w:rPr>
          <w:sz w:val="20"/>
        </w:rPr>
      </w:pPr>
      <w:r>
        <w:rPr>
          <w:sz w:val="20"/>
        </w:rPr>
        <w:t>Leverantörer av tjänster på begäran får inte tillåta att en sponsorlogotyp visas under dokumentärer elle</w:t>
      </w:r>
      <w:r>
        <w:rPr>
          <w:sz w:val="20"/>
        </w:rPr>
        <w:t>r religiösa program som de tillhandahåller.</w:t>
      </w:r>
    </w:p>
    <w:p w14:paraId="544D6E6E" w14:textId="77777777" w:rsidR="0006113D" w:rsidRDefault="0006113D">
      <w:pPr>
        <w:pStyle w:val="BodyText"/>
        <w:spacing w:before="33"/>
      </w:pPr>
    </w:p>
    <w:p w14:paraId="399254B8" w14:textId="77777777" w:rsidR="0006113D" w:rsidRDefault="000613C4">
      <w:pPr>
        <w:pStyle w:val="Heading1"/>
        <w:numPr>
          <w:ilvl w:val="0"/>
          <w:numId w:val="13"/>
        </w:numPr>
        <w:tabs>
          <w:tab w:val="left" w:pos="1713"/>
        </w:tabs>
        <w:ind w:left="1713" w:hanging="851"/>
        <w:jc w:val="left"/>
      </w:pPr>
      <w:bookmarkStart w:id="21" w:name="_Toc184721796"/>
      <w:r>
        <w:t>Produktplacering</w:t>
      </w:r>
      <w:bookmarkEnd w:id="21"/>
    </w:p>
    <w:p w14:paraId="3DC8D9C1" w14:textId="77777777" w:rsidR="0006113D" w:rsidRDefault="000613C4">
      <w:pPr>
        <w:pStyle w:val="ListParagraph"/>
        <w:numPr>
          <w:ilvl w:val="1"/>
          <w:numId w:val="13"/>
        </w:numPr>
        <w:tabs>
          <w:tab w:val="left" w:pos="1711"/>
          <w:tab w:val="left" w:pos="1714"/>
        </w:tabs>
        <w:spacing w:before="276" w:line="292" w:lineRule="auto"/>
        <w:ind w:left="1714" w:right="856" w:hanging="852"/>
        <w:jc w:val="both"/>
        <w:rPr>
          <w:sz w:val="20"/>
        </w:rPr>
      </w:pPr>
      <w:r>
        <w:rPr>
          <w:sz w:val="20"/>
        </w:rPr>
        <w:t>Leverantörer av medietjänster på begäran ska tillåta produktplacering i tjänster på begäran som de tillhandahåller, med undantag för nyhets- och samhällsprogram, program för konsumentfrågor, rel</w:t>
      </w:r>
      <w:r>
        <w:rPr>
          <w:sz w:val="20"/>
        </w:rPr>
        <w:t>igiösa program och barnprogram.</w:t>
      </w:r>
    </w:p>
    <w:p w14:paraId="5D56A2D1" w14:textId="77777777" w:rsidR="0006113D" w:rsidRDefault="0006113D">
      <w:pPr>
        <w:pStyle w:val="BodyText"/>
        <w:spacing w:before="8"/>
      </w:pPr>
    </w:p>
    <w:p w14:paraId="5FB126BB" w14:textId="77777777" w:rsidR="0006113D" w:rsidRDefault="000613C4">
      <w:pPr>
        <w:pStyle w:val="ListParagraph"/>
        <w:numPr>
          <w:ilvl w:val="1"/>
          <w:numId w:val="13"/>
        </w:numPr>
        <w:tabs>
          <w:tab w:val="left" w:pos="1711"/>
          <w:tab w:val="left" w:pos="1714"/>
        </w:tabs>
        <w:spacing w:line="292" w:lineRule="auto"/>
        <w:ind w:left="1714" w:right="865" w:hanging="852"/>
        <w:jc w:val="both"/>
        <w:rPr>
          <w:sz w:val="20"/>
        </w:rPr>
      </w:pPr>
      <w:r>
        <w:rPr>
          <w:sz w:val="20"/>
        </w:rPr>
        <w:t>Leverantörer av medietjänster på begäran ska säkerställa att program som innehåller produktplacering uppfyller följande krav:</w:t>
      </w:r>
    </w:p>
    <w:p w14:paraId="2A27C8F9" w14:textId="77777777" w:rsidR="0006113D" w:rsidRDefault="0006113D">
      <w:pPr>
        <w:pStyle w:val="BodyText"/>
        <w:spacing w:before="11"/>
      </w:pPr>
    </w:p>
    <w:p w14:paraId="5355C7A8" w14:textId="77777777" w:rsidR="0006113D" w:rsidRDefault="000613C4">
      <w:pPr>
        <w:pStyle w:val="ListParagraph"/>
        <w:numPr>
          <w:ilvl w:val="0"/>
          <w:numId w:val="5"/>
        </w:numPr>
        <w:tabs>
          <w:tab w:val="left" w:pos="2705"/>
        </w:tabs>
        <w:spacing w:before="1" w:line="292" w:lineRule="auto"/>
        <w:ind w:right="863"/>
        <w:jc w:val="both"/>
        <w:rPr>
          <w:sz w:val="20"/>
        </w:rPr>
      </w:pPr>
      <w:r>
        <w:rPr>
          <w:sz w:val="20"/>
        </w:rPr>
        <w:t xml:space="preserve">innehållet i och organisationen av sådana program i en katalog får under inga omständigheter påverkas på ett sådant sätt att det </w:t>
      </w:r>
      <w:r>
        <w:rPr>
          <w:sz w:val="20"/>
        </w:rPr>
        <w:t>påverkar ansvaret och det redaktionella oberoendet hos leverantören av medietjänster,</w:t>
      </w:r>
    </w:p>
    <w:p w14:paraId="1CD951A6" w14:textId="77777777" w:rsidR="0006113D" w:rsidRDefault="0006113D">
      <w:pPr>
        <w:pStyle w:val="BodyText"/>
        <w:spacing w:before="8"/>
      </w:pPr>
    </w:p>
    <w:p w14:paraId="581E0A12" w14:textId="77777777" w:rsidR="0006113D" w:rsidRDefault="000613C4">
      <w:pPr>
        <w:pStyle w:val="ListParagraph"/>
        <w:numPr>
          <w:ilvl w:val="0"/>
          <w:numId w:val="5"/>
        </w:numPr>
        <w:tabs>
          <w:tab w:val="left" w:pos="2705"/>
        </w:tabs>
        <w:spacing w:line="292" w:lineRule="auto"/>
        <w:ind w:right="867" w:hanging="994"/>
        <w:jc w:val="both"/>
        <w:rPr>
          <w:sz w:val="20"/>
        </w:rPr>
      </w:pPr>
      <w:r>
        <w:rPr>
          <w:sz w:val="20"/>
        </w:rPr>
        <w:t>de får inte direkt uppmuntra inköp eller hyra av varor eller tjänster, särskilt inte genom särskilda säljfrämjande hänvisningar till dessa varor eller tjänster,</w:t>
      </w:r>
    </w:p>
    <w:p w14:paraId="13753A4B" w14:textId="77777777" w:rsidR="0006113D" w:rsidRDefault="0006113D">
      <w:pPr>
        <w:pStyle w:val="BodyText"/>
        <w:spacing w:before="8"/>
      </w:pPr>
    </w:p>
    <w:p w14:paraId="134A1C5A" w14:textId="77777777" w:rsidR="0006113D" w:rsidRDefault="000613C4">
      <w:pPr>
        <w:pStyle w:val="ListParagraph"/>
        <w:numPr>
          <w:ilvl w:val="0"/>
          <w:numId w:val="5"/>
        </w:numPr>
        <w:tabs>
          <w:tab w:val="left" w:pos="2705"/>
        </w:tabs>
        <w:ind w:hanging="1037"/>
        <w:jc w:val="left"/>
        <w:rPr>
          <w:sz w:val="20"/>
        </w:rPr>
      </w:pPr>
      <w:r>
        <w:rPr>
          <w:sz w:val="20"/>
        </w:rPr>
        <w:t xml:space="preserve">de får </w:t>
      </w:r>
      <w:r>
        <w:rPr>
          <w:sz w:val="20"/>
        </w:rPr>
        <w:t>inte på ett otillbörligt sätt framhäva produkten i fråga,</w:t>
      </w:r>
    </w:p>
    <w:p w14:paraId="1D2E58A7" w14:textId="77777777" w:rsidR="0006113D" w:rsidRDefault="0006113D">
      <w:pPr>
        <w:pStyle w:val="BodyText"/>
        <w:spacing w:before="61"/>
      </w:pPr>
    </w:p>
    <w:p w14:paraId="160BBBBD" w14:textId="77777777" w:rsidR="0006113D" w:rsidRDefault="000613C4">
      <w:pPr>
        <w:pStyle w:val="ListParagraph"/>
        <w:numPr>
          <w:ilvl w:val="0"/>
          <w:numId w:val="5"/>
        </w:numPr>
        <w:tabs>
          <w:tab w:val="left" w:pos="2705"/>
        </w:tabs>
        <w:spacing w:line="292" w:lineRule="auto"/>
        <w:ind w:right="863" w:hanging="1049"/>
        <w:jc w:val="both"/>
        <w:rPr>
          <w:sz w:val="20"/>
        </w:rPr>
      </w:pPr>
      <w:r>
        <w:rPr>
          <w:sz w:val="20"/>
        </w:rPr>
        <w:t>publiken ska tydligt informeras om produktplacering genom en lämplig identifiering i början och slutet av programmet och när ett program återupptas efter ett reklamavbrott, för att undvika förvirri</w:t>
      </w:r>
      <w:r>
        <w:rPr>
          <w:sz w:val="20"/>
        </w:rPr>
        <w:t>ng hos tittarna.</w:t>
      </w:r>
    </w:p>
    <w:p w14:paraId="5B2DF68F" w14:textId="77777777" w:rsidR="0006113D" w:rsidRDefault="0006113D">
      <w:pPr>
        <w:pStyle w:val="BodyText"/>
        <w:spacing w:before="6"/>
      </w:pPr>
    </w:p>
    <w:p w14:paraId="0D58AEEF" w14:textId="77777777" w:rsidR="0006113D" w:rsidRDefault="000613C4">
      <w:pPr>
        <w:pStyle w:val="BodyText"/>
        <w:spacing w:line="292" w:lineRule="auto"/>
        <w:ind w:left="1714" w:right="859"/>
        <w:jc w:val="both"/>
      </w:pPr>
      <w:r>
        <w:t>Avsnitt 15.2 iv ovan ska endast tillämpas på program som har producerats eller beställts av leverantören av medietjänster på begäran eller ett företag som är anknutet till dem.</w:t>
      </w:r>
    </w:p>
    <w:p w14:paraId="1E3BB847" w14:textId="77777777" w:rsidR="0006113D" w:rsidRDefault="0006113D">
      <w:pPr>
        <w:pStyle w:val="BodyText"/>
        <w:spacing w:before="8"/>
      </w:pPr>
    </w:p>
    <w:p w14:paraId="74195122" w14:textId="77777777" w:rsidR="0006113D" w:rsidRDefault="000613C4">
      <w:pPr>
        <w:pStyle w:val="ListParagraph"/>
        <w:numPr>
          <w:ilvl w:val="1"/>
          <w:numId w:val="13"/>
        </w:numPr>
        <w:tabs>
          <w:tab w:val="left" w:pos="1711"/>
          <w:tab w:val="left" w:pos="1714"/>
        </w:tabs>
        <w:spacing w:before="1" w:line="292" w:lineRule="auto"/>
        <w:ind w:left="1714" w:right="860" w:hanging="852"/>
        <w:jc w:val="both"/>
        <w:rPr>
          <w:sz w:val="20"/>
        </w:rPr>
      </w:pPr>
      <w:r>
        <w:rPr>
          <w:sz w:val="20"/>
        </w:rPr>
        <w:t>Utan att det påverkar tillämpningen av avsnitten 15.1 och 15.2 får programmen inte innehålla produktplacering av - -</w:t>
      </w:r>
    </w:p>
    <w:p w14:paraId="0A4A8149" w14:textId="77777777" w:rsidR="0006113D" w:rsidRDefault="0006113D">
      <w:pPr>
        <w:pStyle w:val="BodyText"/>
        <w:spacing w:before="10"/>
      </w:pPr>
    </w:p>
    <w:p w14:paraId="674E91C7" w14:textId="77777777" w:rsidR="0006113D" w:rsidRDefault="000613C4">
      <w:pPr>
        <w:pStyle w:val="ListParagraph"/>
        <w:numPr>
          <w:ilvl w:val="0"/>
          <w:numId w:val="4"/>
        </w:numPr>
        <w:tabs>
          <w:tab w:val="left" w:pos="2705"/>
        </w:tabs>
        <w:spacing w:line="292" w:lineRule="auto"/>
        <w:ind w:right="865"/>
        <w:jc w:val="both"/>
        <w:rPr>
          <w:sz w:val="20"/>
        </w:rPr>
      </w:pPr>
      <w:r>
        <w:rPr>
          <w:sz w:val="20"/>
        </w:rPr>
        <w:t>cigaretter och andra tobaksvaror samt elektroniska cigaretter och påfyllningsbehållare, eller produktplacering från företag vars huvudsakliga verksamhet är tillverkning eller försäljning av dessa produkter,</w:t>
      </w:r>
    </w:p>
    <w:p w14:paraId="4C3B6B57" w14:textId="77777777" w:rsidR="0006113D" w:rsidRDefault="0006113D">
      <w:pPr>
        <w:pStyle w:val="BodyText"/>
        <w:spacing w:before="9"/>
      </w:pPr>
    </w:p>
    <w:p w14:paraId="1E91BF99" w14:textId="77777777" w:rsidR="0006113D" w:rsidRDefault="000613C4">
      <w:pPr>
        <w:pStyle w:val="ListParagraph"/>
        <w:numPr>
          <w:ilvl w:val="0"/>
          <w:numId w:val="4"/>
        </w:numPr>
        <w:tabs>
          <w:tab w:val="left" w:pos="2705"/>
        </w:tabs>
        <w:spacing w:line="292" w:lineRule="auto"/>
        <w:ind w:right="867" w:hanging="994"/>
        <w:jc w:val="both"/>
        <w:rPr>
          <w:sz w:val="20"/>
        </w:rPr>
      </w:pPr>
      <w:r>
        <w:rPr>
          <w:sz w:val="20"/>
        </w:rPr>
        <w:t>särskilda läkemedel eller medicinska behandlinga</w:t>
      </w:r>
      <w:r>
        <w:rPr>
          <w:sz w:val="20"/>
        </w:rPr>
        <w:t>r som endast är receptbelagda i staten.</w:t>
      </w:r>
    </w:p>
    <w:p w14:paraId="58702600" w14:textId="77777777" w:rsidR="0006113D" w:rsidRDefault="0006113D">
      <w:pPr>
        <w:pStyle w:val="BodyText"/>
        <w:spacing w:before="8"/>
      </w:pPr>
    </w:p>
    <w:p w14:paraId="616EAA89" w14:textId="77777777" w:rsidR="0006113D" w:rsidRDefault="000613C4">
      <w:pPr>
        <w:pStyle w:val="ListParagraph"/>
        <w:numPr>
          <w:ilvl w:val="1"/>
          <w:numId w:val="13"/>
        </w:numPr>
        <w:tabs>
          <w:tab w:val="left" w:pos="1713"/>
        </w:tabs>
        <w:ind w:left="1713" w:hanging="851"/>
        <w:rPr>
          <w:sz w:val="20"/>
        </w:rPr>
      </w:pPr>
      <w:r>
        <w:rPr>
          <w:sz w:val="20"/>
        </w:rPr>
        <w:t>Avsnitten 15.1, 15.2 och 15.3 ska endast tillämpas på program som producerats efter den 19 december</w:t>
      </w:r>
    </w:p>
    <w:p w14:paraId="6D91301E" w14:textId="77777777" w:rsidR="0006113D" w:rsidRDefault="000613C4">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0613C4">
      <w:pPr>
        <w:pStyle w:val="Heading1"/>
        <w:spacing w:before="23"/>
        <w:ind w:left="395" w:right="181" w:firstLine="0"/>
        <w:jc w:val="center"/>
      </w:pPr>
      <w:bookmarkStart w:id="22" w:name="_Toc184721797"/>
      <w:r>
        <w:rPr>
          <w:color w:val="391200"/>
        </w:rPr>
        <w:lastRenderedPageBreak/>
        <w:t>Bestämmelser för reglerna för medietjänster</w:t>
      </w:r>
      <w:bookmarkEnd w:id="22"/>
    </w:p>
    <w:p w14:paraId="2E33FF75" w14:textId="77777777" w:rsidR="0006113D" w:rsidRDefault="000613C4">
      <w:pPr>
        <w:pStyle w:val="BodyText"/>
        <w:spacing w:before="278"/>
        <w:ind w:left="537" w:right="142"/>
        <w:jc w:val="center"/>
      </w:pPr>
      <w:r>
        <w:t>Följande bestämmelser fastställs i enlighet med avsnitt 46O.1,</w:t>
      </w:r>
      <w:r>
        <w:t xml:space="preserve"> 46O.5, 46O.6, 46O.7 och 46O.9 i lagen.</w:t>
      </w:r>
    </w:p>
    <w:p w14:paraId="1BDBED71" w14:textId="77777777" w:rsidR="0006113D" w:rsidRDefault="0006113D">
      <w:pPr>
        <w:pStyle w:val="BodyText"/>
        <w:spacing w:before="10"/>
      </w:pPr>
    </w:p>
    <w:p w14:paraId="5F30DBE5" w14:textId="77777777" w:rsidR="0006113D" w:rsidRDefault="000613C4">
      <w:pPr>
        <w:pStyle w:val="Heading1"/>
        <w:numPr>
          <w:ilvl w:val="0"/>
          <w:numId w:val="13"/>
        </w:numPr>
        <w:tabs>
          <w:tab w:val="left" w:pos="1572"/>
        </w:tabs>
        <w:spacing w:line="206" w:lineRule="auto"/>
        <w:ind w:left="1572" w:right="1794" w:hanging="852"/>
        <w:jc w:val="left"/>
      </w:pPr>
      <w:bookmarkStart w:id="23" w:name="_Toc184721798"/>
      <w:r>
        <w:t>Tillgång till audiovisuella tjänster på begäran</w:t>
      </w:r>
      <w:bookmarkEnd w:id="23"/>
    </w:p>
    <w:p w14:paraId="7070C3D8" w14:textId="77777777" w:rsidR="0006113D" w:rsidRDefault="0006113D">
      <w:pPr>
        <w:pStyle w:val="BodyText"/>
        <w:spacing w:before="37"/>
        <w:rPr>
          <w:rFonts w:ascii="Georgia"/>
          <w:b/>
          <w:sz w:val="36"/>
        </w:rPr>
      </w:pPr>
    </w:p>
    <w:p w14:paraId="311625A3" w14:textId="77777777" w:rsidR="0006113D" w:rsidRDefault="000613C4">
      <w:pPr>
        <w:pStyle w:val="ListParagraph"/>
        <w:numPr>
          <w:ilvl w:val="1"/>
          <w:numId w:val="13"/>
        </w:numPr>
        <w:tabs>
          <w:tab w:val="left" w:pos="1490"/>
          <w:tab w:val="left" w:pos="1493"/>
        </w:tabs>
        <w:spacing w:before="1" w:line="292" w:lineRule="auto"/>
        <w:ind w:left="1493" w:right="860" w:hanging="773"/>
        <w:jc w:val="both"/>
        <w:rPr>
          <w:sz w:val="20"/>
        </w:rPr>
      </w:pPr>
      <w:r>
        <w:rPr>
          <w:sz w:val="20"/>
        </w:rPr>
        <w:t>Leverantörer av medietjänster på begäran ska vidta proportionella åtgärder för att säkerställa att program som görs tillgängliga på deras tjänster på begäran kontinuerligt och gradvis görs mer tillgängliga för personer med funktionsnedsättning genom tillha</w:t>
      </w:r>
      <w:r>
        <w:rPr>
          <w:sz w:val="20"/>
        </w:rPr>
        <w:t>ndahållande av tillgänglighetstjänster enligt definitionen i dessa föreskrifter och regler.</w:t>
      </w:r>
    </w:p>
    <w:p w14:paraId="39AEB4E8" w14:textId="77777777" w:rsidR="0006113D" w:rsidRDefault="000613C4">
      <w:pPr>
        <w:spacing w:before="208"/>
        <w:ind w:left="720"/>
        <w:rPr>
          <w:rFonts w:ascii="Georgia"/>
          <w:b/>
          <w:sz w:val="28"/>
        </w:rPr>
      </w:pPr>
      <w:r>
        <w:rPr>
          <w:rFonts w:ascii="Georgia"/>
          <w:b/>
          <w:sz w:val="28"/>
        </w:rPr>
        <w:t>Handlingsplan f</w:t>
      </w:r>
      <w:r>
        <w:rPr>
          <w:rFonts w:ascii="Georgia"/>
          <w:b/>
          <w:sz w:val="28"/>
        </w:rPr>
        <w:t>ö</w:t>
      </w:r>
      <w:r>
        <w:rPr>
          <w:rFonts w:ascii="Georgia"/>
          <w:b/>
          <w:sz w:val="28"/>
        </w:rPr>
        <w:t>r tillg</w:t>
      </w:r>
      <w:r>
        <w:rPr>
          <w:rFonts w:ascii="Georgia"/>
          <w:b/>
          <w:sz w:val="28"/>
        </w:rPr>
        <w:t>ä</w:t>
      </w:r>
      <w:r>
        <w:rPr>
          <w:rFonts w:ascii="Georgia"/>
          <w:b/>
          <w:sz w:val="28"/>
        </w:rPr>
        <w:t>nglighet</w:t>
      </w:r>
    </w:p>
    <w:p w14:paraId="7E5F0830" w14:textId="77777777" w:rsidR="0006113D" w:rsidRDefault="000613C4">
      <w:pPr>
        <w:pStyle w:val="ListParagraph"/>
        <w:numPr>
          <w:ilvl w:val="1"/>
          <w:numId w:val="13"/>
        </w:numPr>
        <w:tabs>
          <w:tab w:val="left" w:pos="1510"/>
          <w:tab w:val="left" w:pos="1514"/>
        </w:tabs>
        <w:spacing w:before="312" w:line="290" w:lineRule="auto"/>
        <w:ind w:left="1514" w:right="865" w:hanging="776"/>
        <w:jc w:val="both"/>
        <w:rPr>
          <w:sz w:val="20"/>
        </w:rPr>
      </w:pPr>
      <w:r>
        <w:rPr>
          <w:sz w:val="20"/>
        </w:rPr>
        <w:t xml:space="preserve">Leverantörer av medietjänster på begäran ska utarbeta en handlingsplan för tillgänglighet, som ska överenskommas med kommissionen, </w:t>
      </w:r>
      <w:r>
        <w:rPr>
          <w:sz w:val="20"/>
        </w:rPr>
        <w:t>med avseende på den skyldighet som anges i avsnitt 16.1.</w:t>
      </w:r>
    </w:p>
    <w:p w14:paraId="1ECA0676" w14:textId="77777777" w:rsidR="0006113D" w:rsidRDefault="0006113D">
      <w:pPr>
        <w:pStyle w:val="BodyText"/>
        <w:spacing w:before="54"/>
      </w:pPr>
    </w:p>
    <w:p w14:paraId="47669B6F" w14:textId="77777777" w:rsidR="0006113D" w:rsidRDefault="000613C4">
      <w:pPr>
        <w:pStyle w:val="ListParagraph"/>
        <w:numPr>
          <w:ilvl w:val="1"/>
          <w:numId w:val="13"/>
        </w:numPr>
        <w:tabs>
          <w:tab w:val="left" w:pos="1510"/>
          <w:tab w:val="left" w:pos="1514"/>
        </w:tabs>
        <w:spacing w:line="292" w:lineRule="auto"/>
        <w:ind w:left="1514" w:right="864" w:hanging="776"/>
        <w:jc w:val="both"/>
        <w:rPr>
          <w:sz w:val="20"/>
        </w:rPr>
      </w:pPr>
      <w:r>
        <w:rPr>
          <w:sz w:val="20"/>
        </w:rPr>
        <w:t>Leverantörer av medietjänster på begäran ska göra sin första handlingsplan för tillgänglighet tillgänglig för kommissionen inom sex månader från dagen för offentliggörandet av dessa föreskrifter och</w:t>
      </w:r>
      <w:r>
        <w:rPr>
          <w:sz w:val="20"/>
        </w:rPr>
        <w:t xml:space="preserve"> regler och därefter årligen.</w:t>
      </w:r>
    </w:p>
    <w:p w14:paraId="4665BE80" w14:textId="77777777" w:rsidR="0006113D" w:rsidRDefault="0006113D">
      <w:pPr>
        <w:pStyle w:val="BodyText"/>
        <w:spacing w:before="44"/>
      </w:pPr>
    </w:p>
    <w:p w14:paraId="484A11C9" w14:textId="77777777" w:rsidR="0006113D" w:rsidRDefault="000613C4">
      <w:pPr>
        <w:pStyle w:val="ListParagraph"/>
        <w:numPr>
          <w:ilvl w:val="1"/>
          <w:numId w:val="13"/>
        </w:numPr>
        <w:tabs>
          <w:tab w:val="left" w:pos="1510"/>
          <w:tab w:val="left" w:pos="1514"/>
        </w:tabs>
        <w:spacing w:line="292" w:lineRule="auto"/>
        <w:ind w:left="1514" w:right="862" w:hanging="776"/>
        <w:jc w:val="both"/>
        <w:rPr>
          <w:sz w:val="20"/>
        </w:rPr>
      </w:pPr>
      <w:r>
        <w:rPr>
          <w:sz w:val="20"/>
        </w:rPr>
        <w:t>Leverantörer av medietjänster på begäran ska vid utarbetandet av sin första och efterföljande handlingsplan för tillgänglighet visa att de har tagit vederbörlig hänsyn till de påverkande faktorer som anges i avsnitt 16.6.</w:t>
      </w:r>
    </w:p>
    <w:p w14:paraId="5C992B54" w14:textId="77777777" w:rsidR="0006113D" w:rsidRDefault="000613C4">
      <w:pPr>
        <w:pStyle w:val="ListParagraph"/>
        <w:numPr>
          <w:ilvl w:val="1"/>
          <w:numId w:val="13"/>
        </w:numPr>
        <w:tabs>
          <w:tab w:val="left" w:pos="1510"/>
          <w:tab w:val="left" w:pos="1514"/>
        </w:tabs>
        <w:spacing w:before="227" w:line="292" w:lineRule="auto"/>
        <w:ind w:left="1514" w:right="856" w:hanging="795"/>
        <w:jc w:val="both"/>
        <w:rPr>
          <w:sz w:val="20"/>
        </w:rPr>
      </w:pPr>
      <w:r>
        <w:rPr>
          <w:sz w:val="20"/>
        </w:rPr>
        <w:t>Den handlingsplan för tillgängligh</w:t>
      </w:r>
      <w:r>
        <w:rPr>
          <w:sz w:val="20"/>
        </w:rPr>
        <w:t>et som ska utarbetas och godkännas av kommissionen med avseende på den skyldighet som anges i avsnitt 16.1 ska omfatta följande: -</w:t>
      </w:r>
    </w:p>
    <w:p w14:paraId="7B201126" w14:textId="77777777" w:rsidR="0006113D" w:rsidRDefault="0006113D">
      <w:pPr>
        <w:pStyle w:val="BodyText"/>
        <w:spacing w:before="49"/>
      </w:pPr>
    </w:p>
    <w:p w14:paraId="183EE4A1" w14:textId="77777777" w:rsidR="0006113D" w:rsidRDefault="000613C4">
      <w:pPr>
        <w:pStyle w:val="ListParagraph"/>
        <w:numPr>
          <w:ilvl w:val="0"/>
          <w:numId w:val="3"/>
        </w:numPr>
        <w:tabs>
          <w:tab w:val="left" w:pos="2705"/>
        </w:tabs>
        <w:spacing w:line="292" w:lineRule="auto"/>
        <w:ind w:right="858"/>
        <w:jc w:val="both"/>
        <w:rPr>
          <w:sz w:val="20"/>
        </w:rPr>
      </w:pPr>
      <w:r>
        <w:rPr>
          <w:sz w:val="20"/>
        </w:rPr>
        <w:t>den andel tillträdestjänster som leverantören av medietjänster på begäran avser att tillhandahålla varje år på den tjänst el</w:t>
      </w:r>
      <w:r>
        <w:rPr>
          <w:sz w:val="20"/>
        </w:rPr>
        <w:t>ler de tjänster på begäran som leverantören tillhandahåller,</w:t>
      </w:r>
    </w:p>
    <w:p w14:paraId="3FD5B7D9" w14:textId="77777777" w:rsidR="0006113D" w:rsidRDefault="0006113D">
      <w:pPr>
        <w:pStyle w:val="BodyText"/>
        <w:spacing w:before="49"/>
      </w:pPr>
    </w:p>
    <w:p w14:paraId="04FAE4FD" w14:textId="77777777" w:rsidR="0006113D" w:rsidRDefault="000613C4">
      <w:pPr>
        <w:pStyle w:val="ListParagraph"/>
        <w:numPr>
          <w:ilvl w:val="0"/>
          <w:numId w:val="3"/>
        </w:numPr>
        <w:tabs>
          <w:tab w:val="left" w:pos="2705"/>
        </w:tabs>
        <w:spacing w:line="292" w:lineRule="auto"/>
        <w:ind w:right="864" w:hanging="996"/>
        <w:jc w:val="both"/>
        <w:rPr>
          <w:sz w:val="20"/>
        </w:rPr>
      </w:pPr>
      <w:r>
        <w:rPr>
          <w:sz w:val="20"/>
        </w:rPr>
        <w:t>de åtgärder som ska vidtas för att följa de kvalitetsnormer som kommissionen utarbetat i enlighet med avsnitt 16.7,</w:t>
      </w:r>
    </w:p>
    <w:p w14:paraId="282F79A1" w14:textId="77777777" w:rsidR="0006113D" w:rsidRDefault="0006113D">
      <w:pPr>
        <w:pStyle w:val="BodyText"/>
        <w:spacing w:before="49"/>
      </w:pPr>
    </w:p>
    <w:p w14:paraId="4059E669" w14:textId="77777777" w:rsidR="0006113D" w:rsidRDefault="000613C4">
      <w:pPr>
        <w:pStyle w:val="ListParagraph"/>
        <w:numPr>
          <w:ilvl w:val="0"/>
          <w:numId w:val="3"/>
        </w:numPr>
        <w:tabs>
          <w:tab w:val="left" w:pos="2705"/>
        </w:tabs>
        <w:spacing w:line="292" w:lineRule="auto"/>
        <w:ind w:right="866" w:hanging="1040"/>
        <w:jc w:val="both"/>
        <w:rPr>
          <w:sz w:val="20"/>
        </w:rPr>
      </w:pPr>
      <w:r>
        <w:rPr>
          <w:sz w:val="20"/>
        </w:rPr>
        <w:t>förslag avseende tillhandahållande av information om nödsituationer enligt av</w:t>
      </w:r>
      <w:r>
        <w:rPr>
          <w:sz w:val="20"/>
        </w:rPr>
        <w:t>snitt 16.8,</w:t>
      </w:r>
    </w:p>
    <w:p w14:paraId="53E92A94" w14:textId="77777777" w:rsidR="0006113D" w:rsidRDefault="0006113D">
      <w:pPr>
        <w:pStyle w:val="BodyText"/>
        <w:spacing w:before="49"/>
      </w:pPr>
    </w:p>
    <w:p w14:paraId="331340D7" w14:textId="77777777" w:rsidR="0006113D" w:rsidRDefault="000613C4">
      <w:pPr>
        <w:pStyle w:val="ListParagraph"/>
        <w:numPr>
          <w:ilvl w:val="0"/>
          <w:numId w:val="3"/>
        </w:numPr>
        <w:tabs>
          <w:tab w:val="left" w:pos="2705"/>
        </w:tabs>
        <w:spacing w:line="292" w:lineRule="auto"/>
        <w:ind w:right="859" w:hanging="1052"/>
        <w:jc w:val="both"/>
        <w:rPr>
          <w:sz w:val="20"/>
        </w:rPr>
      </w:pPr>
      <w:r>
        <w:rPr>
          <w:sz w:val="20"/>
        </w:rPr>
        <w:t>det sätt på vilket leverantören av medietjänster på begäran kommer att främja tillträdestjänster som görs tillgängliga på den eller de tjänster på begäran som leverantören tillhandahåller,</w:t>
      </w:r>
    </w:p>
    <w:p w14:paraId="04AB401E" w14:textId="77777777" w:rsidR="0006113D" w:rsidRDefault="0006113D">
      <w:pPr>
        <w:pStyle w:val="BodyText"/>
        <w:spacing w:before="49"/>
      </w:pPr>
    </w:p>
    <w:p w14:paraId="38C7615E" w14:textId="77777777" w:rsidR="0006113D" w:rsidRDefault="000613C4">
      <w:pPr>
        <w:pStyle w:val="ListParagraph"/>
        <w:numPr>
          <w:ilvl w:val="0"/>
          <w:numId w:val="3"/>
        </w:numPr>
        <w:tabs>
          <w:tab w:val="left" w:pos="2705"/>
        </w:tabs>
        <w:spacing w:line="292" w:lineRule="auto"/>
        <w:ind w:right="859" w:hanging="1006"/>
        <w:jc w:val="both"/>
        <w:rPr>
          <w:sz w:val="20"/>
        </w:rPr>
      </w:pPr>
      <w:r>
        <w:rPr>
          <w:sz w:val="20"/>
        </w:rPr>
        <w:t xml:space="preserve">förslag om samråd med användare av tillträdestjänster, däribland handikapporganisationer, om leverantören av medietjänster tillhandahåller </w:t>
      </w:r>
      <w:r>
        <w:rPr>
          <w:sz w:val="20"/>
        </w:rPr>
        <w:lastRenderedPageBreak/>
        <w:t>tillträdestjänster för den eller de medietjänster på begäran som leverantören tillhandahåller,</w:t>
      </w:r>
    </w:p>
    <w:p w14:paraId="170E5512" w14:textId="77777777" w:rsidR="0006113D" w:rsidRDefault="000613C4">
      <w:pPr>
        <w:pStyle w:val="ListParagraph"/>
        <w:numPr>
          <w:ilvl w:val="0"/>
          <w:numId w:val="3"/>
        </w:numPr>
        <w:tabs>
          <w:tab w:val="left" w:pos="2705"/>
        </w:tabs>
        <w:spacing w:before="81"/>
        <w:ind w:right="859" w:hanging="1052"/>
        <w:jc w:val="both"/>
        <w:rPr>
          <w:sz w:val="20"/>
        </w:rPr>
      </w:pPr>
      <w:r>
        <w:rPr>
          <w:sz w:val="20"/>
        </w:rPr>
        <w:t>förslag för att säkers</w:t>
      </w:r>
      <w:r>
        <w:rPr>
          <w:sz w:val="20"/>
        </w:rPr>
        <w:t>tälla att det finns en tillgänglig mekanism för att hantera klagomål och förfrågningar från publik när det gäller tillhandahållandet av tillträdestjänster,</w:t>
      </w:r>
    </w:p>
    <w:p w14:paraId="1BE25973" w14:textId="77777777" w:rsidR="0006113D" w:rsidRDefault="0006113D">
      <w:pPr>
        <w:pStyle w:val="BodyText"/>
        <w:spacing w:before="47"/>
      </w:pPr>
    </w:p>
    <w:p w14:paraId="558E564F" w14:textId="77777777" w:rsidR="0006113D" w:rsidRDefault="000613C4">
      <w:pPr>
        <w:pStyle w:val="ListParagraph"/>
        <w:numPr>
          <w:ilvl w:val="0"/>
          <w:numId w:val="3"/>
        </w:numPr>
        <w:tabs>
          <w:tab w:val="left" w:pos="2705"/>
        </w:tabs>
        <w:spacing w:before="1" w:line="292" w:lineRule="auto"/>
        <w:ind w:right="861" w:hanging="1095"/>
        <w:jc w:val="both"/>
        <w:rPr>
          <w:sz w:val="20"/>
        </w:rPr>
      </w:pPr>
      <w:r>
        <w:rPr>
          <w:sz w:val="20"/>
        </w:rPr>
        <w:t>förslag från leverantören av medietjänster på begäran om att förbättra kvaliteten på deras tillträd</w:t>
      </w:r>
      <w:r>
        <w:rPr>
          <w:sz w:val="20"/>
        </w:rPr>
        <w:t>estjänster och övervaka deras tjänster för att säkerställa att kvalitetsstandarderna konsekvent uppfylls.</w:t>
      </w:r>
    </w:p>
    <w:p w14:paraId="5092041E" w14:textId="77777777" w:rsidR="0006113D" w:rsidRDefault="0006113D">
      <w:pPr>
        <w:pStyle w:val="BodyText"/>
        <w:spacing w:before="8"/>
      </w:pPr>
    </w:p>
    <w:p w14:paraId="0CB4D090" w14:textId="77777777" w:rsidR="0006113D" w:rsidRDefault="000613C4">
      <w:pPr>
        <w:pStyle w:val="BodyText"/>
        <w:spacing w:line="292" w:lineRule="auto"/>
        <w:ind w:left="1440" w:right="860"/>
        <w:jc w:val="both"/>
      </w:pPr>
      <w:r>
        <w:t xml:space="preserve">Leverantörer av medietjänster på begäran ska förse kommissionen med sin årliga handlingsplan för tillgänglighet i ett tillgängligt format som lämpar </w:t>
      </w:r>
      <w:r>
        <w:t>sig för offentliggörande på kommissionens webbplats.</w:t>
      </w:r>
    </w:p>
    <w:p w14:paraId="0FB1D9BD" w14:textId="77777777" w:rsidR="0006113D" w:rsidRDefault="000613C4">
      <w:pPr>
        <w:spacing w:before="169"/>
        <w:ind w:left="1428"/>
        <w:jc w:val="both"/>
        <w:rPr>
          <w:rFonts w:ascii="Georgia"/>
          <w:b/>
          <w:sz w:val="28"/>
        </w:rPr>
      </w:pPr>
      <w:r>
        <w:rPr>
          <w:rFonts w:ascii="Georgia"/>
          <w:b/>
          <w:sz w:val="28"/>
        </w:rPr>
        <w:t>P</w:t>
      </w:r>
      <w:r>
        <w:rPr>
          <w:rFonts w:ascii="Georgia"/>
          <w:b/>
          <w:sz w:val="28"/>
        </w:rPr>
        <w:t>å</w:t>
      </w:r>
      <w:r>
        <w:rPr>
          <w:rFonts w:ascii="Georgia"/>
          <w:b/>
          <w:sz w:val="28"/>
        </w:rPr>
        <w:t>verkande faktorer</w:t>
      </w:r>
    </w:p>
    <w:p w14:paraId="34FAEEB1" w14:textId="7860B6C6" w:rsidR="0006113D" w:rsidRDefault="000613C4">
      <w:pPr>
        <w:pStyle w:val="ListParagraph"/>
        <w:numPr>
          <w:ilvl w:val="1"/>
          <w:numId w:val="13"/>
        </w:numPr>
        <w:tabs>
          <w:tab w:val="left" w:pos="1425"/>
          <w:tab w:val="left" w:pos="1428"/>
        </w:tabs>
        <w:spacing w:before="152" w:line="292" w:lineRule="auto"/>
        <w:ind w:left="1428" w:right="859" w:hanging="708"/>
        <w:jc w:val="both"/>
        <w:rPr>
          <w:sz w:val="20"/>
        </w:rPr>
      </w:pPr>
      <w:r>
        <w:rPr>
          <w:sz w:val="20"/>
        </w:rPr>
        <w:t>Vid fastställandet av de proportionella åtgärder som ska vidtas enligt avsnitt 16.1 och som specificeras i deras årliga handlingsplan för tillgänglighet ska leverantörer av medietjäns</w:t>
      </w:r>
      <w:r>
        <w:rPr>
          <w:sz w:val="20"/>
        </w:rPr>
        <w:t>ter på begäran visa att vederbörlig hänsyn tagits till följande påverkande faktorer</w:t>
      </w:r>
      <w:hyperlink w:anchor="_bookmark26" w:history="1">
        <w:r>
          <w:rPr>
            <w:sz w:val="20"/>
          </w:rPr>
          <w:t>,</w:t>
        </w:r>
        <w:r w:rsidR="003C0382">
          <w:rPr>
            <w:rStyle w:val="FootnoteReference"/>
            <w:position w:val="6"/>
            <w:sz w:val="13"/>
          </w:rPr>
          <w:footnoteReference w:id="5"/>
        </w:r>
      </w:hyperlink>
      <w:r>
        <w:rPr>
          <w:sz w:val="13"/>
        </w:rPr>
        <w:t xml:space="preserve"> </w:t>
      </w:r>
      <w:r>
        <w:rPr>
          <w:sz w:val="20"/>
        </w:rPr>
        <w:t>det vill säga: -</w:t>
      </w:r>
    </w:p>
    <w:p w14:paraId="19A3DDA3" w14:textId="77777777" w:rsidR="0006113D" w:rsidRDefault="0006113D">
      <w:pPr>
        <w:pStyle w:val="BodyText"/>
        <w:spacing w:before="80"/>
      </w:pPr>
    </w:p>
    <w:p w14:paraId="3E7A67D1" w14:textId="77777777" w:rsidR="0006113D" w:rsidRDefault="000613C4">
      <w:pPr>
        <w:pStyle w:val="ListParagraph"/>
        <w:numPr>
          <w:ilvl w:val="0"/>
          <w:numId w:val="2"/>
        </w:numPr>
        <w:tabs>
          <w:tab w:val="left" w:pos="2705"/>
        </w:tabs>
        <w:spacing w:before="1" w:line="276" w:lineRule="auto"/>
        <w:ind w:right="861"/>
        <w:jc w:val="left"/>
        <w:rPr>
          <w:sz w:val="20"/>
        </w:rPr>
      </w:pPr>
      <w:r>
        <w:rPr>
          <w:sz w:val="20"/>
        </w:rPr>
        <w:t>typen av leverantör av audiovisuella medietjänster på begäran och de tjänster som tillhandahålls,</w:t>
      </w:r>
    </w:p>
    <w:p w14:paraId="78EDA034" w14:textId="77777777" w:rsidR="0006113D" w:rsidRDefault="000613C4">
      <w:pPr>
        <w:pStyle w:val="ListParagraph"/>
        <w:numPr>
          <w:ilvl w:val="0"/>
          <w:numId w:val="2"/>
        </w:numPr>
        <w:tabs>
          <w:tab w:val="left" w:pos="2705"/>
        </w:tabs>
        <w:spacing w:before="160" w:line="276" w:lineRule="auto"/>
        <w:ind w:right="862" w:hanging="996"/>
        <w:jc w:val="left"/>
        <w:rPr>
          <w:sz w:val="20"/>
        </w:rPr>
      </w:pPr>
      <w:r>
        <w:rPr>
          <w:sz w:val="20"/>
        </w:rPr>
        <w:t>utvecklingsstadiet för leverantören av audiovisuella medietjänster på begäran och dess kapacitet att tillhandahålla tillgängliga program,</w:t>
      </w:r>
    </w:p>
    <w:p w14:paraId="4F27DE94" w14:textId="77777777" w:rsidR="0006113D" w:rsidRDefault="000613C4">
      <w:pPr>
        <w:pStyle w:val="ListParagraph"/>
        <w:numPr>
          <w:ilvl w:val="0"/>
          <w:numId w:val="2"/>
        </w:numPr>
        <w:tabs>
          <w:tab w:val="left" w:pos="2705"/>
        </w:tabs>
        <w:spacing w:before="159" w:line="276" w:lineRule="auto"/>
        <w:ind w:right="867" w:hanging="1040"/>
        <w:jc w:val="left"/>
        <w:rPr>
          <w:sz w:val="20"/>
        </w:rPr>
      </w:pPr>
      <w:r>
        <w:rPr>
          <w:sz w:val="20"/>
        </w:rPr>
        <w:t>nivån på det nuvaran</w:t>
      </w:r>
      <w:r>
        <w:rPr>
          <w:sz w:val="20"/>
        </w:rPr>
        <w:t>de tillhandahållandet av tillgänglighetstjänster som leverantören av medietjänster tillhandahåller på de tjänster på begäran som leverantören tillhandahöll,</w:t>
      </w:r>
    </w:p>
    <w:p w14:paraId="4792BEFD" w14:textId="77777777" w:rsidR="0006113D" w:rsidRDefault="000613C4">
      <w:pPr>
        <w:pStyle w:val="ListParagraph"/>
        <w:numPr>
          <w:ilvl w:val="0"/>
          <w:numId w:val="2"/>
        </w:numPr>
        <w:tabs>
          <w:tab w:val="left" w:pos="2705"/>
        </w:tabs>
        <w:spacing w:before="160" w:line="276" w:lineRule="auto"/>
        <w:ind w:right="858" w:hanging="1052"/>
        <w:jc w:val="left"/>
        <w:rPr>
          <w:sz w:val="20"/>
        </w:rPr>
      </w:pPr>
      <w:r>
        <w:rPr>
          <w:sz w:val="20"/>
        </w:rPr>
        <w:t>den typ av program som tillhandahålls i katalogen över de tjänster på begäran som tillhandahålls av</w:t>
      </w:r>
      <w:r>
        <w:rPr>
          <w:sz w:val="20"/>
        </w:rPr>
        <w:t xml:space="preserve"> leverantören av medietjänster,</w:t>
      </w:r>
    </w:p>
    <w:p w14:paraId="63B5C6FA" w14:textId="77777777" w:rsidR="0006113D" w:rsidRDefault="000613C4">
      <w:pPr>
        <w:pStyle w:val="ListParagraph"/>
        <w:numPr>
          <w:ilvl w:val="0"/>
          <w:numId w:val="2"/>
        </w:numPr>
        <w:tabs>
          <w:tab w:val="left" w:pos="2705"/>
        </w:tabs>
        <w:spacing w:before="160" w:line="276" w:lineRule="auto"/>
        <w:ind w:right="867" w:hanging="1006"/>
        <w:jc w:val="left"/>
        <w:rPr>
          <w:sz w:val="20"/>
        </w:rPr>
      </w:pPr>
      <w:r>
        <w:rPr>
          <w:sz w:val="20"/>
        </w:rPr>
        <w:t>de tekniska kostnaderna och personalkostnaderna för leverantören av medietjänster för att tillhandahålla tillträdestjänster,</w:t>
      </w:r>
    </w:p>
    <w:p w14:paraId="4F9F4135" w14:textId="77777777" w:rsidR="0006113D" w:rsidRDefault="000613C4">
      <w:pPr>
        <w:pStyle w:val="ListParagraph"/>
        <w:numPr>
          <w:ilvl w:val="0"/>
          <w:numId w:val="2"/>
        </w:numPr>
        <w:tabs>
          <w:tab w:val="left" w:pos="2705"/>
        </w:tabs>
        <w:spacing w:before="160" w:line="276" w:lineRule="auto"/>
        <w:ind w:right="863" w:hanging="1052"/>
        <w:jc w:val="left"/>
        <w:rPr>
          <w:sz w:val="20"/>
        </w:rPr>
      </w:pPr>
      <w:r>
        <w:rPr>
          <w:sz w:val="20"/>
        </w:rPr>
        <w:t>den tekniska kapaciteten hos leverantören av medietjänster att tillhandahålla tillträdestjänster på</w:t>
      </w:r>
      <w:r>
        <w:rPr>
          <w:sz w:val="20"/>
        </w:rPr>
        <w:t xml:space="preserve"> de tjänster på begäran som leverantören tillhandahåller.</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0613C4">
      <w:pPr>
        <w:ind w:left="1440"/>
        <w:jc w:val="both"/>
        <w:rPr>
          <w:rFonts w:ascii="Georgia"/>
          <w:b/>
          <w:sz w:val="28"/>
        </w:rPr>
      </w:pPr>
      <w:r>
        <w:rPr>
          <w:rFonts w:ascii="Georgia"/>
          <w:b/>
          <w:sz w:val="28"/>
        </w:rPr>
        <w:t>Kvalitetsstandarder</w:t>
      </w:r>
    </w:p>
    <w:p w14:paraId="16891038" w14:textId="77777777" w:rsidR="0006113D" w:rsidRDefault="000613C4">
      <w:pPr>
        <w:pStyle w:val="ListParagraph"/>
        <w:numPr>
          <w:ilvl w:val="1"/>
          <w:numId w:val="13"/>
        </w:numPr>
        <w:tabs>
          <w:tab w:val="left" w:pos="1424"/>
          <w:tab w:val="left" w:pos="1428"/>
        </w:tabs>
        <w:spacing w:before="270" w:line="292" w:lineRule="auto"/>
        <w:ind w:left="1428" w:right="858" w:hanging="776"/>
        <w:jc w:val="both"/>
        <w:rPr>
          <w:sz w:val="20"/>
        </w:rPr>
      </w:pPr>
      <w:r>
        <w:rPr>
          <w:sz w:val="20"/>
        </w:rPr>
        <w:t>Leverantörer av medietjänster på begäran ska, i den mån det är praktiskt möjligt, följa kvalitetsstandarder för tillhandahållande av tillträdestjänster som tillämpas av kommissionen och som utvecklats efter samråd med allmänheten och leverantörer av mediet</w:t>
      </w:r>
      <w:r>
        <w:rPr>
          <w:sz w:val="20"/>
        </w:rPr>
        <w:t>jänster på begäran.</w:t>
      </w:r>
    </w:p>
    <w:p w14:paraId="233FF648" w14:textId="77777777" w:rsidR="0006113D" w:rsidRDefault="0006113D">
      <w:pPr>
        <w:pStyle w:val="BodyText"/>
      </w:pPr>
    </w:p>
    <w:p w14:paraId="4B4BD028" w14:textId="4F35A392" w:rsidR="0006113D" w:rsidRDefault="000613C4">
      <w:pPr>
        <w:spacing w:before="50"/>
        <w:ind w:left="1440"/>
        <w:rPr>
          <w:rFonts w:ascii="Georgia"/>
          <w:b/>
          <w:sz w:val="28"/>
        </w:rPr>
      </w:pPr>
      <w:r>
        <w:rPr>
          <w:rFonts w:ascii="Georgia"/>
          <w:b/>
          <w:sz w:val="28"/>
        </w:rPr>
        <w:t>N</w:t>
      </w:r>
      <w:r>
        <w:rPr>
          <w:rFonts w:ascii="Georgia"/>
          <w:b/>
          <w:sz w:val="28"/>
        </w:rPr>
        <w:t>ö</w:t>
      </w:r>
      <w:r>
        <w:rPr>
          <w:rFonts w:ascii="Georgia"/>
          <w:b/>
          <w:sz w:val="28"/>
        </w:rPr>
        <w:t>dinformation</w:t>
      </w:r>
    </w:p>
    <w:p w14:paraId="367D5916" w14:textId="77777777" w:rsidR="0006113D" w:rsidRDefault="000613C4">
      <w:pPr>
        <w:pStyle w:val="ListParagraph"/>
        <w:numPr>
          <w:ilvl w:val="1"/>
          <w:numId w:val="13"/>
        </w:numPr>
        <w:tabs>
          <w:tab w:val="left" w:pos="1495"/>
          <w:tab w:val="left" w:pos="1498"/>
        </w:tabs>
        <w:spacing w:before="270" w:line="292" w:lineRule="auto"/>
        <w:ind w:left="1498" w:right="864" w:hanging="778"/>
        <w:jc w:val="both"/>
        <w:rPr>
          <w:sz w:val="20"/>
        </w:rPr>
      </w:pPr>
      <w:r>
        <w:rPr>
          <w:sz w:val="20"/>
        </w:rPr>
        <w:lastRenderedPageBreak/>
        <w:t xml:space="preserve">Om en tjänst på begäran överför nödinformation, </w:t>
      </w:r>
      <w:proofErr w:type="gramStart"/>
      <w:r>
        <w:rPr>
          <w:sz w:val="20"/>
        </w:rPr>
        <w:t>inbegripet kommunikation</w:t>
      </w:r>
      <w:proofErr w:type="gramEnd"/>
      <w:r>
        <w:rPr>
          <w:sz w:val="20"/>
        </w:rPr>
        <w:t xml:space="preserve"> till allmänheten och meddelanden i samband med naturkatastrofer, ska leverantören av den tjänsten säkerställa att denna information tillhandahålls </w:t>
      </w:r>
      <w:r>
        <w:rPr>
          <w:sz w:val="20"/>
        </w:rPr>
        <w:t>på ett sätt som är tillgängligt för personer med funktionsnedsättning.</w:t>
      </w:r>
    </w:p>
    <w:p w14:paraId="1C0B8AD3" w14:textId="77777777" w:rsidR="003C0382" w:rsidRDefault="003C0382">
      <w:pPr>
        <w:spacing w:before="169"/>
        <w:ind w:left="1440"/>
        <w:rPr>
          <w:rFonts w:ascii="Georgia"/>
          <w:b/>
          <w:spacing w:val="-2"/>
          <w:sz w:val="28"/>
          <w:lang w:val="el-GR"/>
        </w:rPr>
      </w:pPr>
    </w:p>
    <w:p w14:paraId="01CF7092" w14:textId="417E0ED3" w:rsidR="0006113D" w:rsidRDefault="000613C4">
      <w:pPr>
        <w:spacing w:before="169"/>
        <w:ind w:left="1440"/>
        <w:rPr>
          <w:rFonts w:ascii="Georgia"/>
          <w:b/>
          <w:sz w:val="28"/>
        </w:rPr>
      </w:pPr>
      <w:r>
        <w:rPr>
          <w:rFonts w:ascii="Georgia"/>
          <w:b/>
          <w:sz w:val="28"/>
        </w:rPr>
        <w:t>Rapportering</w:t>
      </w:r>
    </w:p>
    <w:p w14:paraId="0E1E40C6" w14:textId="77777777" w:rsidR="0006113D" w:rsidRDefault="000613C4">
      <w:pPr>
        <w:pStyle w:val="ListParagraph"/>
        <w:numPr>
          <w:ilvl w:val="1"/>
          <w:numId w:val="13"/>
        </w:numPr>
        <w:tabs>
          <w:tab w:val="left" w:pos="1490"/>
          <w:tab w:val="left" w:pos="1493"/>
        </w:tabs>
        <w:spacing w:before="272" w:line="292" w:lineRule="auto"/>
        <w:ind w:left="1493" w:right="860" w:hanging="773"/>
        <w:jc w:val="both"/>
        <w:rPr>
          <w:sz w:val="20"/>
        </w:rPr>
      </w:pPr>
      <w:r>
        <w:rPr>
          <w:sz w:val="20"/>
        </w:rPr>
        <w:t>För att göra det möjligt för kommissionen att uppfylla sin rapporteringsskyldighet enligt artikel 7.2 i direktivet om audiovisuella medietjänster ska leverantörer av medie</w:t>
      </w:r>
      <w:r>
        <w:rPr>
          <w:sz w:val="20"/>
        </w:rPr>
        <w:t>tjänster på begäran lämna en rapport till kommissionen, på ett sätt som ska specificeras närmare, om genomförandet av de första och efterföljande årliga handlingsplaner för tillgänglighet som överenskommits med kommissionen.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0613C4">
      <w:pPr>
        <w:pStyle w:val="Heading1"/>
        <w:spacing w:before="23"/>
        <w:ind w:left="395" w:right="537" w:firstLine="0"/>
        <w:jc w:val="center"/>
      </w:pPr>
      <w:bookmarkStart w:id="24" w:name="_Toc184721799"/>
      <w:r>
        <w:rPr>
          <w:color w:val="391200"/>
        </w:rPr>
        <w:lastRenderedPageBreak/>
        <w:t>Vägledning</w:t>
      </w:r>
      <w:bookmarkEnd w:id="24"/>
    </w:p>
    <w:p w14:paraId="49A28056" w14:textId="77777777" w:rsidR="0006113D" w:rsidRDefault="000613C4">
      <w:pPr>
        <w:pStyle w:val="Heading1"/>
        <w:spacing w:before="181"/>
        <w:ind w:left="395" w:right="531" w:firstLine="0"/>
        <w:jc w:val="center"/>
      </w:pPr>
      <w:bookmarkStart w:id="25" w:name="_Toc184721800"/>
      <w:r>
        <w:t>Påverkande faktorer</w:t>
      </w:r>
      <w:bookmarkEnd w:id="25"/>
    </w:p>
    <w:p w14:paraId="7A224685" w14:textId="77777777" w:rsidR="0006113D" w:rsidRDefault="000613C4">
      <w:pPr>
        <w:pStyle w:val="BodyText"/>
        <w:spacing w:before="158" w:line="292" w:lineRule="auto"/>
        <w:ind w:left="720" w:right="856"/>
        <w:jc w:val="both"/>
      </w:pPr>
      <w:r>
        <w:t xml:space="preserve">I avsnitt 16 i </w:t>
      </w:r>
      <w:proofErr w:type="spellStart"/>
      <w:r>
        <w:t>Coimisiún</w:t>
      </w:r>
      <w:proofErr w:type="spellEnd"/>
      <w:r>
        <w:t xml:space="preserve"> </w:t>
      </w:r>
      <w:proofErr w:type="spellStart"/>
      <w:r>
        <w:t>na</w:t>
      </w:r>
      <w:proofErr w:type="spellEnd"/>
      <w:r>
        <w:t xml:space="preserve"> </w:t>
      </w:r>
      <w:proofErr w:type="spellStart"/>
      <w:r>
        <w:t>Meáns</w:t>
      </w:r>
      <w:proofErr w:type="spellEnd"/>
      <w:r>
        <w:t xml:space="preserve"> föreskrifter om </w:t>
      </w:r>
      <w:proofErr w:type="spellStart"/>
      <w:r>
        <w:t>mediatjänster</w:t>
      </w:r>
      <w:proofErr w:type="spellEnd"/>
      <w:r>
        <w:t xml:space="preserve"> och regler om medietjänster – leverantörer av audiovisuella medietjänster på begäran anges att leverantörer av medietjänster på begäran vid utarbetandet av sin första och e</w:t>
      </w:r>
      <w:r>
        <w:t>fterföljande handlingsplan för tillgänglighet ska visa att de tagit vederbörlig hänsyn till de påverkande faktorer som anges i avsnitt 16.6 i reglerna när de fastställer vilka proportionella åtgärder som ska vidtas för att säkerställa att program som tillh</w:t>
      </w:r>
      <w:r>
        <w:t>andahålls på deras tjänster på begäran fortlöpande och gradvis görs tillgängliga för personer med funktionsnedsättning. Detta dokument ger ytterligare vägledning i detta avseende.</w:t>
      </w:r>
    </w:p>
    <w:p w14:paraId="0FF85002" w14:textId="77777777" w:rsidR="0006113D" w:rsidRDefault="000613C4">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Typen av leverant</w:t>
      </w:r>
      <w:r>
        <w:rPr>
          <w:rFonts w:ascii="Georgia"/>
          <w:b/>
          <w:sz w:val="28"/>
        </w:rPr>
        <w:t>ö</w:t>
      </w:r>
      <w:r>
        <w:rPr>
          <w:rFonts w:ascii="Georgia"/>
          <w:b/>
          <w:sz w:val="28"/>
        </w:rPr>
        <w:t>r av audiovisuella medietj</w:t>
      </w:r>
      <w:r>
        <w:rPr>
          <w:rFonts w:ascii="Georgia"/>
          <w:b/>
          <w:sz w:val="28"/>
        </w:rPr>
        <w:t>ä</w:t>
      </w:r>
      <w:r>
        <w:rPr>
          <w:rFonts w:ascii="Georgia"/>
          <w:b/>
          <w:sz w:val="28"/>
        </w:rPr>
        <w:t>nster p</w:t>
      </w:r>
      <w:r>
        <w:rPr>
          <w:rFonts w:ascii="Georgia"/>
          <w:b/>
          <w:sz w:val="28"/>
        </w:rPr>
        <w:t>å</w:t>
      </w:r>
      <w:r>
        <w:rPr>
          <w:rFonts w:ascii="Georgia"/>
          <w:b/>
          <w:sz w:val="28"/>
        </w:rPr>
        <w:t xml:space="preserve"> beg</w:t>
      </w:r>
      <w:r>
        <w:rPr>
          <w:rFonts w:ascii="Georgia"/>
          <w:b/>
          <w:sz w:val="28"/>
        </w:rPr>
        <w:t>ä</w:t>
      </w:r>
      <w:r>
        <w:rPr>
          <w:rFonts w:ascii="Georgia"/>
          <w:b/>
          <w:sz w:val="28"/>
        </w:rPr>
        <w:t>ran och de tj</w:t>
      </w:r>
      <w:r>
        <w:rPr>
          <w:rFonts w:ascii="Georgia"/>
          <w:b/>
          <w:sz w:val="28"/>
        </w:rPr>
        <w:t>ä</w:t>
      </w:r>
      <w:r>
        <w:rPr>
          <w:rFonts w:ascii="Georgia"/>
          <w:b/>
          <w:sz w:val="28"/>
        </w:rPr>
        <w:t>nste</w:t>
      </w:r>
      <w:r>
        <w:rPr>
          <w:rFonts w:ascii="Georgia"/>
          <w:b/>
          <w:sz w:val="28"/>
        </w:rPr>
        <w:t>r som tillhandah</w:t>
      </w:r>
      <w:r>
        <w:rPr>
          <w:rFonts w:ascii="Georgia"/>
          <w:b/>
          <w:sz w:val="28"/>
        </w:rPr>
        <w:t>å</w:t>
      </w:r>
      <w:r>
        <w:rPr>
          <w:rFonts w:ascii="Georgia"/>
          <w:b/>
          <w:sz w:val="28"/>
        </w:rPr>
        <w:t>lls.</w:t>
      </w:r>
    </w:p>
    <w:p w14:paraId="44222196" w14:textId="77777777" w:rsidR="0006113D" w:rsidRDefault="000613C4">
      <w:pPr>
        <w:pStyle w:val="BodyText"/>
        <w:spacing w:before="281" w:line="292" w:lineRule="auto"/>
        <w:ind w:left="1440" w:right="862"/>
        <w:jc w:val="both"/>
      </w:pPr>
      <w:r>
        <w:rPr>
          <w:b/>
        </w:rPr>
        <w:t>Vägledning</w:t>
      </w:r>
      <w:r>
        <w:t>: Är tjänsten/tjänsterna av offentlig eller privat karaktär? Erhåller tjänsten offentliga medel och kan den därmed ha ett större public service-uppdrag? Har tjänsten särskilda mål, kulturella, sociala eller språkliga, som ka</w:t>
      </w:r>
      <w:r>
        <w:t>n påverka dess förmåga att tillhandahålla tillgängliga tjänster?</w:t>
      </w:r>
    </w:p>
    <w:p w14:paraId="6C6F4E8E" w14:textId="77777777" w:rsidR="0006113D" w:rsidRDefault="0006113D">
      <w:pPr>
        <w:pStyle w:val="BodyText"/>
        <w:spacing w:before="8"/>
      </w:pPr>
    </w:p>
    <w:p w14:paraId="0525A057" w14:textId="77777777" w:rsidR="0006113D" w:rsidRDefault="000613C4">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Utvecklingsstadiet f</w:t>
      </w:r>
      <w:r>
        <w:rPr>
          <w:rFonts w:ascii="Georgia"/>
          <w:b/>
          <w:sz w:val="28"/>
        </w:rPr>
        <w:t>ö</w:t>
      </w:r>
      <w:r>
        <w:rPr>
          <w:rFonts w:ascii="Georgia"/>
          <w:b/>
          <w:sz w:val="28"/>
        </w:rPr>
        <w:t>r leverant</w:t>
      </w:r>
      <w:r>
        <w:rPr>
          <w:rFonts w:ascii="Georgia"/>
          <w:b/>
          <w:sz w:val="28"/>
        </w:rPr>
        <w:t>ö</w:t>
      </w:r>
      <w:r>
        <w:rPr>
          <w:rFonts w:ascii="Georgia"/>
          <w:b/>
          <w:sz w:val="28"/>
        </w:rPr>
        <w:t>ren av audiovisuella medietj</w:t>
      </w:r>
      <w:r>
        <w:rPr>
          <w:rFonts w:ascii="Georgia"/>
          <w:b/>
          <w:sz w:val="28"/>
        </w:rPr>
        <w:t>ä</w:t>
      </w:r>
      <w:r>
        <w:rPr>
          <w:rFonts w:ascii="Georgia"/>
          <w:b/>
          <w:sz w:val="28"/>
        </w:rPr>
        <w:t>nster p</w:t>
      </w:r>
      <w:r>
        <w:rPr>
          <w:rFonts w:ascii="Georgia"/>
          <w:b/>
          <w:sz w:val="28"/>
        </w:rPr>
        <w:t>å</w:t>
      </w:r>
      <w:r>
        <w:rPr>
          <w:rFonts w:ascii="Georgia"/>
          <w:b/>
          <w:sz w:val="28"/>
        </w:rPr>
        <w:t xml:space="preserve"> beg</w:t>
      </w:r>
      <w:r>
        <w:rPr>
          <w:rFonts w:ascii="Georgia"/>
          <w:b/>
          <w:sz w:val="28"/>
        </w:rPr>
        <w:t>ä</w:t>
      </w:r>
      <w:r>
        <w:rPr>
          <w:rFonts w:ascii="Georgia"/>
          <w:b/>
          <w:sz w:val="28"/>
        </w:rPr>
        <w:t>ran och dess kapacitet att tillhandah</w:t>
      </w:r>
      <w:r>
        <w:rPr>
          <w:rFonts w:ascii="Georgia"/>
          <w:b/>
          <w:sz w:val="28"/>
        </w:rPr>
        <w:t>å</w:t>
      </w:r>
      <w:r>
        <w:rPr>
          <w:rFonts w:ascii="Georgia"/>
          <w:b/>
          <w:sz w:val="28"/>
        </w:rPr>
        <w:t>lla tillg</w:t>
      </w:r>
      <w:r>
        <w:rPr>
          <w:rFonts w:ascii="Georgia"/>
          <w:b/>
          <w:sz w:val="28"/>
        </w:rPr>
        <w:t>ä</w:t>
      </w:r>
      <w:r>
        <w:rPr>
          <w:rFonts w:ascii="Georgia"/>
          <w:b/>
          <w:sz w:val="28"/>
        </w:rPr>
        <w:t>ngliga program.</w:t>
      </w:r>
    </w:p>
    <w:p w14:paraId="0F84DBBC" w14:textId="77777777" w:rsidR="0006113D" w:rsidRDefault="000613C4">
      <w:pPr>
        <w:pStyle w:val="BodyText"/>
        <w:spacing w:before="278" w:line="292" w:lineRule="auto"/>
        <w:ind w:left="1440" w:right="860"/>
        <w:jc w:val="both"/>
      </w:pPr>
      <w:r>
        <w:rPr>
          <w:b/>
        </w:rPr>
        <w:t xml:space="preserve">Vägledning: </w:t>
      </w:r>
      <w:r>
        <w:t xml:space="preserve">Hur länge har tjänsten/tjänsterna varit </w:t>
      </w:r>
      <w:r>
        <w:t>i drift? Hur stor erfarenhet har leverantören av medietjänster av att tillhandahålla tillträdestjänster? Finns det redan sakkunskap inom eller tillgänglig för leverantören av medietjänster när det gäller tillhandahållande av tillträdestjänster? Vilken är d</w:t>
      </w:r>
      <w:r>
        <w:t>eras marknadsandel?</w:t>
      </w:r>
    </w:p>
    <w:p w14:paraId="76EE82A0" w14:textId="77777777" w:rsidR="0006113D" w:rsidRDefault="000613C4">
      <w:pPr>
        <w:pStyle w:val="ListParagraph"/>
        <w:numPr>
          <w:ilvl w:val="0"/>
          <w:numId w:val="1"/>
        </w:numPr>
        <w:tabs>
          <w:tab w:val="left" w:pos="1428"/>
        </w:tabs>
        <w:spacing w:before="211"/>
        <w:rPr>
          <w:rFonts w:ascii="Georgia"/>
          <w:b/>
          <w:sz w:val="28"/>
        </w:rPr>
      </w:pPr>
      <w:r>
        <w:rPr>
          <w:rFonts w:ascii="Georgia"/>
          <w:b/>
          <w:sz w:val="28"/>
        </w:rPr>
        <w:t>Niv</w:t>
      </w:r>
      <w:r>
        <w:rPr>
          <w:rFonts w:ascii="Georgia"/>
          <w:b/>
          <w:sz w:val="28"/>
        </w:rPr>
        <w:t>å</w:t>
      </w:r>
      <w:r>
        <w:rPr>
          <w:rFonts w:ascii="Georgia"/>
          <w:b/>
          <w:sz w:val="28"/>
        </w:rPr>
        <w:t>n p</w:t>
      </w:r>
      <w:r>
        <w:rPr>
          <w:rFonts w:ascii="Georgia"/>
          <w:b/>
          <w:sz w:val="28"/>
        </w:rPr>
        <w:t>å</w:t>
      </w:r>
      <w:r>
        <w:rPr>
          <w:rFonts w:ascii="Georgia"/>
          <w:b/>
          <w:sz w:val="28"/>
        </w:rPr>
        <w:t xml:space="preserve"> det nuvarande tillhandah</w:t>
      </w:r>
      <w:r>
        <w:rPr>
          <w:rFonts w:ascii="Georgia"/>
          <w:b/>
          <w:sz w:val="28"/>
        </w:rPr>
        <w:t>å</w:t>
      </w:r>
      <w:r>
        <w:rPr>
          <w:rFonts w:ascii="Georgia"/>
          <w:b/>
          <w:sz w:val="28"/>
        </w:rPr>
        <w:t>llandet av tilltr</w:t>
      </w:r>
      <w:r>
        <w:rPr>
          <w:rFonts w:ascii="Georgia"/>
          <w:b/>
          <w:sz w:val="28"/>
        </w:rPr>
        <w:t>ä</w:t>
      </w:r>
      <w:r>
        <w:rPr>
          <w:rFonts w:ascii="Georgia"/>
          <w:b/>
          <w:sz w:val="28"/>
        </w:rPr>
        <w:t>destj</w:t>
      </w:r>
      <w:r>
        <w:rPr>
          <w:rFonts w:ascii="Georgia"/>
          <w:b/>
          <w:sz w:val="28"/>
        </w:rPr>
        <w:t>ä</w:t>
      </w:r>
      <w:r>
        <w:rPr>
          <w:rFonts w:ascii="Georgia"/>
          <w:b/>
          <w:sz w:val="28"/>
        </w:rPr>
        <w:t>nster.</w:t>
      </w:r>
    </w:p>
    <w:p w14:paraId="37163155" w14:textId="77777777" w:rsidR="0006113D" w:rsidRDefault="000613C4">
      <w:pPr>
        <w:pStyle w:val="BodyText"/>
        <w:spacing w:before="269" w:line="292" w:lineRule="auto"/>
        <w:ind w:left="1440" w:right="864"/>
        <w:jc w:val="both"/>
      </w:pPr>
      <w:r>
        <w:rPr>
          <w:b/>
        </w:rPr>
        <w:t xml:space="preserve">Vägledning: </w:t>
      </w:r>
      <w:r>
        <w:t xml:space="preserve">Vilken är utgångspunkten? </w:t>
      </w:r>
      <w:r>
        <w:t>Hur mycket undertextning, bildtextning, teckenspråk eller ljudbeskrivning finns för närvarande på de tjänster på begäran som de tillhandahåller?</w:t>
      </w:r>
    </w:p>
    <w:p w14:paraId="696F516F" w14:textId="77777777" w:rsidR="0006113D" w:rsidRDefault="0006113D">
      <w:pPr>
        <w:pStyle w:val="BodyText"/>
        <w:spacing w:before="10"/>
      </w:pPr>
    </w:p>
    <w:p w14:paraId="6E93FB12" w14:textId="77777777" w:rsidR="0006113D" w:rsidRDefault="000613C4">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Den typ av program som tillhandah</w:t>
      </w:r>
      <w:r>
        <w:rPr>
          <w:rFonts w:ascii="Georgia"/>
          <w:b/>
          <w:sz w:val="28"/>
        </w:rPr>
        <w:t>å</w:t>
      </w:r>
      <w:r>
        <w:rPr>
          <w:rFonts w:ascii="Georgia"/>
          <w:b/>
          <w:sz w:val="28"/>
        </w:rPr>
        <w:t xml:space="preserve">lls i katalogen </w:t>
      </w:r>
      <w:r>
        <w:rPr>
          <w:rFonts w:ascii="Georgia"/>
          <w:b/>
          <w:sz w:val="28"/>
        </w:rPr>
        <w:t>ö</w:t>
      </w:r>
      <w:r>
        <w:rPr>
          <w:rFonts w:ascii="Georgia"/>
          <w:b/>
          <w:sz w:val="28"/>
        </w:rPr>
        <w:t>ver audiovisuell(a) medietj</w:t>
      </w:r>
      <w:r>
        <w:rPr>
          <w:rFonts w:ascii="Georgia"/>
          <w:b/>
          <w:sz w:val="28"/>
        </w:rPr>
        <w:t>ä</w:t>
      </w:r>
      <w:r>
        <w:rPr>
          <w:rFonts w:ascii="Georgia"/>
          <w:b/>
          <w:sz w:val="28"/>
        </w:rPr>
        <w:t>nst(er) p</w:t>
      </w:r>
      <w:r>
        <w:rPr>
          <w:rFonts w:ascii="Georgia"/>
          <w:b/>
          <w:sz w:val="28"/>
        </w:rPr>
        <w:t>å</w:t>
      </w:r>
      <w:r>
        <w:rPr>
          <w:rFonts w:ascii="Georgia"/>
          <w:b/>
          <w:sz w:val="28"/>
        </w:rPr>
        <w:t xml:space="preserve"> beg</w:t>
      </w:r>
      <w:r>
        <w:rPr>
          <w:rFonts w:ascii="Georgia"/>
          <w:b/>
          <w:sz w:val="28"/>
        </w:rPr>
        <w:t>ä</w:t>
      </w:r>
      <w:r>
        <w:rPr>
          <w:rFonts w:ascii="Georgia"/>
          <w:b/>
          <w:sz w:val="28"/>
        </w:rPr>
        <w:t>ran.</w:t>
      </w:r>
    </w:p>
    <w:p w14:paraId="3E13C305" w14:textId="77777777" w:rsidR="0006113D" w:rsidRDefault="000613C4">
      <w:pPr>
        <w:pStyle w:val="BodyText"/>
        <w:spacing w:before="277" w:line="292" w:lineRule="auto"/>
        <w:ind w:left="1440" w:right="857"/>
        <w:jc w:val="both"/>
      </w:pPr>
      <w:r>
        <w:rPr>
          <w:b/>
        </w:rPr>
        <w:t xml:space="preserve">Vägledning: </w:t>
      </w:r>
      <w:r>
        <w:t>Förvärvar tjänsten/tjänsterna mycket innehåll från tredje part? Hur många inhemskt producerade program tillhandahåller tjänsten? Produceras progr</w:t>
      </w:r>
      <w:r>
        <w:t>am på ett oberoende sätt? Dessa frågor är relevanta, eftersom typen av program i katalogen påverkar kostnaderna, de tekniska anläggningarna, personalen och förmågan att tillhandahålla tillträdestjänster.</w:t>
      </w:r>
    </w:p>
    <w:p w14:paraId="172D7CCC" w14:textId="77777777" w:rsidR="0006113D" w:rsidRDefault="0006113D">
      <w:pPr>
        <w:pStyle w:val="BodyText"/>
        <w:spacing w:before="12"/>
      </w:pPr>
    </w:p>
    <w:p w14:paraId="471959C1" w14:textId="77777777" w:rsidR="0006113D" w:rsidRDefault="000613C4">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De tekniska kostnaderna och personalkostnaderna f</w:t>
      </w:r>
      <w:r>
        <w:rPr>
          <w:rFonts w:ascii="Georgia"/>
          <w:b/>
          <w:sz w:val="28"/>
        </w:rPr>
        <w:t>ö</w:t>
      </w:r>
      <w:r>
        <w:rPr>
          <w:rFonts w:ascii="Georgia"/>
          <w:b/>
          <w:sz w:val="28"/>
        </w:rPr>
        <w:t>r</w:t>
      </w:r>
      <w:r>
        <w:rPr>
          <w:rFonts w:ascii="Georgia"/>
          <w:b/>
          <w:sz w:val="28"/>
        </w:rPr>
        <w:t xml:space="preserve"> leverant</w:t>
      </w:r>
      <w:r>
        <w:rPr>
          <w:rFonts w:ascii="Georgia"/>
          <w:b/>
          <w:sz w:val="28"/>
        </w:rPr>
        <w:t>ö</w:t>
      </w:r>
      <w:r>
        <w:rPr>
          <w:rFonts w:ascii="Georgia"/>
          <w:b/>
          <w:sz w:val="28"/>
        </w:rPr>
        <w:t>rer av audiovisuella medietj</w:t>
      </w:r>
      <w:r>
        <w:rPr>
          <w:rFonts w:ascii="Georgia"/>
          <w:b/>
          <w:sz w:val="28"/>
        </w:rPr>
        <w:t>ä</w:t>
      </w:r>
      <w:r>
        <w:rPr>
          <w:rFonts w:ascii="Georgia"/>
          <w:b/>
          <w:sz w:val="28"/>
        </w:rPr>
        <w:t>nster p</w:t>
      </w:r>
      <w:r>
        <w:rPr>
          <w:rFonts w:ascii="Georgia"/>
          <w:b/>
          <w:sz w:val="28"/>
        </w:rPr>
        <w:t>å</w:t>
      </w:r>
      <w:r>
        <w:rPr>
          <w:rFonts w:ascii="Georgia"/>
          <w:b/>
          <w:sz w:val="28"/>
        </w:rPr>
        <w:t xml:space="preserve"> beg</w:t>
      </w:r>
      <w:r>
        <w:rPr>
          <w:rFonts w:ascii="Georgia"/>
          <w:b/>
          <w:sz w:val="28"/>
        </w:rPr>
        <w:t>ä</w:t>
      </w:r>
      <w:r>
        <w:rPr>
          <w:rFonts w:ascii="Georgia"/>
          <w:b/>
          <w:sz w:val="28"/>
        </w:rPr>
        <w:t>ran av tilltr</w:t>
      </w:r>
      <w:r>
        <w:rPr>
          <w:rFonts w:ascii="Georgia"/>
          <w:b/>
          <w:sz w:val="28"/>
        </w:rPr>
        <w:t>ä</w:t>
      </w:r>
      <w:r>
        <w:rPr>
          <w:rFonts w:ascii="Georgia"/>
          <w:b/>
          <w:sz w:val="28"/>
        </w:rPr>
        <w:t>destj</w:t>
      </w:r>
      <w:r>
        <w:rPr>
          <w:rFonts w:ascii="Georgia"/>
          <w:b/>
          <w:sz w:val="28"/>
        </w:rPr>
        <w:t>ä</w:t>
      </w:r>
      <w:r>
        <w:rPr>
          <w:rFonts w:ascii="Georgia"/>
          <w:b/>
          <w:sz w:val="28"/>
        </w:rPr>
        <w:t>nster.</w:t>
      </w:r>
    </w:p>
    <w:p w14:paraId="32950B12" w14:textId="77777777" w:rsidR="0006113D" w:rsidRDefault="000613C4">
      <w:pPr>
        <w:pStyle w:val="BodyText"/>
        <w:spacing w:before="277" w:line="292" w:lineRule="auto"/>
        <w:ind w:left="1440" w:right="867"/>
        <w:jc w:val="both"/>
      </w:pPr>
      <w:r>
        <w:rPr>
          <w:b/>
        </w:rPr>
        <w:lastRenderedPageBreak/>
        <w:t xml:space="preserve">Vägledning: </w:t>
      </w:r>
      <w:r>
        <w:t>Vilken är den finansiella kapaciteten hos leverantören av medietjänster och de sannolika ekonomiska konsekvenserna av att tillhandahålla tillträdestjänster?</w:t>
      </w:r>
    </w:p>
    <w:p w14:paraId="2F8929A2" w14:textId="77777777" w:rsidR="0006113D" w:rsidRDefault="000613C4">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Den tekn</w:t>
      </w:r>
      <w:r>
        <w:rPr>
          <w:rFonts w:ascii="Georgia"/>
          <w:b/>
          <w:sz w:val="28"/>
        </w:rPr>
        <w:t>iska kapaciteten hos leverant</w:t>
      </w:r>
      <w:r>
        <w:rPr>
          <w:rFonts w:ascii="Georgia"/>
          <w:b/>
          <w:sz w:val="28"/>
        </w:rPr>
        <w:t>ö</w:t>
      </w:r>
      <w:r>
        <w:rPr>
          <w:rFonts w:ascii="Georgia"/>
          <w:b/>
          <w:sz w:val="28"/>
        </w:rPr>
        <w:t>ren av audiovisuella medietj</w:t>
      </w:r>
      <w:r>
        <w:rPr>
          <w:rFonts w:ascii="Georgia"/>
          <w:b/>
          <w:sz w:val="28"/>
        </w:rPr>
        <w:t>ä</w:t>
      </w:r>
      <w:r>
        <w:rPr>
          <w:rFonts w:ascii="Georgia"/>
          <w:b/>
          <w:sz w:val="28"/>
        </w:rPr>
        <w:t>nster p</w:t>
      </w:r>
      <w:r>
        <w:rPr>
          <w:rFonts w:ascii="Georgia"/>
          <w:b/>
          <w:sz w:val="28"/>
        </w:rPr>
        <w:t>å</w:t>
      </w:r>
      <w:r>
        <w:rPr>
          <w:rFonts w:ascii="Georgia"/>
          <w:b/>
          <w:sz w:val="28"/>
        </w:rPr>
        <w:t xml:space="preserve"> beg</w:t>
      </w:r>
      <w:r>
        <w:rPr>
          <w:rFonts w:ascii="Georgia"/>
          <w:b/>
          <w:sz w:val="28"/>
        </w:rPr>
        <w:t>ä</w:t>
      </w:r>
      <w:r>
        <w:rPr>
          <w:rFonts w:ascii="Georgia"/>
          <w:b/>
          <w:sz w:val="28"/>
        </w:rPr>
        <w:t>ran.</w:t>
      </w:r>
    </w:p>
    <w:p w14:paraId="3C0EF761" w14:textId="77777777" w:rsidR="0006113D" w:rsidRDefault="000613C4">
      <w:pPr>
        <w:pStyle w:val="BodyText"/>
        <w:spacing w:before="277" w:line="292" w:lineRule="auto"/>
        <w:ind w:left="1440" w:right="865"/>
        <w:jc w:val="both"/>
      </w:pPr>
      <w:r>
        <w:rPr>
          <w:b/>
        </w:rPr>
        <w:t xml:space="preserve">Vägledning: </w:t>
      </w:r>
      <w:r>
        <w:t>Vilka anläggningar och vilken sakkunskap finns för närvarande inom tjänsten för att tillhandahålla tillträdestjänster? Har tjänsten den tekniska kapaciteten att tillha</w:t>
      </w:r>
      <w:r>
        <w:t>ndahålla tillträdestjänster? Vilken nivå och typ av teknisk utrustning och sakkunskap skulle krävas?</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8D81" w14:textId="77777777" w:rsidR="000613C4" w:rsidRDefault="000613C4">
      <w:r>
        <w:separator/>
      </w:r>
    </w:p>
  </w:endnote>
  <w:endnote w:type="continuationSeparator" w:id="0">
    <w:p w14:paraId="5CDF181D" w14:textId="77777777" w:rsidR="000613C4" w:rsidRDefault="0006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0613C4">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480BADF"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1B839981"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0613C4">
                          <w:pPr>
                            <w:pStyle w:val="BodyText"/>
                            <w:spacing w:before="12"/>
                            <w:ind w:left="20" w:right="18"/>
                          </w:pPr>
                          <w:r>
                            <w:rPr>
                              <w:color w:val="391200"/>
                            </w:rPr>
                            <w:t>Föreskrifter om audiovisuella medietjänster och regler för audiovisuella medietjänster på begäran</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0613C4">
                    <w:pPr>
                      <w:pStyle w:val="BodyText"/>
                      <w:spacing w:before="12"/>
                      <w:ind w:left="20" w:right="18"/>
                    </w:pPr>
                    <w:r>
                      <w:rPr>
                        <w:color w:val="391200"/>
                      </w:rPr>
                      <w:t>Föreskrifter om audiovisuella medietjänster och regler för audiovisuella medietjänster på begäran</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0613C4">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0613C4">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8FC9" w14:textId="77777777" w:rsidR="000613C4" w:rsidRDefault="000613C4">
      <w:r>
        <w:separator/>
      </w:r>
    </w:p>
  </w:footnote>
  <w:footnote w:type="continuationSeparator" w:id="0">
    <w:p w14:paraId="64710EEA" w14:textId="77777777" w:rsidR="000613C4" w:rsidRDefault="000613C4">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erkänner den roll som gruppen för audiovisuella tjänster på begäran (nedan kallad </w:t>
      </w:r>
      <w:r>
        <w:rPr>
          <w:i/>
          <w:iCs/>
          <w:sz w:val="18"/>
        </w:rPr>
        <w:t>ODAS</w:t>
      </w:r>
      <w:r>
        <w:rPr>
          <w:sz w:val="18"/>
        </w:rPr>
        <w:t xml:space="preserve">) och deras uppförandekod har när det gäller att tillhandahålla ett ramverk för leverantörer av medietjänster på begäran innan föreskrifterna och reglerna införs. Efter offentliggörandet av föreskrifterna och reglerna kommer den rättsliga grunden för uppförandekoden från ODAS att upphävas genom ett lagstadgat instrument. </w:t>
      </w:r>
      <w:proofErr w:type="spellStart"/>
      <w:r>
        <w:rPr>
          <w:sz w:val="18"/>
        </w:rPr>
        <w:t>Coimisiún</w:t>
      </w:r>
      <w:proofErr w:type="spellEnd"/>
      <w:r>
        <w:rPr>
          <w:sz w:val="18"/>
        </w:rPr>
        <w:t xml:space="preserve"> </w:t>
      </w:r>
      <w:proofErr w:type="spellStart"/>
      <w:r>
        <w:rPr>
          <w:sz w:val="18"/>
        </w:rPr>
        <w:t>na</w:t>
      </w:r>
      <w:proofErr w:type="spellEnd"/>
      <w:r>
        <w:rPr>
          <w:sz w:val="18"/>
        </w:rPr>
        <w:t xml:space="preserve"> </w:t>
      </w:r>
      <w:proofErr w:type="spellStart"/>
      <w:r>
        <w:rPr>
          <w:sz w:val="18"/>
        </w:rPr>
        <w:t>Meán</w:t>
      </w:r>
      <w:proofErr w:type="spellEnd"/>
      <w:r>
        <w:rPr>
          <w:sz w:val="18"/>
        </w:rPr>
        <w:t xml:space="preserve"> kommer att fortsätta sitt pågående samarbete med medlemmar i ODAS som en del av sitt </w:t>
      </w:r>
      <w:proofErr w:type="spellStart"/>
      <w:r>
        <w:rPr>
          <w:sz w:val="18"/>
        </w:rPr>
        <w:t>regleringssamarbete</w:t>
      </w:r>
      <w:proofErr w:type="spellEnd"/>
      <w:r>
        <w:rPr>
          <w:sz w:val="18"/>
        </w:rPr>
        <w:t xml:space="preserve"> med den bredare sektorn för tjänster på begäran.</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När det gäller kommersiella meddelanden drivs en icke-lagstadgad klagomålsprocess av Irlands reklamnämnd (ASA). ASA bedömer klagomål mot sin uppförandekod för reklam och marknadsföringskommunikation i Irland – besök </w:t>
      </w:r>
      <w:hyperlink r:id="rId1">
        <w:r>
          <w:rPr>
            <w:color w:val="0462C1"/>
            <w:sz w:val="18"/>
            <w:u w:val="single" w:color="0462C1"/>
          </w:rPr>
          <w:t>https://adstandards.ie</w:t>
        </w:r>
      </w:hyperlink>
      <w:r>
        <w:rPr>
          <w:color w:val="0462C1"/>
          <w:sz w:val="18"/>
        </w:rPr>
        <w:t xml:space="preserve"> </w:t>
      </w:r>
      <w:r>
        <w:rPr>
          <w:sz w:val="18"/>
        </w:rPr>
        <w:t xml:space="preserve">för mer information. Liknande klagomålsförfaranden drivs i andra europeiska medlemsstater av andra medlemmar i </w:t>
      </w:r>
      <w:proofErr w:type="spellStart"/>
      <w:r>
        <w:rPr>
          <w:sz w:val="18"/>
        </w:rPr>
        <w:t>European</w:t>
      </w:r>
      <w:proofErr w:type="spellEnd"/>
      <w:r>
        <w:rPr>
          <w:sz w:val="18"/>
        </w:rPr>
        <w:t xml:space="preserve"> </w:t>
      </w:r>
      <w:proofErr w:type="spellStart"/>
      <w:r>
        <w:rPr>
          <w:sz w:val="18"/>
        </w:rPr>
        <w:t>Advertising</w:t>
      </w:r>
      <w:proofErr w:type="spellEnd"/>
      <w:r>
        <w:rPr>
          <w:sz w:val="18"/>
        </w:rPr>
        <w:t xml:space="preserve"> Standards Alliance (se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Detta omfattar, men är inte begränsat till, medlemmar av resandefolket och romska grupper.</w:t>
      </w:r>
    </w:p>
  </w:footnote>
  <w:footnote w:id="4">
    <w:p w14:paraId="54C42AB4" w14:textId="3F7A735A" w:rsidR="003C0382" w:rsidRPr="003C0382" w:rsidRDefault="003C0382">
      <w:pPr>
        <w:pStyle w:val="FootnoteText"/>
      </w:pPr>
      <w:r>
        <w:rPr>
          <w:rStyle w:val="FootnoteReference"/>
        </w:rPr>
        <w:footnoteRef/>
      </w:r>
      <w:r>
        <w:t xml:space="preserve"> </w:t>
      </w:r>
      <w:r>
        <w:rPr>
          <w:sz w:val="18"/>
        </w:rPr>
        <w:t>En åtgärd för ålderskontroll som enbart grundar sig på egenförsäkran om ålder från användarna av tjänsten ska inte anses vara en effektiv form av ålderskontroll i den mening som avses i dessa föreskrifter och regler.</w:t>
      </w:r>
    </w:p>
  </w:footnote>
  <w:footnote w:id="5">
    <w:p w14:paraId="3150B168" w14:textId="7042D6C1" w:rsidR="003C0382" w:rsidRPr="003C0382" w:rsidRDefault="003C0382">
      <w:pPr>
        <w:pStyle w:val="FootnoteText"/>
      </w:pPr>
      <w:r>
        <w:rPr>
          <w:rStyle w:val="FootnoteReference"/>
        </w:rPr>
        <w:footnoteRef/>
      </w:r>
      <w:r>
        <w:t xml:space="preserve"> </w:t>
      </w:r>
      <w:r>
        <w:rPr>
          <w:sz w:val="18"/>
        </w:rPr>
        <w:t>Icke-bindande vägledning om dessa påverkande faktorer har tagits fram av kommissionen och finns på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0613C4"/>
    <w:rsid w:val="00110D01"/>
    <w:rsid w:val="00352871"/>
    <w:rsid w:val="003C0382"/>
    <w:rsid w:val="003C4019"/>
    <w:rsid w:val="003E521E"/>
    <w:rsid w:val="004332A0"/>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5378</Words>
  <Characters>34262</Characters>
  <Application>Microsoft Office Word</Application>
  <DocSecurity>0</DocSecurity>
  <Lines>778</Lines>
  <Paragraphs>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2024-12-10T10:16:00Z</dcterms:created>
  <dcterms:modified xsi:type="dcterms:W3CDTF">2024-12-10T10:16:00Z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