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BULGAARIA VABARIIK</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MINISTRITE NÕUKOGU</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EELNÕU!</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D E K R E E T  nr</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Ministrite nõukogu 2021. aasta dekreediga nr 50 (SG nr 14, 2021) vastu võetud määruse, mis käsitleb osalejate registreerimise ja identifitseerimise tingimusi ja korda, Bulgaaria Vabariigi territooriumil korraldatavate internetipõhiste kihlvedudega seotud andmete säilitamist ning hasartmänguteabe esitamist riikliku maksuameti (NRA) serverile, muutmine ja täiendamine</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M I N I S T R I T E  N Õ U K O G U  O T S U S T A B  J Ä R G M I S T.</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 1.</w:t>
      </w:r>
      <w:r>
        <w:rPr>
          <w:b/>
        </w:rPr>
        <w:t xml:space="preserve"> </w:t>
      </w:r>
      <w:r>
        <w:t xml:space="preserve">Artiklit 8 muudetakse ja täiendatakse järgmiselt.</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Lisatakse järgmine uus lõik 3:</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Andmed, mille veebipõhise kihlveokorraldaja CCS (keskne arvutisüsteem) edastab riikliku maksuameti (NRA) serverile iga osaleja mängukontole tehtud sissemakse kohta vastavalt lisale 2a;“.</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Endine punkt 3 muutub punktiks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Lisatakse uus punkt 4:</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Andmed, mille veebipõhise kihlveokorraldaja CCS on esitanud riikliku maksuameti (NRA) serverile iga osaleja mängukontole antud boonuse kohta vastavalt lisale 2b:</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Lisatakse uus </w:t>
      </w:r>
      <w:r>
        <w:rPr>
          <w:i/>
        </w:rPr>
        <w:t xml:space="preserve">punkt 5</w:t>
      </w:r>
      <w:r>
        <w:t xml:space="preserve">:</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Andmed, mille veebipõhise kihlveokorraldaja CCS esitab riikliku maksuameti (NRA) serverile kasutamata boonusvahendite kohta, kuna need on tagasi lükatud, osaliselt mängitud, nende kasutamine on aegunud või osaleja ei ole neid võtnud (st nende tingimuste täitmata jätmise tõttu) </w:t>
      </w:r>
      <w:r>
        <w:rPr>
          <w:shd w:val="clear" w:color="auto" w:fill="FEFEFE"/>
        </w:rPr>
        <w:t xml:space="preserve">vastavalt lisale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Lisatakse uus </w:t>
      </w:r>
      <w:r>
        <w:rPr>
          <w:i/>
        </w:rPr>
        <w:t xml:space="preserve">punkt 6</w:t>
      </w:r>
      <w:r>
        <w:t xml:space="preserve">:</w:t>
      </w:r>
    </w:p>
    <w:p w14:paraId="3B5B359E" w14:textId="54EFABBA" w:rsidR="00D063A7" w:rsidRPr="00D063A7" w:rsidRDefault="00D063A7" w:rsidP="00D063A7">
      <w:pPr>
        <w:ind w:firstLine="531"/>
      </w:pPr>
      <w:r>
        <w:t xml:space="preserve">„6.</w:t>
      </w:r>
      <w:r>
        <w:t xml:space="preserve"> </w:t>
      </w:r>
      <w:r>
        <w:t xml:space="preserve">Andmed, mille veebipõhise kihlveokorraldaja CCS on esitanud riikliku maksuameti (NRA) serverile osaleja mängukontole boonusvahendite kasutamise eest makstud raha kohta (tingimusel, et tingimused on edukalt täidetud) Lisa 2d.</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Lisatakse uus punkt 8:</w:t>
      </w:r>
    </w:p>
    <w:p w14:paraId="1E9B8682" w14:textId="535D6F88" w:rsidR="0012125B" w:rsidRDefault="0012125B" w:rsidP="000011F7">
      <w:pPr>
        <w:spacing w:after="0" w:line="240" w:lineRule="auto"/>
        <w:ind w:left="0" w:right="213" w:firstLine="709"/>
      </w:pPr>
      <w:r>
        <w:t xml:space="preserve">„8.</w:t>
      </w:r>
      <w:r>
        <w:t xml:space="preserve"> </w:t>
      </w:r>
      <w:r>
        <w:t xml:space="preserve">Andmed tühistatud sündmuste kohta – esitatakse aruandeperioodi lõpus vastavalt lisale 3a;“.</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Lisatakse </w:t>
      </w:r>
      <w:r>
        <w:rPr>
          <w:i/>
        </w:rPr>
        <w:t xml:space="preserve">punkt 9</w:t>
      </w:r>
      <w:r>
        <w:t xml:space="preserve">:</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Andmed, mille veebipõhise kihlveokorraldaja CCS peab esitama riikliku maksuameti (NRA) serverile iga osaleja mängukontolt tehtud väljamakse kohta </w:t>
      </w:r>
      <w:r>
        <w:rPr>
          <w:shd w:val="clear" w:color="auto" w:fill="FEFEFE"/>
        </w:rPr>
        <w:t xml:space="preserve">vastavalt lisale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Endine punkt 4 muutub punktiks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Endine punkt 5 saab punktiks 11 ja seda muudetakse järgmiselt.</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taotluse korral – andmed lõpetamata sündmuste kohta (aktiivsed mängud);</w:t>
      </w:r>
      <w:r>
        <w:t xml:space="preserve"> </w:t>
      </w:r>
      <w:r>
        <w:t xml:space="preserve">andmed esitatakse riikliku maksuameti (NRA) serverile pärast seda, kui riigi reguleeriv asutus ja riiklik julgeolekuamet on esitanud hasartmängukorraldaja CCS-ile 5. lisa kohase taotluse.“</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 2.</w:t>
      </w:r>
      <w:r>
        <w:rPr>
          <w:b/>
        </w:rPr>
        <w:t xml:space="preserve"> </w:t>
      </w:r>
      <w:r>
        <w:t xml:space="preserve">Artiklit 9 muudetakse ja täiendatakse järgmiselt.</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Lisatakse uus punkt 3:</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Andmed tühistatud sündmuste kohta – esitatakse aruandeperioodi lõpus vastavalt lisale 7a;“.</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Praegused lõigud 3 ja 4 </w:t>
      </w:r>
      <w:r>
        <w:rPr>
          <w:i/>
        </w:rPr>
        <w:t xml:space="preserve">muutuvad</w:t>
      </w:r>
      <w:r>
        <w:t xml:space="preserve"> vastavalt lõikudeks 4 ja 5.</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Endine punkt 5 saab punktiks 6 ja seda muudetakse järgmiselt.</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taotluse korral – andmed lõpetamata sündmuste kohta (aktiivsed mängud);</w:t>
      </w:r>
      <w:r>
        <w:t xml:space="preserve"> </w:t>
      </w:r>
      <w:r>
        <w:t xml:space="preserve">andmed esitatakse riikliku maksuameti (NRA) serverile pärast seda, kui riigi reguleeriv asutus ja riiklik julgeolekuamet on esitanud hasartmängukorraldaja CCS-ile 5. lisa kohase taotluse.“</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 3.</w:t>
      </w:r>
      <w:r>
        <w:t xml:space="preserve"> </w:t>
      </w:r>
      <w:r>
        <w:t xml:space="preserve">Artiklit 11 muudetakse ja täiendatakse järgmiselt.</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Lõigus 1 lisatakse sõnade „1., 2.“ järele sõnad „2a, 2b, 2c, 2d“, sõna „3“ järele sõnad „3a, 3b“ ja sõnade „5, 6, 7“ järele sõna „7a“.</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Lisatakse uus lõik 2:</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Artiklites 8 ja 9 osutatud andmed edastatakse riikliku maksuameti (NRA) serverisse EET/EEST (st Bulgaaria aja järgi).“</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Endine lõik 2 muudetakse lõiguks 3, lisades sõnade „1, 2“ järele sõnad „2a“, „2b“, „2c“, „2d“, sõna „3“ järele sõnad „3a, 3b“ ja sõnade „5, 6, 7“ järele sõna „7a“.</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Endised lõigud 3 ja 4 muudetakse vastavalt lõikudeks 4 ja 5.</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 4.</w:t>
      </w:r>
      <w:r>
        <w:rPr>
          <w:b/>
        </w:rPr>
        <w:t xml:space="preserve"> </w:t>
      </w:r>
      <w:r>
        <w:t xml:space="preserve">Artiklit 14 muudetakse ja täiendatakse järgmiselt.</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Praegune tekst muutub lõiguks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Lisatakse uus lõik 2:</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Saadetud ja vastu võetud sõnumid – riikliku maksuameti (NRA) serveri kinnitused – salvestatakse sama ajavahemiku jooksul peegelkoopiale ja hasartmängukorraldaja kohalikus kontrollserveris.“</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 5.</w:t>
      </w:r>
      <w:r>
        <w:rPr>
          <w:b/>
        </w:rPr>
        <w:t xml:space="preserve"> </w:t>
      </w:r>
      <w:r>
        <w:t xml:space="preserve">Artiklit 15 muudetakse ja täiendatakse järgmiselt.</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Lisatakse uus lõik 4:</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Juurdepääs kohalikule kontrollserverile (LCS), aruannete sisule ja nende koostamise valikukriteeriumidele antakse riikliku maksuameti (NRA) määratud ühel IP-aadressil, millelt riikliku maksuameti (NRA) tegevdirektori korraldusega määratud töötajad saavad juurdepääsu korraldaja LCS-ile.“</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Lisatakse uus lõik 5:</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Lõigu 3 kohane juurdepääs antakse maksuhalduritele hasartmänguseaduse ja käesoleva määruse sätete järgimise tagamiseks läbiviidava kontrollimenetluse käigus.“</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Praegune lõik 4 muudetakse lõiguks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 6.</w:t>
      </w:r>
      <w:r>
        <w:rPr>
          <w:b/>
        </w:rPr>
        <w:t xml:space="preserve"> </w:t>
      </w:r>
      <w:r>
        <w:t xml:space="preserve">Lisatakse artikkel 15a:</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„Artikkel 15a.</w:t>
      </w:r>
      <w:r>
        <w:rPr>
          <w:color w:val="auto"/>
        </w:rPr>
        <w:t xml:space="preserve"> </w:t>
      </w:r>
      <w:r>
        <w:rPr>
          <w:color w:val="auto"/>
        </w:rPr>
        <w:t xml:space="preserve">Kui riikliku maksuameti (NRA) poolt või järelevalve all tehakse kontrollpanus, peab korraldaja pärast seda, kui ta on riikliku maksuameti (NRA) õiguspäraseks tunnistanud ja teatanud hasartmängukorraldajale konkreetsed mänguseansid, mille suhtes kohaldatakse kontrollpanust, tagastama hoiustatud summa riikliku maksuameti (NRA) kontole ja tühistama kontrollpanuse ajal toimunud mänguseansid.</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 7.</w:t>
      </w:r>
      <w:r>
        <w:rPr>
          <w:b/>
          <w:color w:val="auto"/>
        </w:rPr>
        <w:t xml:space="preserve"> </w:t>
      </w:r>
      <w:r>
        <w:t xml:space="preserve">Viienda peatüki pealkirja muudetakse järgmiselt:</w:t>
      </w:r>
      <w:r>
        <w:t xml:space="preserve"> </w:t>
      </w:r>
      <w:r>
        <w:t xml:space="preserve">„Hasartmängude korraldajate süsteemide heakskiitmise tingimused ja kord hasartmänguteabe automaatseks edastamiseks riikliku maksuameti (NRA) serverisse“.</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 8.</w:t>
      </w:r>
      <w:r>
        <w:rPr>
          <w:b/>
        </w:rPr>
        <w:t xml:space="preserve"> </w:t>
      </w:r>
      <w:r>
        <w:t xml:space="preserve">Artiklit 20 muudetakse ja täiendatakse järgmiselt.</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Lõigus 1 lisatakse sõnade „teabe esitamine“ järele sõnad „hasartmängude jaoks“ ja sõna „korraldajad“ asendatakse sõnaga „isikud“.</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Lisatakse uus lõik 3:</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Lõigus 1 osutatud taotlusele tuleb lisada katsearuanne, milles kinnitatakse, et hasartmänguseaduse artikli 17 lõike 3 punktis 2 ja/või 4 ja/või 6 osutatud eeskirjade nõuded on täidetud registrisse kantud akrediteeritud laboratooriumis vastavalt hasartmänguseaduse artikli 20 lõike 1 punktile 4, ning süsteemi kirjeldus, milles on märgitud selle põhikomponentide funktsionaalsus.</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Endised lõigud 3 ja 4 muudetakse vastavalt lõikudeks 4 ja 5.</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 9.</w:t>
      </w:r>
      <w:r>
        <w:rPr>
          <w:b/>
        </w:rPr>
        <w:t xml:space="preserve"> </w:t>
      </w:r>
      <w:r>
        <w:t xml:space="preserve">Artiklit 21 muudetakse ja täiendatakse järgmiselt.</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Lõiku 4 lisatakse sõnade „määrust või hasartmänguseadust“ järele sõnad „samuti hasartmängukorraldajate süsteemide testimisel avastatud lahknevuste korral“.</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Lõigus 7 asendatakse sõnad „lõikes 4 osutatud </w:t>
      </w:r>
      <w:r>
        <w:t xml:space="preserve">kohustuse järgimata jätmine taotleja poolt” sõnadega „taotleja ei heasta lahknevusi lõigus 4 sätestatud korras ja tähtaja jooksul“.</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 10.</w:t>
      </w:r>
      <w:r>
        <w:rPr>
          <w:color w:val="auto"/>
          <w:b/>
        </w:rPr>
        <w:t xml:space="preserve"> </w:t>
      </w:r>
      <w:r>
        <w:rPr>
          <w:color w:val="auto"/>
        </w:rPr>
        <w:t xml:space="preserve">Artiklit 22 muudetakse ja täiendatakse järgmiselt.</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Endine tekst muudetakse lõikeks 1 ja selles lisatakse sõnade „artikli 20“ järele sõnad „lõik 1 funktsionaalsuse muudatuste heakskiitmiseks“ ning sõnad „taotlusele lisatakse süsteemi ajakohastatud dokumentatsioon ja esitatakse muudatuse põhjused“ jäetakse välja.</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Lisatakse järgmised lõigud 2 ja 3:</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Taotlusele lisatakse dokumendid, sealhulgas katsearuanne, milles kinnitatakse, et nimetatud CCS-i hasartmänguseaduse artikli 17 lõike 3 punktis 2 ja/või 4 ja/või 6 osutatud eeskirjade nõuetele vastab hasartmänguseaduse artikli 20 lõike 1 punkti 4 kohaselt registrisse kantud akrediteeritud labor, ning süsteemi kirjeldus, milles on märgitud selle muudetud komponentide funktsionaalsus.</w:t>
      </w:r>
      <w:r>
        <w:rPr>
          <w:color w:val="auto"/>
        </w:rPr>
        <w:t xml:space="preserve"> </w:t>
      </w:r>
      <w:r>
        <w:rPr>
          <w:color w:val="auto"/>
        </w:rPr>
        <w:t xml:space="preserve">Taotlus vaadatakse läbi artiklis 21 sätestatud korras ja tähtaegade jooksul.</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Riikliku maksuameti (NRA) serverile teabe automaatse edastamise süsteemide funktsionaalsuse muutmise heakskiitmisest keeldumise võib vaidlustada haldusmenetluse seadustiku alusel.</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 11.</w:t>
      </w:r>
      <w:r>
        <w:t xml:space="preserve"> </w:t>
      </w:r>
      <w:r>
        <w:t xml:space="preserve">Viiendasse peatükki lisatakse artikkel 23:</w:t>
      </w:r>
    </w:p>
    <w:p w14:paraId="09DA797F" w14:textId="77777777" w:rsidR="00B47687" w:rsidRPr="00A368B0" w:rsidRDefault="00620363" w:rsidP="00E12B32">
      <w:pPr>
        <w:spacing w:after="0" w:line="240" w:lineRule="auto"/>
        <w:ind w:left="11" w:right="215" w:firstLine="697"/>
        <w:rPr>
          <w:color w:val="auto"/>
        </w:rPr>
      </w:pPr>
      <w:r>
        <w:rPr>
          <w:color w:val="auto"/>
        </w:rPr>
        <w:t xml:space="preserve">„Artikkel 23.</w:t>
      </w:r>
      <w:r>
        <w:rPr>
          <w:color w:val="auto"/>
        </w:rPr>
        <w:t xml:space="preserve"> </w:t>
      </w:r>
      <w:r>
        <w:rPr>
          <w:color w:val="auto"/>
        </w:rPr>
        <w:t xml:space="preserve">(1)</w:t>
      </w:r>
      <w:r>
        <w:rPr>
          <w:color w:val="auto"/>
        </w:rPr>
        <w:t xml:space="preserve"> </w:t>
      </w:r>
      <w:r>
        <w:rPr>
          <w:color w:val="auto"/>
        </w:rPr>
        <w:t xml:space="preserve">Andmete automaatseks esitamiseks riikliku maksuameti (NRA) serverile on korraldajad kohustatud esitama riikliku maksuameti (NRA) tegevdirektorile taotlusvormi mängutarkvara suurendamise või asendamisega seotud muudatuse korral.</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Taotlus esitatakse juhul, kui suurendatud/asendatud mängutarkvara pärineb uuelt tootjalt, kellelt ei ole registreeritud mängutarkvara kuni korraldaja litsentsisertifikaadi muutmiseni.</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Lõigus 1 nimetatud taotlus esitatakse 14 päeva jooksul pärast seda, kui korraldajad on kätte saanud uue tõendi koos registreeritud muudatusega, mis on seotud mängutarkvara suurendamise või asendamisega, hasartmänguseaduse artiklis 38 nimetatud lõpliku otsuse alusel, millega antakse luba muudatuse tegemiseks.</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Kümne päeva jooksul pärast taotluse esitamist kontrollitakse, kas CCS/LCS edastab uuendatud/asendatud mängutarkvara andmed automaatselt riikliku maksuameti (NRA) serverisse, mille kohta koostatakse aruanne ja esitatakse see korraldajale.</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Kui CCS-ist/LCS-ist riikliku maksuameti (NRA) serverile andmete automaatsel esitamisel leitakse täiendatud/asendatud tarkvaraga seoses lahknevus, võib riikliku maksuameti (NRA) tegevdirektor anda korralduse peatada täiendatud/asendatud tarkvara kasutamine kuni lahknevuse kõrvaldamiseni.</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 12.</w:t>
      </w:r>
      <w:r>
        <w:rPr>
          <w:b/>
        </w:rPr>
        <w:t xml:space="preserve"> </w:t>
      </w:r>
      <w:r>
        <w:t xml:space="preserve">Lisasätte § 1 lisatakse uus punkt 3:</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Riikliku maksuameti (NRA) serverile teabe automaatse edastamise süsteemide funktsionaalsuse muutus“ tähendab mis tahes muudatust CCS/LCS versioonis ja/või muudatuses, mille tulemuseks on muutus andmete automaatses edastamises riikliku maksuameti (NRA) serverile.</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 13.</w:t>
      </w:r>
      <w:r>
        <w:t xml:space="preserve"> </w:t>
      </w:r>
      <w:r>
        <w:t xml:space="preserve">Lisa 1 muudetakse järgmiselt:</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Punkti 1 tabelis „Iga veebipõhise kihlveokorraldaja CCSi poolt riikliku maksuameti (NRA) serverile esitatud andmed“ lisatakse real „Aruande koostamise kuupäev“ veerus „Eseme kontroll“ sõnade „Vorm 2010-02-16T16:47:31“ järele sõnad „EET/EES ajavöönd“.</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Punktis 2 esitatud tabelis „Riikliku reguleeriva asutuse serveri saadetud teatis-kinnitussõnum internetipõhiste kihlvedude korraldaja registreerimisel, andmete muutmisel või registrist kustutamisel saadud andmete kohta“:</w:t>
      </w:r>
    </w:p>
    <w:p w14:paraId="257BA22D" w14:textId="77777777" w:rsidR="00B539E2" w:rsidRPr="00A368B0" w:rsidRDefault="00B539E2" w:rsidP="00A76C0A">
      <w:pPr>
        <w:spacing w:after="0" w:line="240" w:lineRule="auto"/>
        <w:ind w:left="0" w:right="213" w:firstLine="851"/>
      </w:pPr>
      <w:r>
        <w:t xml:space="preserve">a) reas „Kinnituse liik“ veerus „Selgitus“ lisatakse lõppu „8 – Mänguandmete tühistamine“;</w:t>
      </w:r>
    </w:p>
    <w:p w14:paraId="57DB2085" w14:textId="527F0B6E" w:rsidR="00142455" w:rsidRDefault="00B539E2" w:rsidP="00A76C0A">
      <w:pPr>
        <w:spacing w:after="0" w:line="240" w:lineRule="auto"/>
        <w:ind w:left="0" w:right="213" w:firstLine="851"/>
      </w:pPr>
      <w:r>
        <w:t xml:space="preserve">b) reas „Käituse staatus“:</w:t>
      </w:r>
    </w:p>
    <w:p w14:paraId="130968D3" w14:textId="22C7CEFC" w:rsidR="00C32B4B" w:rsidRPr="00A368B0" w:rsidRDefault="00142455" w:rsidP="00A76C0A">
      <w:pPr>
        <w:spacing w:after="0" w:line="240" w:lineRule="auto"/>
        <w:ind w:left="0" w:right="213" w:firstLine="851"/>
      </w:pPr>
      <w:r>
        <w:t xml:space="preserve">aa) veeru „Selgitus” lõppu lisatakse järgmine:</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Korraldajat ei leitud</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Väli ei tohi muutuda</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Korraldaja on registrist kustutatud</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Litsentsi ei leitud“;</w:t>
      </w:r>
    </w:p>
    <w:p w14:paraId="5FA74023" w14:textId="2B555B8C" w:rsidR="00C20716" w:rsidRPr="00A368B0" w:rsidRDefault="00142455" w:rsidP="00A76C0A">
      <w:pPr>
        <w:spacing w:after="0" w:line="240" w:lineRule="auto"/>
        <w:ind w:left="0" w:right="213" w:firstLine="851"/>
      </w:pPr>
      <w:r>
        <w:t xml:space="preserve">bb) veergu „Kontroll“ lisatakse järgmine:</w:t>
      </w:r>
      <w:r>
        <w:t xml:space="preserve"> </w:t>
      </w:r>
      <w:r>
        <w:t xml:space="preserve">„Tegevuse staatuste täielik loetelu on esitatud NRA veebisaidil avaldatud XSD andmevahetusskeemis kooskõlas määruse nõuetega, mis käsitlevad osalejate registreerimise ja identifitseerimise tingimusi ja korda, Bulgaaria Vabariigi territooriumil korraldatud internetikihlvedudega seotud andmete säilitamist ning hasartmängude kohta teabe esitamist riikliku maksuameti serverile.“</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 14.</w:t>
      </w:r>
      <w:r>
        <w:t xml:space="preserve"> </w:t>
      </w:r>
      <w:r>
        <w:t xml:space="preserve">Lisa 2 muudetakse järgmiselt:</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Punkti 1 tabelis „Andmed, mille online-kihlvedude korraldaja CCS esitab võrgurežiimis riikliku maksuameti (NRA) serverile esmasel registreerimisel või iga online-kihlvedudes osaleja registreerimisandmete muutmisel“, lisatakse rea „Aruande koostamise kuupäev“ veergu „Kontroll“ sõnade „Vorm 2010-02-16T16:47:31“ järele sõnad „EET/EEST ajavöönd“.</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Punktis 2 esitatud tabelis „Riikliku reguleeriva asutuse serveri saadetud teate kinnitus hasartmängus osaleja registreerimisandmete saamise või muutmise kohta“:</w:t>
      </w:r>
    </w:p>
    <w:p w14:paraId="1B59FA93" w14:textId="77777777" w:rsidR="00101A23" w:rsidRPr="00A368B0" w:rsidRDefault="00101A23" w:rsidP="00A76C0A">
      <w:pPr>
        <w:spacing w:after="0" w:line="240" w:lineRule="auto"/>
        <w:ind w:left="0" w:right="213" w:firstLine="851"/>
      </w:pPr>
      <w:r>
        <w:t xml:space="preserve">a) reas „Kinnituse liik“ veerus „Selgitus“ lisatakse lõppu „8 – Mänguandmete tühistamine“;</w:t>
      </w:r>
    </w:p>
    <w:p w14:paraId="15D69E79" w14:textId="04A5D94A" w:rsidR="002F2219" w:rsidRDefault="00101A23" w:rsidP="00A76C0A">
      <w:pPr>
        <w:spacing w:after="0" w:line="240" w:lineRule="auto"/>
        <w:ind w:left="0" w:right="213" w:firstLine="851"/>
      </w:pPr>
      <w:r>
        <w:t xml:space="preserve">b) reas „Käituse staatus“:</w:t>
      </w:r>
    </w:p>
    <w:p w14:paraId="65EEA348" w14:textId="6D6DAC54" w:rsidR="00101A23" w:rsidRPr="00A368B0" w:rsidRDefault="002F2219" w:rsidP="00A76C0A">
      <w:pPr>
        <w:spacing w:after="0" w:line="240" w:lineRule="auto"/>
        <w:ind w:left="0" w:right="213" w:firstLine="851"/>
      </w:pPr>
      <w:r>
        <w:t xml:space="preserve">aa) veeru „Selgitus” lõppu lisatakse järgmine:</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Korraldajat ei leitud</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Väli ei tohi muutuda</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Korraldaja on registrist kustutatud</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Osaleja on juba registreeritud</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Osalejat ei leitud</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Osaleja on registrist kustutatud“;</w:t>
      </w:r>
    </w:p>
    <w:p w14:paraId="78CA22DE" w14:textId="654DC198" w:rsidR="0057062E" w:rsidRPr="00A368B0" w:rsidRDefault="002F2219" w:rsidP="00A76C0A">
      <w:pPr>
        <w:spacing w:after="0" w:line="240" w:lineRule="auto"/>
        <w:ind w:left="0" w:right="213" w:firstLine="851"/>
      </w:pPr>
      <w:r>
        <w:t xml:space="preserve">bb) veergu „Kontroll“ lisatakse järgmine:</w:t>
      </w:r>
      <w:r>
        <w:t xml:space="preserve"> </w:t>
      </w:r>
      <w:r>
        <w:t xml:space="preserve">„Tegevuse staatuste täielik loetelu on esitatud NRA veebisaidil avaldatud XSD andmevahetusskeemis kooskõlas määruse nõuetega, mis käsitlevad osalejate registreerimise ja identifitseerimise tingimusi ja korda, Bulgaaria Vabariigi territooriumil korraldatud internetikihlvedudega seotud andmete säilitamist ning hasartmängude kohta teabe esitamist riikliku maksuameti serverile.“</w:t>
      </w:r>
    </w:p>
    <w:p w14:paraId="7DA89B7A" w14:textId="77777777" w:rsidR="00E85001" w:rsidRPr="00A368B0" w:rsidRDefault="00896BFE" w:rsidP="00E85001">
      <w:pPr>
        <w:spacing w:after="0" w:line="240" w:lineRule="auto"/>
        <w:ind w:left="0" w:right="213" w:firstLine="851"/>
      </w:pPr>
      <w:r>
        <w:rPr>
          <w:b/>
        </w:rPr>
        <w:t xml:space="preserve">§ 15.</w:t>
      </w:r>
      <w:r>
        <w:t xml:space="preserve"> </w:t>
      </w:r>
      <w:r>
        <w:t xml:space="preserve">Artikli 8 lõikesse 3 lisatakse järgmine lisa 2a:</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„Lisa 2a artikli 8 lõike 3 juurde“</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Andmed, mille veebipõhise kihlveokorraldaja CCS on esitanud riikliku reguleeriva asutuse serverile iga osaleja mängukontole tehtud sissemakse kohta:</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Väli</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Liik</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Kohustuslik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Kontroll</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Korraldaja tunnuskood, mille on loonud riigi reguleeriva asutuse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Hoiustamiseks kasutatav makseviis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Sümbol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XSD-skeemi kohaselt</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Korraldaja süsinikdioksiidi kogumise ja säilitamise süsteemi loodud hoiusetehingu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Sümbol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Hoiuse kordumatu tunnus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Tehingu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Vorming </w:t>
            </w:r>
            <w:r>
              <w:rPr>
                <w:shd w:val="clear" w:color="auto" w:fill="FEFEFE"/>
                <w:rFonts w:ascii="Arial" w:hAnsi="Arial"/>
              </w:rPr>
              <w:t xml:space="preserve">AAAA-KK-PP T TT:MM:SS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Hoiuse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Summa märgitakse deklareeritud vääringus määruse artikli 20 lõikes 1 osutatud taotluses.</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Esmasel registreerimisel esitatakse loodud osaleja ID.</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Kuupäeva ja kellaaja sõnum genereeritud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Vorming </w:t>
            </w:r>
            <w:r>
              <w:rPr>
                <w:shd w:val="clear" w:color="auto" w:fill="FEFEFE"/>
                <w:rFonts w:ascii="Arial" w:hAnsi="Arial"/>
              </w:rPr>
              <w:t xml:space="preserve">AAAA-KK-PP T TT:MM:SS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Teatise kinnitussõnum, mille riikliku maksuameti (NRA) server on saadud andmete kohta saatnud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Liik</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Selgitus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Kohustuslik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Kontroll</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Kinnituse tüüp</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Loendatav</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Korraldaja registreerimine</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Litsentsi lisamine</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Osaleja registreerimine</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Mängu andmed</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Päringule vastamine</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Andmed osalemissertifikaadi saamiseks</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Andmed käimasolevate mängude kohta</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Mänguandmete tühistamine</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Rahaliste vahendite hoiustamine</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Rahaliste vahendite väljavõtmine</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XSD-skeemi kohaselt</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Toimingu olek</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Loendatav</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Edukas</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Viga sõnumi valideerimisel</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JAH</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Korraldaja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Hoiuse tunnuskood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Märkus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Väljendatud tähemärkides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Vajaduse korral lisateave ja/või vea tüübi selgitus ebaõnnestunud toimingu korral</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Artikli 8 lõikesse 4 lisatakse järgmine lisa 2b:</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Andmed, mille veebipõhise kihlveokorraldaja CCS on esitanud riikliku reguleeriva asutuse serverile iga osaleja mängukontole antud boonuse kohta:</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Väli</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Liik</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Kohustuslik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tunnuskood, mille on loonud riigi reguleeriva asutuse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Boonuse liik – tingimuslik/tingimusteta/tähtajaline/eriline/esialgne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Korraldaja CCS-i loodud boonustehingu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Unikaalne boonuse identifikaator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Tehingu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AAAA-KK-PP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Eraldatud boonusfondide summa</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Summa märgitakse deklareeritud vääringus määruse artikli 20 lõikes 1 osutatud taotluses.</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Esmasel registreerimisel esitatakse loodud osaleja ID.</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Kuupäeva ja kellaaja sõnum genereeritud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Vorming </w:t>
            </w:r>
            <w:r>
              <w:rPr>
                <w:shd w:val="clear" w:color="auto" w:fill="FEFEFE"/>
                <w:rFonts w:ascii="Arial" w:hAnsi="Arial"/>
              </w:rPr>
              <w:t xml:space="preserve">AAAA-KK-PP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Teatise kinnitussõnum, mille riikliku maksuameti (NRA) server on saadud andmete kohta saatnud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Kohustuslik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Kinnituse tüüp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Korraldaja registreerimine</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Litsentsi lisamine</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Osaleja registreerimine</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Mängu andmed</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Päringule vastamine</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Andmed osalemissertifikaadi saamiseks</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Andmed käimasolevate mängude kohta</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Mänguandmete tühistamine</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Rahaliste vahendite hoiustamine</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Rahaliste vahendite väljavõtmine</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Boonusfondide eraldamine</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Boonuse tühistamine</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Boonuse kasutamine pärast selle andmise tingimuste täitmist</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XSD-skeemi kohaselt</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Toimingu olek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Edukas</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Viga sõnumi valideerimisel</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Tehingu identifitseerimistunnus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Riikliku reguleeriva asutuse serverisse saabumise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Kuupäev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Vorming AAAA-KK-PP T TT:MM:SS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 16.</w:t>
      </w:r>
      <w:r>
        <w:t xml:space="preserve"> </w:t>
      </w:r>
      <w:r>
        <w:t xml:space="preserve">Artikli 8 lõikesse 5 lisatakse järgmine lisa 2c:</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Andmed, mille veebipõhise kihlveokorraldaja CCS esitab riikliku maksuameti (NRA) serverile kasutamata boonusvahendite kohta, kuna nende andmisest keelduti, neid mängiti osaliselt, need aegusid seoses nende kasutamisega või osaleja ei võtnud neid vastu (st nende tingimuste täitmata jätmise tõttu):</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Väli</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Liik</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Kohustuslik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tunnuskood, mille on loonud riigi reguleeriva asutuse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Boonuse liik – tingimuslik/tingimusteta/tähtajaline/eriline/esialgne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Korraldaja CCS-i loodud boonustehingu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Unikaalne boonuse identifikaator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Tehingu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Vorming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Eraldatud boonusvahendite summa, mis arvatakse maha mängija mängukontolt ja mida ei saa kasutada mängudes osalemiseks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Boonuse summa märgitakse määruse artikli 20 lõikes 1 osutatud taotluses deklareeritud vääringus.</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Esmasel registreerimisel esitatakse loodud osaleja ID.</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Kuupäeva ja kellaaja sõnum genereeritud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Vorming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ajavöönd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Teatise kinnitussõnum, mille riikliku maksuameti (NRA) server on saadud andmete kohta saatnud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Kohustuslik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Kinnituse tüüp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Korraldaja registreerimine</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Litsentsi lisamine</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Osaleja registreerimine</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Mängu andmed</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Päringule vastamine</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Andmed osalemissertifikaadi saamiseks</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Andmed käimasolevate mängude kohta</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Mänguandmete tühistamine</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Rahaliste vahendite hoiustamine</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Rahaliste vahendite väljavõtmine</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Boonusfondide eraldamine</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Boonuse tühistamine</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Boonuse kasutamine pärast selle andmise tingimuste täitmist</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XSD-skeemi kohaselt</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Toimingu olek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Edukas</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Viga sõnumi valideerimisel</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Tehingu identifitseerimistunnus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Riikliku reguleeriva asutuse serverisse saabumise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Kuupäev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Vorming AAAA-KK-PP T TT:MM:SS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Märkus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Väljendatud tähemärkides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Vajaduse korral lisateave ja/või vea tüübi selgitus ebaõnnestunud toimingu korral</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 17.</w:t>
      </w:r>
      <w:r>
        <w:t xml:space="preserve"> </w:t>
      </w:r>
      <w:r>
        <w:t xml:space="preserve">Artikli 8 lõikesse 6 lisatakse järgmine lisa 2d:</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Andmed, mille veebipõhise kihlveokorraldaja CCS on esitanud RRA serverile osaleja mängukontole makstud raha kohta</w:t>
      </w:r>
      <w:r>
        <w:rPr>
          <w:color w:val="auto"/>
          <w:sz w:val="22"/>
          <w:rFonts w:asciiTheme="minorHAnsi" w:hAnsiTheme="minorHAnsi"/>
        </w:rPr>
        <w:t xml:space="preserve"> </w:t>
      </w:r>
      <w:r>
        <w:rPr>
          <w:color w:val="auto"/>
          <w:shd w:val="clear" w:color="auto" w:fill="FEFEFE"/>
        </w:rPr>
        <w:t xml:space="preserve">tema poolt boonusfondide kasutamise tulemusena</w:t>
      </w:r>
      <w:r>
        <w:rPr>
          <w:color w:val="auto"/>
          <w:highlight w:val="white"/>
        </w:rPr>
        <w:t xml:space="preserve">, (tingimusel, et tingimused on edukalt täidetud):</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Väli</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Liik</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Kohustuslik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tunnuskood, mille on loonud riigi reguleeriva asutuse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Boonuse liik – tingimuslik/tingimusteta/tähtajaline/eriline/esialgne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Korraldaja CCS-i loodud boonustehingu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Unikaalne boonuse identifikaator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Tehingu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Vorming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Boonusfondide abil väljamakstud võitude summa</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Summa märgitakse deklareeritud vääringus määruse artikli 20 lõikes 1 osutatud taotluses.</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Esmasel registreerimisel esitatakse loodud osaleja ID.</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Kuupäeva ja kellaaja sõnum genereeritud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Vorming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ajavöönd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Teatise kinnitussõnum, mille riikliku maksuameti (NRA) server on saadud andmete kohta saatnud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Kohustuslik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Kinnituse tüüp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Korraldaja registreerimine</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Litsentsi lisamine</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Osaleja registreerimine</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Mängu andmed</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Päringule vastamine</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Andmed osalemissertifikaadi saamiseks</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Andmed käimasolevate mängude kohta</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Mänguandmete tühistamine</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Rahaliste vahendite hoiustamine</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Rahaliste vahendite väljavõtmine</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Boonusfondide eraldamine</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Boonuse tühistamine</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Boonuse kasutamine pärast selle andmise tingimuste täitmist</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XSD-skeemi kohaselt</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Toimingu olek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Edukas</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Viga sõnumi valideerimisel</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Tehingu identifitseerimistunnus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Riikliku reguleeriva asutuse serverisse saabumise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Kuupäev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Vorming AAAA-KK-PP T TT:MM:SS</w:t>
            </w:r>
            <w:r>
              <w:rPr>
                <w:shd w:val="clear" w:color="auto" w:fill="FEFEFE"/>
                <w:rFonts w:ascii="Arial" w:hAnsi="Arial"/>
              </w:rPr>
              <w:br/>
            </w:r>
            <w:r>
              <w:rPr>
                <w:shd w:val="clear" w:color="auto" w:fill="FEFEFE"/>
                <w:rFonts w:ascii="Arial" w:hAnsi="Arial"/>
              </w:rPr>
              <w:t xml:space="preserve">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Märkus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Väljendatud tähemärkides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Vajaduse korral lisateave ja/või vea tüübi selgitus ebaõnnestunud toimingu korral</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 18.</w:t>
      </w:r>
      <w:r>
        <w:t xml:space="preserve"> </w:t>
      </w:r>
      <w:r>
        <w:t xml:space="preserve">Lisa 3 muudetakse järgmiselt:</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Lisa 3</w:t>
      </w:r>
      <w:r>
        <w:rPr>
          <w:color w:val="auto"/>
          <w:highlight w:val="white"/>
          <w:shd w:val="clear" w:color="auto" w:fill="FEFEFE"/>
        </w:rPr>
        <w:t xml:space="preserve"> </w:t>
      </w:r>
      <w:r>
        <w:rPr>
          <w:color w:val="auto"/>
          <w:highlight w:val="white"/>
          <w:shd w:val="clear" w:color="auto" w:fill="FEFEFE"/>
          <w:i/>
        </w:rPr>
        <w:t xml:space="preserve">artikli 8 lõikele 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(Jõustumine 18.06.2021)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Andmed, mille veebipõhise kihlveokorraldaja keskandmesüsteem saadab riigi reguleeriva asutuse serverile iga lõppenud sündmuse kohta kohe pärast selle lõppu.</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Väli</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Liik</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Kohustuslik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tunnuskood, mille on loonud riigi reguleeriva asutuse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Hasartmängu liik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Lisas 9 esitatud nomenklatuurist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keskandmesüsteemi genereeritud sündmuse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Iga mängu kordumatu seerianumber (algab 1-st), mille veebipõhiste hasartmängude korraldaja keskandmesüsteemis genereerima peab</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Toimiku esitatud osa järjenumber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Suurte sõnumite puhul võib need jagada osadeks, mis nummerdatakse järjestikku.</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Need esitatakse riigi reguleerivale asutusele järjestikuses järjekorras alates numbrist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Kui see puudub, eeldatakse, et number on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Sündmuse algus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Vorming AAAA-KK-PP T TT:MM:SS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Sündmuse lõpp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Vorming AAAA-KK-PP T TT:MM:SS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Osalejate arv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Tegelike vahenditega tehtud panuste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Panuste summa peab olema võrdne üksikute osalejate panuste summaga</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Summa märgitakse deklareeritud vääringus määruse artikli 20 lõikes 1 osutatud taotluses.</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Boonusvahenditega tehtud panuste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Panuste summa peab olema võrdne üksikute osalejate panuste summaga</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Summa märgitakse deklareeritud vääringus määruse artikli 20 lõikes 1 osutatud taotluses.</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Osalemise eest kogutud tasude ja komisjonitasude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Kohustuslik mängude puhul, mille eest hasartmängukorraldaja kogub osalejatelt tasu/komisjonitasu</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Summa märgitakse deklareeritud vääringus määruse artikli 20 lõikes 1 osutatud taotluses.</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Reaalsete vahenditega teenitud kasumi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Kasumite summa peab võrduma üksikute osalejate kasumite summaga.</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Summa märgitakse deklareeritud vääringus määruse artikli 20 lõikes 1 osutatud taotluses.</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Boonusfondidega teenitud kasumite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Kasumite summa peab võrduma üksikute osalejate kasumite summaga.</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Summa märgitakse deklareeritud vääringus määruse artikli 20 lõikes 1 osutatud taotluses.</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1 registreerimistunnus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Esmasel registreerimisel esitatakse loodud osaleja ID.</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1 IP-aadress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IP-aadress, millelt osaleja mängib</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Vorming</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või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Osaleja 1 panus reaalrahaga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Väli on kohustuslik, kui panus on tehtud reaalsete vahenditega</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Osaleja 1 panus boonusvahenditega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Väli on kohustuslik, kui panus on tehtud boonusvahenditega</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1 panuse kuupäev ja kellaaeg</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Vorming AAAA-KK-PP T TT:MM:SS</w:t>
            </w:r>
            <w:r>
              <w:rPr>
                <w:shd w:val="clear" w:color="auto" w:fill="FEFEFE"/>
                <w:rFonts w:ascii="Arial" w:hAnsi="Arial"/>
              </w:rPr>
              <w:br/>
            </w:r>
            <w:r>
              <w:rPr>
                <w:shd w:val="clear" w:color="auto" w:fill="FEFEFE"/>
                <w:rFonts w:ascii="Arial" w:hAnsi="Arial"/>
              </w:rPr>
              <w:t xml:space="preserve">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1 makstud tasu/komisjonitasu</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Väli on kohustuslik, kui osalejalt on tasu/komisjonitasu kinni peetud</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Osaleja 1 reaalsetest vahenditest saadud kasum</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Väli on kohustuslik, kui kasum on saadud reaalsete vahenditega</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Osaleja 1 kasum boonusvahenditega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Väli on kohustuslik, kui kasum on saadud boonusvahenditest</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2 registreerimistunnus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2 IP-aadress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IP-aadress, millelt osaleja mängib</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Vorming</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või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Osaleja 2 panus reaalrahaga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Väli on kohustuslik, kui panus on tehtud reaalsete vahenditega</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Osaleja 2 panus boonusvahenditega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Väli on kohustuslik, kui panus on tehtud boonusvahenditega</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2 panuse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Vorming AAAA-KK-PP T TT:MM:SS</w:t>
            </w:r>
            <w:r>
              <w:rPr>
                <w:shd w:val="clear" w:color="auto" w:fill="FEFEFE"/>
                <w:rFonts w:ascii="Arial" w:hAnsi="Arial"/>
              </w:rPr>
              <w:br/>
            </w:r>
            <w:r>
              <w:rPr>
                <w:shd w:val="clear" w:color="auto" w:fill="FEFEFE"/>
                <w:rFonts w:ascii="Arial" w:hAnsi="Arial"/>
              </w:rPr>
              <w:t xml:space="preserve">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2 makstud tasu/komisjonitasu</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JAH</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Väli on kohustuslik, kui osalejalt on tasu/komisjonitasu kinni peetud</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Osaleja 2 reaalsetest vahenditest saadud kasum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Väli on kohustuslik, kui kasum on saadud reaalsete vahenditega</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Osaleja 2 kasum boonusvahenditega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Väli on kohustuslik, kui kasum on saadud boonusvahenditest</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N registreerimistunnus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N IP-aadress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IP-aadress, millelt osaleja mängib</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Vorming</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või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Osaleja N panus reaalsete vahenditega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Väli on kohustuslik, kui panus on tehtud reaalsete vahenditega</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Osaleja N panus boonusvahenditega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Väli on kohustuslik, kui panus on tehtud boonusvahenditega</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N panuse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Vorming AAAA-KK-PP T TT:MM:SS</w:t>
            </w:r>
            <w:r>
              <w:rPr>
                <w:shd w:val="clear" w:color="auto" w:fill="FEFEFE"/>
                <w:rFonts w:ascii="Arial" w:hAnsi="Arial"/>
              </w:rPr>
              <w:br/>
            </w:r>
            <w:r>
              <w:rPr>
                <w:shd w:val="clear" w:color="auto" w:fill="FEFEFE"/>
                <w:rFonts w:ascii="Arial" w:hAnsi="Arial"/>
              </w:rPr>
              <w:t xml:space="preserve">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N poolt makstud lõiv/komisjonitasu</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Kasum, mida osaleja N saaks välja võtta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Väli on kohustuslik, kui kasum on saadud reaalsete vahenditega</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Osaleja N kasum, mis on saadud boonusvahenditest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Väli on kohustuslik, kui kasum on saadud boonusvahenditest</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Kuupäeva ja kellaaja sõnum genereeritud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Vorming AAAA-KK-PP T TT:MM:SS</w:t>
            </w:r>
            <w:r>
              <w:rPr>
                <w:shd w:val="clear" w:color="auto" w:fill="FEFEFE"/>
                <w:rFonts w:ascii="Arial" w:hAnsi="Arial"/>
              </w:rPr>
              <w:br/>
            </w:r>
            <w:r>
              <w:rPr>
                <w:shd w:val="clear" w:color="auto" w:fill="FEFEFE"/>
                <w:rFonts w:ascii="Arial" w:hAnsi="Arial"/>
              </w:rPr>
              <w:t xml:space="preserve">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Teatise kinnitussõnum, mille riikliku maksuameti (NRA) server saadab iga sündmuse kohta saadud andmete kohta</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Kohustuslik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Kinnituse tüüp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Korraldaja registreerimine</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Litsentsi lisamine</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Osaleja registreerimine</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Mängu andmed</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Päringule vastamine</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Andmed osalemissertifikaadi saamiseks</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Andmed käimasolevate mängude kohta</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Mänguandmete tühistamine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XSD-skeemi kohaselt</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Toimingu olek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Edukas</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Viga sõnumi valideerimisel</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Mängu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Toimiku esitatud osa järjenumber</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Vastuvõtmise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Kuupäev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Vorming AAAA-KK-PP T TT:MM:SS</w:t>
            </w:r>
            <w:r>
              <w:rPr>
                <w:shd w:val="clear" w:color="auto" w:fill="FEFEFE"/>
                <w:rFonts w:ascii="Arial" w:hAnsi="Arial"/>
              </w:rPr>
              <w:br/>
            </w:r>
            <w:r>
              <w:rPr>
                <w:shd w:val="clear" w:color="auto" w:fill="FEFEFE"/>
                <w:rFonts w:ascii="Arial" w:hAnsi="Arial"/>
              </w:rPr>
              <w:t xml:space="preserve">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Märkus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Väljendatud tähemärkides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Vajaduse korral lisateave ja/või vea tüübi selgitus ebaõnnestunud toimingu korral</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 19.</w:t>
      </w:r>
      <w:r>
        <w:rPr>
          <w:b/>
        </w:rPr>
        <w:t xml:space="preserve"> </w:t>
      </w:r>
      <w:r>
        <w:t xml:space="preserve">Artikli 8 lõikesse 8 lisatakse järgmine lisa 3a:</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„Lisa 3a artikli 8 lõike 8 juurde</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Lõpetatud sündmuse kohta saadud andmete tühistamine:</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Liik</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Kohustuslik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Kontroll</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Korraldaja tunnuskood, mille on loonud riikliku maksuameti (NRA)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Hasartmängu liik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Loendatav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Lisas 9 esitatud nomenklatuurist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Tühistatud ürituse identifitseerimisnumber, mille on loonud korraldaja CCS</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Numbriline</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Iga mängu kordumatu seerianumber (algab 1-st), mille veebipõhiste hasartmängude korraldaja keskandmesüsteemis genereerima peab</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JAH</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Andmete kustutamise põhjus</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Numbriline</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Loetlege põhjused, mida võib tühistamiseks nimetada:</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mängu tühistamine vääramatu jõu tõttu;</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lõpetatud mäng enne lõppu panuste tühistamisega;</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mängu tühistamine regulatiivsete otsuste tõttu (FIFA, UEFA jne);</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tühistatud panus (tühistatud mäng) osaleja poolt tuvastatud reeglite rikkumise tõttu;</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tühistatud panus (tühistatud mäng) pärast edasikaebuse kohta tehtud otsust;</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muu.</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JAH</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XSD-skeemi kohaselt</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Täiendavad selgitused</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Väljendatud tähemärkides</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Selle välja täitmine on kohustuslik, kui andmete kustutamise põhjus on „Muu“.</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EI</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Kuupäeva ja kellaaja sõnum genereeritud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Vorming 2010-02-16 T 16:47:31 Ajavöönd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Teate kinnitussõnum, mille riikliku maksuameti (NRA) server saadab sündmuse andmete tühistamise kohta saadud andmete kohta</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Liik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Kohustuslik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Kontroll</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Kinnituse tüüp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Korraldaja registreerimine</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Litsentsi lisamine</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Osaleja registreerimine</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Mängu andmed</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Päringule vastamine</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Andmed osalemissertifikaadi saamiseks</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Andmed käimasolevate mängude kohta</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Mänguandmete tühistamine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Toimingu olek</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Loendatav</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Edukas</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Viga valideerimise ajal</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Korraldajat ei leitud</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Korraldaja on registreerimata jäetud</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Sündmust ei leitud</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Üritus on juba tühistatud</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JAH</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XSD-skeemi kohaselt</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Korraldaja tunnuskood, mille on loonud riigi reguleeriva asutuse server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Numbriline</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JAH</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Hasartmängu liik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Lisas 9 esitatud nomenklatuurist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Tühistatud ürituse identifitseerimisnumber, mille on loonud korraldaja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Vastuvõtmise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Kuupäev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Vorming 2010-02-16T16:47:31 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Märkus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Väljendatud tähemärkides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Vajaduse korral lisateave ja/või vea tüübi selgitus ebaõnnestunud toimingu korral</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 20.</w:t>
      </w:r>
      <w:r>
        <w:rPr>
          <w:b/>
        </w:rPr>
        <w:t xml:space="preserve"> </w:t>
      </w:r>
      <w:r>
        <w:t xml:space="preserve">Artikli 8 lõikesse 9 lisatakse järgmine lisa 3b:</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„Lisa 3b artikli 8 lõike 9 juurde</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Andmed, mille veebipõhise kihlveokorraldaja CCS peab esitama riikliku maksuameti (NRA) serverile iga osaleja mängukontolt tehtud väljamakse kohta</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Väli</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Liik</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Kohustuslik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Kontroll</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Korraldaja tunnuskood, mille on loonud riigi reguleeriva asutuse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Väljavõtmise meetod, maksemeetod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Korraldaja CCS-i loodud tagasivõtmistehingu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Väljendatud tähemärkides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Väljavõtmise kordumatu tunnus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Tehingu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Vorming AAAA-KK-PP T TT:MM:SS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Tagasivõetud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Summa märgitakse deklareeritud vääringus määruse artikli 20 lõikes 1 osutatud taotluses.</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Esmasel registreerimisel esitatakse loodud osaleja ID.</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Kuupäeva ja kellaaja sõnum genereeritud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Vorming </w:t>
            </w:r>
            <w:r>
              <w:rPr>
                <w:shd w:val="clear" w:color="auto" w:fill="FEFEFE"/>
                <w:rFonts w:ascii="Arial" w:hAnsi="Arial"/>
              </w:rPr>
              <w:t xml:space="preserve">AAAA-KK-PP T TT:MM:SS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Teatise kinnitussõnum, mille riikliku maksuameti (NRA) server on saadud andmete kohta saatnud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Kohustuslik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Kinnituse tüüp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Korraldaja registreerimine</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Litsentsi lisamine</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Osaleja registreerimine</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Mängu andmed</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Päringule vastamine</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Andmed osalemissertifikaadi saamiseks</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Andmed käimasolevate mängude kohta</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Mänguandmete tühistamine</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Rahaliste vahendite hoiustamine</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Rahaliste vahendite väljavõtmine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XSD-skeemi kohaselt</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Toimingu olek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Loendatav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Edukas</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Viga sõnumi valideerimisel</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Korraldaja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Tagasivõtmise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Osaleja registreerimise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Numbriline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Riikliku reguleeriva asutuse serverisse saabumise kuupäev ja kellaaeg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Kuupäev</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JAH</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Vorming AAAA-KK-PP T TT:MM:SS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Märkus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Väljendatud tähemärkides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Vajaduse korral lisateave ja/või vea tüübi selgitus ebaõnnestunud toimingu korral</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 22.</w:t>
      </w:r>
      <w:r>
        <w:rPr>
          <w:b/>
        </w:rPr>
        <w:t xml:space="preserve"> </w:t>
      </w:r>
      <w:r>
        <w:t xml:space="preserve">4. lisa sõnastust muudetakse ja täiendatakse järgmiselt:</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Sõnad „artikli 8 lõikes 4 ja artikli 9 lõikes 4” asendatakse sõnadega „artikli 8 lõikes 10 ja artikli 9 lõikes 5”.</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Punkti 1 tabelis „Hasartmängukorraldajate esitatud andmed sündmuste (aktiivsete mängude) kohta, mis ei ole aruandeperioodi lõpuks lõppenud hasartmänguseaduse artikli 30 lõike 8 kohaselt“, lisatakse real „Koostatud kuupäev ja kellaaeg“ veerus „Kontroll“ sõnade „Vorm 2010-02-16 T 16:47:31“ järele sõnad „EET/EEST ajavöönd“.</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Punktis 2 esitatud tabelis „Riikliku reguleeriva asutuse serveri saadetud teade lõpetamata sündmuste kohta saadud andmete kinnitamise kohta“:</w:t>
      </w:r>
    </w:p>
    <w:p w14:paraId="555505D3" w14:textId="77777777" w:rsidR="00C83780" w:rsidRPr="00A368B0" w:rsidRDefault="00C83780" w:rsidP="00A76C0A">
      <w:pPr>
        <w:spacing w:after="0" w:line="240" w:lineRule="auto"/>
        <w:ind w:left="0" w:right="213" w:firstLine="851"/>
      </w:pPr>
      <w:r>
        <w:t xml:space="preserve">a) reas „Kinnituse liik“ veerus „Selgitus“ lisatakse lõppu „8 – Mänguandmete tühistamine“;</w:t>
      </w:r>
    </w:p>
    <w:p w14:paraId="62929C7E" w14:textId="0D12DB68" w:rsidR="00E666C0" w:rsidRDefault="00C83780" w:rsidP="00A76C0A">
      <w:pPr>
        <w:spacing w:after="0" w:line="240" w:lineRule="auto"/>
        <w:ind w:left="0" w:right="213" w:firstLine="851"/>
      </w:pPr>
      <w:r>
        <w:t xml:space="preserve">b) reas „Käituse staatus“:</w:t>
      </w:r>
    </w:p>
    <w:p w14:paraId="39CD4D3D" w14:textId="729E02F9" w:rsidR="00C83780" w:rsidRPr="00A368B0" w:rsidRDefault="00E666C0" w:rsidP="00A76C0A">
      <w:pPr>
        <w:spacing w:after="0" w:line="240" w:lineRule="auto"/>
        <w:ind w:left="0" w:right="213" w:firstLine="851"/>
      </w:pPr>
      <w:r>
        <w:t xml:space="preserve">aa) veeru „Selgitus” lõppu lisatakse järgmine:</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Korraldajat ei leitud</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Korraldaja on registrist kustutatud“;</w:t>
      </w:r>
    </w:p>
    <w:p w14:paraId="785BC532" w14:textId="76D38EF0" w:rsidR="00C83780" w:rsidRPr="00A368B0" w:rsidRDefault="00E666C0" w:rsidP="00A76C0A">
      <w:pPr>
        <w:spacing w:after="0" w:line="240" w:lineRule="auto"/>
        <w:ind w:left="0" w:right="213" w:firstLine="851"/>
      </w:pPr>
      <w:r>
        <w:t xml:space="preserve">bb) veergu „Kontroll“ lisatakse järgmine:</w:t>
      </w:r>
      <w:r>
        <w:t xml:space="preserve"> </w:t>
      </w:r>
      <w:r>
        <w:t xml:space="preserve">„Tagastatud toimingute olekute täielik loetelu on esitatud riikliku maksuameti (NRA) veebisaidil avaldatud XSD andmevahetusskeemis kooskõlas määruse nõuetega, mis käsitlevad osalejate registreerimise ja identifitseerimise tingimusi ja korda, Bulgaaria Vabariigi territooriumil korraldatavate internetipõhiste kihlvedudega seotud andmete säilitamist ning hasartmängualase teabe esitamist riikliku maksuameti serverile.“;</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 23.</w:t>
      </w:r>
      <w:r>
        <w:rPr>
          <w:b/>
        </w:rPr>
        <w:t xml:space="preserve"> </w:t>
      </w:r>
      <w:r>
        <w:t xml:space="preserve">5. lisa sõnastust muudetakse ja täiendatakse järgmiselt:</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Sõnad „artikli 8 lõikes 5 ja artikli 9 lõikes 5” asendatakse sõnadega „artikli 8 lõikes 11 ja artikli 9 lõikes 6”.</w:t>
      </w:r>
    </w:p>
    <w:p w14:paraId="3D7BA10B" w14:textId="63866469" w:rsidR="004704B5" w:rsidRPr="00A368B0" w:rsidRDefault="00592B2B" w:rsidP="00A76C0A">
      <w:pPr>
        <w:spacing w:after="0" w:line="240" w:lineRule="auto"/>
        <w:ind w:left="0" w:right="213" w:firstLine="851"/>
      </w:pPr>
      <w:r>
        <w:t xml:space="preserve">a) reas „Loodud kuupäev ja kellaaeg“, veerus „Kontroll“, lisatakse sõnade „Vorm 2010-02-16 T 16:47:31“ järele sõnad „EET/EEST ajavöönd“.</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Punktis 2 esitatud tabelis „Riikliku reguleeriva asutuse ja riikliku ohutusasutuse saadetud teade taotletud teabe kättesaamise kohta“:</w:t>
      </w:r>
    </w:p>
    <w:p w14:paraId="41F726E1" w14:textId="77777777" w:rsidR="00B75349" w:rsidRPr="00A368B0" w:rsidRDefault="00B75349" w:rsidP="00A76C0A">
      <w:pPr>
        <w:spacing w:after="0" w:line="240" w:lineRule="auto"/>
        <w:ind w:left="0" w:right="213" w:firstLine="851"/>
      </w:pPr>
      <w:r>
        <w:t xml:space="preserve">a) reas „Kinnituse liik“ veerus „Selgitus“ lisatakse lõppu „8 – Mänguandmete tühistamine“;</w:t>
      </w:r>
    </w:p>
    <w:p w14:paraId="419B5BAE" w14:textId="2D1F73FE" w:rsidR="00656DF3" w:rsidRPr="00A368B0" w:rsidRDefault="00656DF3" w:rsidP="00A76C0A">
      <w:pPr>
        <w:spacing w:after="0" w:line="240" w:lineRule="auto"/>
        <w:ind w:left="0" w:right="213" w:firstLine="851"/>
      </w:pPr>
      <w:r>
        <w:t xml:space="preserve">b) reale „Käituse olek” veergu „Kontroll” lisatakse:</w:t>
      </w:r>
      <w:r>
        <w:t xml:space="preserve"> </w:t>
      </w:r>
      <w:r>
        <w:t xml:space="preserve">„Tegevuse staatuse täielik loetelu on esitatud NRA veebisaidil avaldatud XSD andmevahetusskeemis kooskõlas määruse nõuetega, mis käsitlevad osalejate registreerimise ja identifitseerimise tingimusi ja korda, Bulgaaria Vabariigi territooriumil korraldatud internetikihlvedudega seotud andmete säilitamist ning hasartmängude kohta teabe esitamist riikliku maksuameti serverile.“;</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 24.</w:t>
      </w:r>
      <w:r>
        <w:t xml:space="preserve"> </w:t>
      </w:r>
      <w:r>
        <w:t xml:space="preserve">Lisa 6 muudetakse järgmiselt:</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Punkti 1 tabelis „Hasartmängukorraldaja poolt hasartmänguseaduse artiklite 55, 57, 59, 60 ja 62 alusel riikliku maksuameti (NRA) serverile esitatud andmed“ lisatakse rea „Aruande koostamise kuupäev ja kellaaeg“ veerus „Kontroll“ sõnade „Vorm 2010-02-16 T 16:47:31“ järele sõnad „EET/EEST ajavöönd“.</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Punktis 2 esitatud tabelis „Riikliku reguleeriva asutuse serveri saadetud teate kinnitussõnum korraldaja registreerimisel, andmete muutmisel või registrist kustutamisel saadud andmete kohta“:</w:t>
      </w:r>
    </w:p>
    <w:p w14:paraId="418452FB" w14:textId="77777777" w:rsidR="0069408A" w:rsidRPr="00A368B0" w:rsidRDefault="0069408A" w:rsidP="00A76C0A">
      <w:pPr>
        <w:spacing w:after="0" w:line="240" w:lineRule="auto"/>
        <w:ind w:left="0" w:right="213" w:firstLine="851"/>
      </w:pPr>
      <w:r>
        <w:t xml:space="preserve">a) reas „Kinnituse liik“ veerus „Selgitus“ lisatakse lõppu „8 – Mänguandmete tühistamine“;</w:t>
      </w:r>
    </w:p>
    <w:p w14:paraId="37CA9E3A" w14:textId="77777777" w:rsidR="00BE173D" w:rsidRDefault="0069408A" w:rsidP="00A76C0A">
      <w:pPr>
        <w:spacing w:after="0" w:line="240" w:lineRule="auto"/>
        <w:ind w:left="0" w:right="213" w:firstLine="851"/>
      </w:pPr>
      <w:r>
        <w:t xml:space="preserve">b) reas „Käituse staatus“:</w:t>
      </w:r>
    </w:p>
    <w:p w14:paraId="0C703B2F" w14:textId="2117F58E" w:rsidR="00B60790" w:rsidRPr="00A368B0" w:rsidRDefault="00BE173D" w:rsidP="00A76C0A">
      <w:pPr>
        <w:spacing w:after="0" w:line="240" w:lineRule="auto"/>
        <w:ind w:left="0" w:right="213" w:firstLine="851"/>
      </w:pPr>
      <w:r>
        <w:t xml:space="preserve">aa) veeru „Selgitus” lõppu lisatakse järgmine tekst:</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Litsents on juba registreeritud</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Korraldajat ei leitud</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Korraldaja on registrist kustutatud</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Litsentsi ei leitud“;</w:t>
      </w:r>
    </w:p>
    <w:p w14:paraId="79F443DB" w14:textId="795B2B74" w:rsidR="0069408A" w:rsidRPr="00A368B0" w:rsidRDefault="00BE173D" w:rsidP="0069408A">
      <w:pPr>
        <w:spacing w:after="0" w:line="240" w:lineRule="auto"/>
        <w:ind w:left="0" w:right="213" w:firstLine="851"/>
      </w:pPr>
      <w:r>
        <w:t xml:space="preserve">bb) veergu „Kontroll“ lisatakse järgmine:</w:t>
      </w:r>
      <w:r>
        <w:t xml:space="preserve"> </w:t>
      </w:r>
      <w:r>
        <w:t xml:space="preserve">„Tegevuse staatuste täielik loetelu on esitatud NRA veebisaidil avaldatud XSD andmevahetusskeemis kooskõlas määruse nõuetega, mis käsitlevad osalejate registreerimise ja identifitseerimise tingimusi ja korda, Bulgaaria Vabariigi territooriumil korraldatud internetikihlvedudega seotud andmete säilitamist ning hasartmängude kohta teabe esitamist riikliku maksuameti serverile.“</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 25.</w:t>
      </w:r>
      <w:r>
        <w:t xml:space="preserve"> </w:t>
      </w:r>
      <w:r>
        <w:t xml:space="preserve">Lisa 7 täiendatakse järgmiselt:</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Punkti 1 tabelis „Hasartmängukorraldaja poolt hasartmänguseaduse artiklite 55, 57, 59, 60 ja 62 alusel riikliku maksuameti (NRA) serverile esitatud andmed iga lõpetatud sündmuse kohta“ lisatakse rea „Aruande koostamise kuupäev ja kellaaeg“ veergu „Kontroll“ sõnade „Vorm 2010-02-16 T 16:47:31“ järele sõnad „EET/EEST ajavöönd“.</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Punktis 2 esitatud tabelis „Riikliku reguleeriva asutuse serveri saadetud teate kinnitussõnum iga lõpetatud sündmuse kohta saadud andmete kohta“:</w:t>
      </w:r>
    </w:p>
    <w:p w14:paraId="71DF67B0" w14:textId="77777777" w:rsidR="005C3EF9" w:rsidRPr="00A368B0" w:rsidRDefault="005C3EF9" w:rsidP="00A76C0A">
      <w:pPr>
        <w:spacing w:after="0" w:line="240" w:lineRule="auto"/>
        <w:ind w:left="0" w:right="213" w:firstLine="851"/>
      </w:pPr>
      <w:r>
        <w:t xml:space="preserve">a) reas „Kinnituse liik“ veerus „Selgitus“ lisatakse lõppu „8 – Mänguandmete tühistamine“;</w:t>
      </w:r>
    </w:p>
    <w:p w14:paraId="2D24E215" w14:textId="461C2793" w:rsidR="00FB2DFF" w:rsidRDefault="004238F5" w:rsidP="004238F5">
      <w:pPr>
        <w:spacing w:after="0" w:line="240" w:lineRule="auto"/>
        <w:ind w:left="0" w:right="213" w:firstLine="851"/>
      </w:pPr>
      <w:r>
        <w:t xml:space="preserve">b) reas „Käituse staatus“</w:t>
      </w:r>
      <w:r>
        <w:t xml:space="preserve"> </w:t>
      </w:r>
    </w:p>
    <w:p w14:paraId="2299BABC" w14:textId="524D880C" w:rsidR="004238F5" w:rsidRPr="00A368B0" w:rsidRDefault="00FB2DFF" w:rsidP="004238F5">
      <w:pPr>
        <w:spacing w:after="0" w:line="240" w:lineRule="auto"/>
        <w:ind w:left="0" w:right="213" w:firstLine="851"/>
      </w:pPr>
      <w:r>
        <w:t xml:space="preserve">aa) veeru „Selgitus” lõppu lisatakse järgmine tekst:</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Korraldajat ei leitud</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Korraldaja on registrist kustutatud“;</w:t>
      </w:r>
    </w:p>
    <w:p w14:paraId="7645B70B" w14:textId="207CC753" w:rsidR="007A3C45" w:rsidRDefault="00FB2DFF" w:rsidP="007A3C45">
      <w:pPr>
        <w:spacing w:after="0" w:line="240" w:lineRule="auto"/>
        <w:ind w:left="0" w:right="213" w:firstLine="851"/>
      </w:pPr>
      <w:r>
        <w:t xml:space="preserve">bb) veergu „Kontroll“ lisatakse järgmine:</w:t>
      </w:r>
      <w:r>
        <w:t xml:space="preserve"> </w:t>
      </w:r>
      <w:r>
        <w:t xml:space="preserve">„Tegevuse staatuse täielik loetelu on esitatud NRA veebisaidil avaldatud XSD andmevahetusskeemis kooskõlas määruse nõuetega, mis käsitlevad osalejate registreerimise ja identifitseerimise tingimusi ja korda, Bulgaaria Vabariigi territooriumil korraldatud internetikihlvedudega seotud andmete säilitamist ning hasartmängude kohta teabe esitamist riikliku maksuameti serverile.“;</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 26.</w:t>
      </w:r>
      <w:r>
        <w:t xml:space="preserve"> </w:t>
      </w:r>
      <w:r>
        <w:t xml:space="preserve">Artikli 9 lõikesse 3 lisatakse järgmine lisa 7a:</w:t>
      </w:r>
    </w:p>
    <w:p w14:paraId="5702C87F" w14:textId="77777777" w:rsidR="0035697F" w:rsidRPr="00A368B0" w:rsidRDefault="001A17C0" w:rsidP="001A17C0">
      <w:pPr>
        <w:spacing w:after="0" w:line="240" w:lineRule="auto"/>
        <w:ind w:left="0" w:right="213" w:firstLine="851"/>
      </w:pPr>
      <w:r>
        <w:t xml:space="preserve">„Lisa 7a</w:t>
      </w:r>
      <w:r>
        <w:t xml:space="preserve"> </w:t>
      </w:r>
    </w:p>
    <w:p w14:paraId="20D2A793" w14:textId="77777777" w:rsidR="001A17C0" w:rsidRPr="00A368B0" w:rsidRDefault="001A17C0" w:rsidP="001A17C0">
      <w:pPr>
        <w:spacing w:after="0" w:line="240" w:lineRule="auto"/>
        <w:ind w:left="0" w:right="213" w:firstLine="851"/>
      </w:pPr>
      <w:r>
        <w:t xml:space="preserve">artikli 9 lõike 3 juurde</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Lõpetatud sündmuse kohta saadud andmete tühistamine:</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Liik</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Selgitus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Kohustuslik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Kontroll</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Korraldaja tunnuskood, mille on loonud riigi reguleeriva asutuse 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Hasartmängu liik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Loendatav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Lisas 9 esitatud nomenklatuurist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Tühistatud ürituse identifitseerimisnumber, mille on loonud korraldaja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Numbriline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Iga mängu kordumatu seerianumber (algab 1-st), mille veebipõhiste hasartmängude korraldaja keskandmesüsteemis genereerima peab</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Andmete kustutamise põhjus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Numbriline</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Loetlege põhjused, mida võib tühistamiseks nimetada:</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mängu tühistamine vääramatu jõu tõttu;</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lõpetatud mäng enne lõppu panuste tühistamisega;</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mängu tühistamine regulatiivsete otsuste tõttu (FIFA, UEFA jne);</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tühistatud panus (tühistatud mäng) osaleja poolt tuvastatud reeglite rikkumise tõttu;</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tühistatud panus (tühistatud mäng) pärast edasikaebuse kohta tehtud otsust;</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muu.</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Täiendavad selgitused</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Väljendatud tähemärkides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Selle välja täitmine on kohustuslik, kui andmete kustutamise põhjus on „Muu“.</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EI</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Kuupäeva ja kellaaja sõnum genereeritud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Kuupäev</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JAH</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AAAA-KK-PP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Teate kinnitussõnum, mille riikliku maksuameti (NRA) server saadab sündmuse andmete tühistamise kohta saadud andmete kohta</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Liik</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Selgitus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Kohustuslik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Kontroll</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Kinnituse tüüp</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Loendatav</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Korraldaja registreerimine</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Litsentsi lisamine</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Osaleja registreerimine</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Mängu andmed</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Päringule vastamine</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Andmed osalemissertifikaadi saamiseks</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Andmed käimasolevate mängude kohta</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Mängu andmete tühistamine</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Toimingu olek</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Loendatav</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Edukas</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Viga valideerimise ajal</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Korraldajat ei leitud</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Korraldaja on registrist kustutatud</w:t>
            </w:r>
          </w:p>
          <w:p w14:paraId="4415B3EE" w14:textId="1A987761" w:rsidR="001A17C0" w:rsidRPr="00A368B0" w:rsidRDefault="001A17C0" w:rsidP="001A17C0">
            <w:pPr>
              <w:spacing w:after="0" w:line="240" w:lineRule="auto"/>
              <w:ind w:left="0" w:right="213" w:firstLine="851"/>
            </w:pPr>
            <w:r>
              <w:t xml:space="preserve">12 – – Sündmust ei leitud</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Üritus on juba tühistatud</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JAH</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XSD-skeemi kohaselt</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Korraldaja tunnuskood, mille on loonud riigi reguleeriva asutuse server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Numbriline</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JAH</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Hasartmängu liik</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Loendatav</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Lisas 9 esitatud nomenklatuurist</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JAH</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Tühistatud ürituse identifitseerimisnumber, mille on loonud korraldaja CCS</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Numbriline</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JAH</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Vastuvõtmise kuupäev ja kellaaeg</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Kuupäev</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JAH</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AAAA-KK-PP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Märkus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Väljendatud tähemärkides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Vajaduse korral lisateave ja/või vea tüübi selgitus ebaõnnestunud toimingu korral</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 27.</w:t>
      </w:r>
      <w:r>
        <w:t xml:space="preserve"> </w:t>
      </w:r>
      <w:r>
        <w:t xml:space="preserve">8. lisa sõnastust muudetakse ja täiendatakse järgmiselt:</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Sõnad „artikli 9 lõike 3” asendatakse sõnadega „artikli 9 lõike 4”.</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Punkti 1 tabelis „Andmed, mille hasartmängukorraldajad peavad esitama ostetud/imporditud osalemissertifikaatide kohta (nr xxx kuni nr xxx).</w:t>
      </w:r>
      <w:r>
        <w:t xml:space="preserve"> </w:t>
      </w:r>
      <w:r>
        <w:t xml:space="preserve">Korraldaja esitab osalemissertifikaatide ostu/impordi päeval, real „Aruande koostamise kuupäev ja kellaaeg“ veerus „Kontroll“ lisatakse sõnade „Vorm 2010-02-16 T 16:47:31“ järel sõnad „EET/EEST ajavöönd“.</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Punktis 2 esitatud tabelis „Riikliku reguleeriva asutuse serveri saadetud teavitus-kinnitussõnum ostetud/imporditud osalemissertifikaatide kohta saadud andmete kohta“:</w:t>
      </w:r>
    </w:p>
    <w:p w14:paraId="46B358EE" w14:textId="77777777" w:rsidR="003854AB" w:rsidRPr="00A368B0" w:rsidRDefault="003854AB" w:rsidP="003854AB">
      <w:pPr>
        <w:spacing w:after="0" w:line="240" w:lineRule="auto"/>
        <w:ind w:left="0" w:right="213" w:firstLine="851"/>
      </w:pPr>
      <w:r>
        <w:t xml:space="preserve">a) reas „Kinnituse liik“ veerus „Selgitus“ lisatakse lõppu „8 – Mänguandmete tühistamine“;</w:t>
      </w:r>
    </w:p>
    <w:p w14:paraId="46EA0852" w14:textId="78A9AD59" w:rsidR="00F65AC6" w:rsidRDefault="003854AB" w:rsidP="003854AB">
      <w:pPr>
        <w:spacing w:after="0" w:line="240" w:lineRule="auto"/>
        <w:ind w:left="0" w:right="213" w:firstLine="851"/>
      </w:pPr>
      <w:r>
        <w:t xml:space="preserve">b) reas „Käituse staatus“:</w:t>
      </w:r>
    </w:p>
    <w:p w14:paraId="69676C30" w14:textId="15B5DFFB" w:rsidR="003854AB" w:rsidRPr="00A368B0" w:rsidRDefault="00F65AC6" w:rsidP="003854AB">
      <w:pPr>
        <w:spacing w:after="0" w:line="240" w:lineRule="auto"/>
        <w:ind w:left="0" w:right="213" w:firstLine="851"/>
      </w:pPr>
      <w:r>
        <w:t xml:space="preserve">aa) veeru „Selgitus” lõppu lisatakse järgmine tekst:</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Korraldajat ei leitud</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Korraldaja on registrist kustutatud</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Välja dubleerimine seerianumbriga”;</w:t>
      </w:r>
    </w:p>
    <w:p w14:paraId="27DEE43B" w14:textId="4D890C8A" w:rsidR="003854AB" w:rsidRPr="00A368B0" w:rsidRDefault="00F65AC6" w:rsidP="00A76C0A">
      <w:pPr>
        <w:spacing w:after="0" w:line="240" w:lineRule="auto"/>
        <w:ind w:left="0" w:right="213" w:firstLine="851"/>
      </w:pPr>
      <w:r>
        <w:t xml:space="preserve">bb) veergu „Kontroll“ lisatakse järgmine:</w:t>
      </w:r>
      <w:r>
        <w:t xml:space="preserve"> </w:t>
      </w:r>
      <w:r>
        <w:t xml:space="preserve">„Tegevuse staatuste täielik loetelu on esitatud NRA veebisaidil avaldatud XSD andmevahetusskeemis kooskõlas määruse nõuetega, mis käsitlevad osalejate registreerimise ja identifitseerimise tingimusi ja korda, Bulgaaria Vabariigi territooriumil korraldatud internetikihlvedudega seotud andmete säilitamist ning hasartmängude kohta teabe esitamist riikliku maksuameti serverile.“</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 25.</w:t>
      </w:r>
      <w:r>
        <w:t xml:space="preserve"> </w:t>
      </w:r>
      <w:r>
        <w:t xml:space="preserve">Lisa 9 tabeli veerus „Veebipõhised kihlveod“ muudetakse ja täiendatakse järgmiselt.</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Rida „Automaatsete mänguautomaatidega mängud“ lisatakse sõna „virtuaalne“ sõnade „Mängud automaatsete mänguautomaatidega“ järele.</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Reas „Mängud kasiinos“ asendatakse sõnad „kasiinos“ sõnadega „virtuaalses kasiinos“.</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Reas „• Mängud laual” asendatakse sõnad „laudadel” sõnadega „virtuaalsetel laudadel”.</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Reas „• Kasiino automaatidega mängud“ asendatakse sõnad „kasiino automaatidega“ sõnadega „virtuaalses kasiinos kuvatavad füüsilised automaatmänguautomaadid“.</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Üleminekusäte</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 26.</w:t>
      </w:r>
      <w:r>
        <w:rPr>
          <w:b/>
        </w:rPr>
        <w:t xml:space="preserve"> </w:t>
      </w:r>
      <w:r>
        <w:t xml:space="preserve">(1)</w:t>
      </w:r>
      <w:r>
        <w:t xml:space="preserve"> </w:t>
      </w:r>
      <w:r>
        <w:t xml:space="preserve">Üheksa kuu jooksul alates dekreedi jõustumisest viivad hasartmängukorraldajad oma süsteemide funktsioonid kooskõlla käesoleva dekreedi nõuetega ja esitavad taotluse vastavalt määruse artikli 22 lõikele 1.</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Vastavustestimine tehakse lõikes 1 osutatud taotluse alusel, mille alusel riikliku maksuameti tegevdirektor teeb otsuse, millega kiidetakse heaks või keeldutakse heaks kiitmast automaatse teabeedastuse süsteemid riikliku maksuameti serverile.</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Kuni lõike 2 kohase heakskiitva otsuse tegemiseni esitavad korraldajad teabe riikliku maksuameti serverisse vastavalt eelmisele menetlusele.</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Käesoleva dekreedi jõustumise ajal määruse artikli 20 lõike 1 alusel pooleliolevad menetlused peatatakse seniks, kuni korraldaja süsteemi funktsioonid on viidud vastavusse dekreedi nõuetega.</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Peaminister:</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Ministrite Nõukogu</w:t>
      </w:r>
      <w:r>
        <w:rPr>
          <w:b/>
          <w:caps/>
          <w:color w:val="auto"/>
        </w:rPr>
        <w:br/>
      </w:r>
      <w:r>
        <w:rPr>
          <w:b/>
          <w:caps/>
          <w:color w:val="auto"/>
        </w:rPr>
        <w:t xml:space="preserve">peasekretär:</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RAHANDUSMINISTEERIUMI </w:t>
      </w:r>
      <w:r>
        <w:rPr>
          <w:b/>
          <w:color w:val="auto"/>
        </w:rPr>
        <w:br/>
      </w:r>
      <w:r>
        <w:rPr>
          <w:b/>
          <w:color w:val="auto"/>
        </w:rPr>
        <w:t xml:space="preserve">PEASEKRETÄR:</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RAHANDUSMINISTEERIUMI </w:t>
      </w:r>
      <w:r>
        <w:rPr>
          <w:b/>
          <w:color w:val="auto"/>
        </w:rPr>
        <w:br/>
      </w:r>
      <w:r>
        <w:rPr>
          <w:b/>
          <w:color w:val="auto"/>
        </w:rPr>
        <w:t xml:space="preserve">JURIIDILISE DIREKTORAADI</w:t>
      </w:r>
      <w:r>
        <w:rPr>
          <w:b/>
          <w:color w:val="auto"/>
        </w:rPr>
        <w:br/>
      </w:r>
      <w:r>
        <w:rPr>
          <w:b/>
          <w:color w:val="auto"/>
        </w:rPr>
        <w:t xml:space="preserve">DIREKTOR:</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et-EE"/>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