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78CA5" w14:textId="71F4B4E0" w:rsidR="002478C1" w:rsidRPr="002478C1" w:rsidRDefault="002478C1" w:rsidP="002478C1">
      <w:pPr>
        <w:rPr>
          <w:rFonts w:ascii="Courier New" w:hAnsi="Courier New"/>
          <w:sz w:val="20"/>
          <w:szCs w:val="20"/>
        </w:rPr>
      </w:pPr>
      <w:r>
        <w:rPr>
          <w:rFonts w:ascii="Courier New" w:hAnsi="Courier New"/>
          <w:sz w:val="20"/>
          <w:szCs w:val="20"/>
        </w:rPr>
        <w:t>1. ------IND- 2020 0658 E-- SL- ------ 20201030 --- --- PROJET</w:t>
      </w:r>
    </w:p>
    <w:p w14:paraId="49EB711B" w14:textId="1BD8DA40" w:rsidR="004B4311" w:rsidRPr="00F1001A" w:rsidRDefault="00E53BF7" w:rsidP="002478C1">
      <w:pPr>
        <w:spacing w:before="120" w:after="120" w:line="240" w:lineRule="auto"/>
        <w:jc w:val="center"/>
        <w:rPr>
          <w:rFonts w:ascii="Arial" w:hAnsi="Arial"/>
          <w:b/>
          <w:sz w:val="24"/>
        </w:rPr>
      </w:pPr>
      <w:r>
        <w:rPr>
          <w:rFonts w:ascii="Arial" w:hAnsi="Arial"/>
          <w:b/>
          <w:sz w:val="24"/>
        </w:rPr>
        <w:t>DOLOČBE O PLASTIKI IZ PREDHODNEGA OSNUTKA ZAKONA O KONTAMINIRANIH TLEH IN ODPADKIH</w:t>
      </w:r>
    </w:p>
    <w:p w14:paraId="77D31614" w14:textId="07E3C837" w:rsidR="00A96224" w:rsidRPr="00F1001A" w:rsidRDefault="0040563B" w:rsidP="002478C1">
      <w:pPr>
        <w:spacing w:before="120" w:after="120" w:line="240" w:lineRule="auto"/>
        <w:jc w:val="center"/>
        <w:rPr>
          <w:rFonts w:ascii="Arial" w:hAnsi="Arial"/>
          <w:b/>
          <w:sz w:val="24"/>
        </w:rPr>
      </w:pPr>
      <w:r>
        <w:rPr>
          <w:rFonts w:ascii="Arial" w:hAnsi="Arial"/>
          <w:b/>
          <w:sz w:val="24"/>
        </w:rPr>
        <w:t>(23. 10. 2020)</w:t>
      </w:r>
    </w:p>
    <w:p w14:paraId="70A232D4" w14:textId="77777777" w:rsidR="00A96224" w:rsidRPr="00E55DBE" w:rsidRDefault="00A96224" w:rsidP="002478C1">
      <w:pPr>
        <w:spacing w:before="120" w:after="120" w:line="240" w:lineRule="auto"/>
        <w:jc w:val="both"/>
        <w:rPr>
          <w:rFonts w:ascii="Arial" w:hAnsi="Arial"/>
          <w:sz w:val="24"/>
        </w:rPr>
      </w:pPr>
    </w:p>
    <w:p w14:paraId="51EEB997" w14:textId="3EBE3D16" w:rsidR="003A1F9B" w:rsidRPr="005E6A73" w:rsidRDefault="0F588873" w:rsidP="00512B74">
      <w:pPr>
        <w:keepNext/>
        <w:keepLines/>
        <w:jc w:val="both"/>
        <w:rPr>
          <w:rFonts w:ascii="Arial" w:eastAsia="Arial" w:hAnsi="Arial" w:cs="Arial"/>
          <w:b/>
          <w:bCs/>
          <w:i/>
          <w:iCs/>
          <w:sz w:val="24"/>
          <w:szCs w:val="24"/>
        </w:rPr>
      </w:pPr>
      <w:r>
        <w:rPr>
          <w:rFonts w:ascii="Arial" w:hAnsi="Arial"/>
          <w:b/>
          <w:bCs/>
          <w:sz w:val="24"/>
          <w:szCs w:val="24"/>
        </w:rPr>
        <w:t xml:space="preserve">Člen 2. </w:t>
      </w:r>
      <w:r>
        <w:rPr>
          <w:rFonts w:ascii="Arial" w:hAnsi="Arial"/>
          <w:b/>
          <w:bCs/>
          <w:i/>
          <w:iCs/>
          <w:sz w:val="24"/>
          <w:szCs w:val="24"/>
        </w:rPr>
        <w:t>Opredelitve pojmov</w:t>
      </w:r>
    </w:p>
    <w:p w14:paraId="708E7869" w14:textId="369BBEC6" w:rsidR="0F588873" w:rsidRDefault="0F588873" w:rsidP="00512B74">
      <w:pPr>
        <w:keepNext/>
        <w:keepLines/>
        <w:jc w:val="both"/>
        <w:rPr>
          <w:rFonts w:ascii="Arial" w:eastAsia="Arial" w:hAnsi="Arial" w:cs="Arial"/>
          <w:sz w:val="24"/>
          <w:szCs w:val="24"/>
        </w:rPr>
      </w:pPr>
      <w:r>
        <w:rPr>
          <w:rFonts w:ascii="Arial" w:hAnsi="Arial"/>
          <w:sz w:val="24"/>
          <w:szCs w:val="24"/>
        </w:rPr>
        <w:t>Za namene tega zakona se uporabljajo naslednji izrazi in opredelitve:</w:t>
      </w:r>
    </w:p>
    <w:p w14:paraId="63AB60FA" w14:textId="64DACDE7" w:rsidR="0F588873" w:rsidRDefault="0F588873" w:rsidP="002478C1">
      <w:pPr>
        <w:jc w:val="both"/>
        <w:rPr>
          <w:rFonts w:ascii="Arial" w:eastAsia="Arial" w:hAnsi="Arial" w:cs="Arial"/>
          <w:sz w:val="24"/>
          <w:szCs w:val="24"/>
        </w:rPr>
      </w:pPr>
      <w:r>
        <w:rPr>
          <w:rFonts w:ascii="Arial" w:hAnsi="Arial"/>
          <w:sz w:val="24"/>
          <w:szCs w:val="24"/>
        </w:rPr>
        <w:t>a) „odpadek“: vsaka snov ali predmet, ki ga lastnik zavrže, namerava zavreči ali mora zavreči;</w:t>
      </w:r>
    </w:p>
    <w:p w14:paraId="4EBE1F1C" w14:textId="391A098F" w:rsidR="0F588873" w:rsidRDefault="0F588873" w:rsidP="002478C1">
      <w:pPr>
        <w:jc w:val="both"/>
        <w:rPr>
          <w:rFonts w:ascii="Arial" w:eastAsia="Arial" w:hAnsi="Arial" w:cs="Arial"/>
          <w:sz w:val="24"/>
          <w:szCs w:val="24"/>
        </w:rPr>
      </w:pPr>
      <w:r>
        <w:rPr>
          <w:rFonts w:ascii="Arial" w:hAnsi="Arial"/>
          <w:sz w:val="24"/>
          <w:szCs w:val="24"/>
        </w:rPr>
        <w:t>b) „gospodinjski odpadki“: odpadki, ustvarjeni v domovih pri gospodinjskih dejavnostih. To vključuje tudi odpadke, ki so podobni zgoraj navedenim in so ustvarjeni v storitvenih ali industrijskih podjetjih, a niso ustvarjeni pri izvajanju glavne dejavnosti storitvenega ali industrijskega podjetja.</w:t>
      </w:r>
    </w:p>
    <w:p w14:paraId="24B4C1F4" w14:textId="37E72098" w:rsidR="0F588873" w:rsidRDefault="0F588873" w:rsidP="002478C1">
      <w:pPr>
        <w:jc w:val="both"/>
        <w:rPr>
          <w:rFonts w:ascii="Arial" w:eastAsia="Arial" w:hAnsi="Arial" w:cs="Arial"/>
          <w:sz w:val="24"/>
          <w:szCs w:val="24"/>
        </w:rPr>
      </w:pPr>
      <w:r>
        <w:rPr>
          <w:rFonts w:ascii="Arial" w:hAnsi="Arial"/>
          <w:sz w:val="24"/>
          <w:szCs w:val="24"/>
        </w:rPr>
        <w:t>Ta kategorija vključuje tudi odpadke, ustvarjene v domovih, iz električnih in elektronskih naprav, oblačil, baterij, pohištva in napeljav, pa tudi odpadke in odpadni material, ki izhaja iz manjših domačih gradbenih del in popravil.</w:t>
      </w:r>
    </w:p>
    <w:p w14:paraId="75DBDA38" w14:textId="36ED8958" w:rsidR="0F588873" w:rsidRDefault="0F588873" w:rsidP="002478C1">
      <w:pPr>
        <w:jc w:val="both"/>
        <w:rPr>
          <w:rFonts w:ascii="Arial" w:eastAsia="Arial" w:hAnsi="Arial" w:cs="Arial"/>
          <w:sz w:val="24"/>
          <w:szCs w:val="24"/>
        </w:rPr>
      </w:pPr>
      <w:r>
        <w:rPr>
          <w:rFonts w:ascii="Arial" w:hAnsi="Arial"/>
          <w:sz w:val="24"/>
          <w:szCs w:val="24"/>
        </w:rPr>
        <w:t>Odpadki, ki izhajajo iz čiščenja javnih cest, zelenih površin, rekreacijskih površin in plaž ter odstranjevanja umrlih domačih živali in zapuščenih vozil, se prav tako štejejo za gospodinjske odpadke;</w:t>
      </w:r>
    </w:p>
    <w:p w14:paraId="39C8C7DC" w14:textId="69966237" w:rsidR="0F588873" w:rsidRDefault="0F588873" w:rsidP="002478C1">
      <w:pPr>
        <w:jc w:val="both"/>
        <w:rPr>
          <w:rFonts w:ascii="Arial" w:eastAsia="Arial" w:hAnsi="Arial" w:cs="Arial"/>
          <w:sz w:val="24"/>
          <w:szCs w:val="24"/>
        </w:rPr>
      </w:pPr>
      <w:r>
        <w:rPr>
          <w:rFonts w:ascii="Arial" w:hAnsi="Arial"/>
          <w:sz w:val="24"/>
          <w:szCs w:val="24"/>
        </w:rPr>
        <w:t>c) „komercialni odpadki“: odpadki, ustvarjeni v dejavnostih, povezanih s trgovino na debelo in na drobno, pri ponudnikih storitev restavracij in barov, v pisarnah in na trgih ter v preostalem delu storitvenega sektorja;</w:t>
      </w:r>
    </w:p>
    <w:p w14:paraId="27F68E63" w14:textId="23979E51" w:rsidR="0F588873" w:rsidRDefault="0F588873" w:rsidP="002478C1">
      <w:pPr>
        <w:jc w:val="both"/>
        <w:rPr>
          <w:rFonts w:ascii="Arial" w:eastAsia="Arial" w:hAnsi="Arial" w:cs="Arial"/>
          <w:sz w:val="24"/>
          <w:szCs w:val="24"/>
        </w:rPr>
      </w:pPr>
      <w:r>
        <w:rPr>
          <w:rFonts w:ascii="Arial" w:hAnsi="Arial"/>
          <w:sz w:val="24"/>
          <w:szCs w:val="24"/>
        </w:rPr>
        <w:t xml:space="preserve">d) „industrijski odpadki“: odpadki, ki nastanejo v postopkih proizvodnje, pretvorbe, uporabe, potrošnje, čiščenja ali vzdrževanja v okviru industrijske dejavnosti; </w:t>
      </w:r>
    </w:p>
    <w:p w14:paraId="5859F5E2" w14:textId="6C0DFD83" w:rsidR="0F588873" w:rsidRDefault="0F588873" w:rsidP="002478C1">
      <w:pPr>
        <w:jc w:val="both"/>
        <w:rPr>
          <w:rFonts w:ascii="Arial" w:eastAsia="Arial" w:hAnsi="Arial" w:cs="Arial"/>
          <w:sz w:val="24"/>
          <w:szCs w:val="24"/>
        </w:rPr>
      </w:pPr>
      <w:r>
        <w:rPr>
          <w:rFonts w:ascii="Arial" w:hAnsi="Arial"/>
          <w:sz w:val="24"/>
          <w:szCs w:val="24"/>
        </w:rPr>
        <w:t>e) „odpadki v lokalni pristojnosti“: odpadki, s katerimi ravnajo lokalni subjekti v skladu s členom 12(5);</w:t>
      </w:r>
    </w:p>
    <w:p w14:paraId="57BB0354" w14:textId="6FC374C3" w:rsidR="0F588873" w:rsidRDefault="0F588873" w:rsidP="00512B74">
      <w:pPr>
        <w:keepNext/>
        <w:keepLines/>
        <w:jc w:val="both"/>
        <w:rPr>
          <w:rFonts w:ascii="Arial" w:eastAsia="Arial" w:hAnsi="Arial" w:cs="Arial"/>
          <w:sz w:val="24"/>
          <w:szCs w:val="24"/>
        </w:rPr>
      </w:pPr>
      <w:r>
        <w:rPr>
          <w:rFonts w:ascii="Arial" w:hAnsi="Arial"/>
          <w:sz w:val="24"/>
          <w:szCs w:val="24"/>
        </w:rPr>
        <w:t xml:space="preserve">f) „komunalni odpadki“: </w:t>
      </w:r>
    </w:p>
    <w:p w14:paraId="26F01E84" w14:textId="38634584" w:rsidR="0F588873" w:rsidRDefault="0F588873" w:rsidP="002478C1">
      <w:pPr>
        <w:jc w:val="both"/>
        <w:rPr>
          <w:rFonts w:ascii="Arial" w:eastAsia="Arial" w:hAnsi="Arial" w:cs="Arial"/>
          <w:sz w:val="24"/>
          <w:szCs w:val="24"/>
        </w:rPr>
      </w:pPr>
      <w:r>
        <w:rPr>
          <w:rFonts w:ascii="Arial" w:hAnsi="Arial"/>
          <w:sz w:val="24"/>
          <w:szCs w:val="24"/>
        </w:rPr>
        <w:t>1. mešani in ločeno zbrani gospodinjski odpadki, vključno s papirjem in kartonom, steklom, kovinami, plastiko, biološkimi odpadki, lesom, tekstilom, embalažo, odpadno električno in elektronsko opremo, odpadnimi baterijami in akumulatorji ter kosovnimi odpadki, vključno z vzmetnicami in pohištvom;</w:t>
      </w:r>
    </w:p>
    <w:p w14:paraId="3133CB51" w14:textId="536EA95A" w:rsidR="0F588873" w:rsidRDefault="0F588873" w:rsidP="002478C1">
      <w:pPr>
        <w:jc w:val="both"/>
        <w:rPr>
          <w:rFonts w:ascii="Arial" w:eastAsia="Arial" w:hAnsi="Arial" w:cs="Arial"/>
          <w:sz w:val="24"/>
          <w:szCs w:val="24"/>
        </w:rPr>
      </w:pPr>
      <w:r>
        <w:rPr>
          <w:rFonts w:ascii="Arial" w:hAnsi="Arial"/>
          <w:sz w:val="24"/>
          <w:szCs w:val="24"/>
        </w:rPr>
        <w:t>2. drugi mešani in ločeno zbrani odpadki, katerih narava in sestava sta podobni gospodinjskim odpadkom.</w:t>
      </w:r>
    </w:p>
    <w:p w14:paraId="22A0A140" w14:textId="2B9C0C08" w:rsidR="0F588873" w:rsidRDefault="0F588873" w:rsidP="002478C1">
      <w:pPr>
        <w:jc w:val="both"/>
        <w:rPr>
          <w:rFonts w:ascii="Arial" w:eastAsia="Arial" w:hAnsi="Arial" w:cs="Arial"/>
          <w:sz w:val="24"/>
          <w:szCs w:val="24"/>
        </w:rPr>
      </w:pPr>
      <w:r>
        <w:rPr>
          <w:rFonts w:ascii="Arial" w:hAnsi="Arial"/>
          <w:sz w:val="24"/>
          <w:szCs w:val="24"/>
        </w:rPr>
        <w:t>Komunalni odpadki ne vključujejo odpadkov, ki izhajajo iz proizvodnje, kmetijstva, gozdarstva, ribištva, greznic ali kanalizacijskega sistema in čistilnih naprav za odpadne vode, vključno z blatom iz čistilnih naprav, izrabljenih vozil ali gradbenih odpadkov in odpadkov iz rušenja objektov.</w:t>
      </w:r>
    </w:p>
    <w:p w14:paraId="6BFB726D" w14:textId="5763B7B6" w:rsidR="0F588873" w:rsidRDefault="0F588873" w:rsidP="002478C1">
      <w:pPr>
        <w:jc w:val="both"/>
        <w:rPr>
          <w:rFonts w:ascii="Arial" w:eastAsia="Arial" w:hAnsi="Arial" w:cs="Arial"/>
          <w:sz w:val="24"/>
          <w:szCs w:val="24"/>
        </w:rPr>
      </w:pPr>
      <w:r>
        <w:rPr>
          <w:rFonts w:ascii="Arial" w:hAnsi="Arial"/>
          <w:sz w:val="24"/>
          <w:szCs w:val="24"/>
        </w:rPr>
        <w:lastRenderedPageBreak/>
        <w:t>S to opredelitvijo se določijo področje ciljnih materialov za pripravo za ponovno uporabo in recikliranje ter standardi za njihov izračun v skladu s tem zakonom. Uporablja se ne glede na razdelitev odgovornosti za ravnanje z odpadki med javnimi in zasebnimi posredniki z vidika razdelitve odgovornosti v skladu s členom 12(5);</w:t>
      </w:r>
    </w:p>
    <w:p w14:paraId="6FCED93B" w14:textId="34C6D804" w:rsidR="0F588873" w:rsidRDefault="0F588873" w:rsidP="002478C1">
      <w:pPr>
        <w:jc w:val="both"/>
        <w:rPr>
          <w:rFonts w:ascii="Arial" w:eastAsia="Arial" w:hAnsi="Arial" w:cs="Arial"/>
          <w:sz w:val="24"/>
          <w:szCs w:val="24"/>
        </w:rPr>
      </w:pPr>
      <w:r>
        <w:rPr>
          <w:rFonts w:ascii="Arial" w:hAnsi="Arial"/>
          <w:sz w:val="24"/>
          <w:szCs w:val="24"/>
        </w:rPr>
        <w:t>g) „nevarni odpadki“: odpadki z eno ali več nevarnimi značilnostmi, navedenimi v Prilogi I, in tisti, ki jih je sprejela vlada v skladu s predpisi Evropske unije ali mednarodnimi konvencijami, katerih podpisnica je Španija. Ta opredelitev vključuje tudi vsebnike in embalažo, ki vsebujejo ostanke ali so kontaminirani z nevarnimi snovmi;</w:t>
      </w:r>
    </w:p>
    <w:p w14:paraId="11D46221" w14:textId="54C9A0BA" w:rsidR="0F588873" w:rsidRDefault="0F588873" w:rsidP="002478C1">
      <w:pPr>
        <w:jc w:val="both"/>
        <w:rPr>
          <w:rFonts w:ascii="Arial" w:eastAsia="Arial" w:hAnsi="Arial" w:cs="Arial"/>
          <w:sz w:val="24"/>
          <w:szCs w:val="24"/>
        </w:rPr>
      </w:pPr>
      <w:r>
        <w:rPr>
          <w:rFonts w:ascii="Arial" w:hAnsi="Arial"/>
          <w:sz w:val="24"/>
          <w:szCs w:val="24"/>
        </w:rPr>
        <w:t>h) „nenevarni odpadki“: odpadki, ki ne spadajo v pododstavek (g);</w:t>
      </w:r>
    </w:p>
    <w:p w14:paraId="21E1A848" w14:textId="51FA60BF" w:rsidR="0F588873" w:rsidRDefault="0F588873" w:rsidP="002478C1">
      <w:pPr>
        <w:jc w:val="both"/>
        <w:rPr>
          <w:rFonts w:ascii="Arial" w:eastAsia="Arial" w:hAnsi="Arial" w:cs="Arial"/>
          <w:sz w:val="24"/>
          <w:szCs w:val="24"/>
        </w:rPr>
      </w:pPr>
      <w:r>
        <w:rPr>
          <w:rFonts w:ascii="Arial" w:hAnsi="Arial"/>
          <w:sz w:val="24"/>
          <w:szCs w:val="24"/>
        </w:rPr>
        <w:t>i) „odpadna olja“: mineralna ali sintetična, industrijska ali mazalna olja, ki niso več primerna za njihovo izvorno predvideno uporabo, kot so odpadna olja iz motorjev z notranjim zgorevanjem in menjalnikov, mazalna olja, turbinska olja in hidravlična olja, brez odpadnih rastlinskih olj ali živalskih olj za kuhanje;</w:t>
      </w:r>
    </w:p>
    <w:p w14:paraId="143268EB" w14:textId="791E85E4" w:rsidR="0F588873" w:rsidRDefault="0F588873" w:rsidP="002478C1">
      <w:pPr>
        <w:jc w:val="both"/>
        <w:rPr>
          <w:rFonts w:ascii="Arial" w:eastAsia="Arial" w:hAnsi="Arial" w:cs="Arial"/>
          <w:sz w:val="24"/>
          <w:szCs w:val="24"/>
        </w:rPr>
      </w:pPr>
      <w:r>
        <w:rPr>
          <w:rFonts w:ascii="Arial" w:hAnsi="Arial"/>
          <w:sz w:val="24"/>
          <w:szCs w:val="24"/>
        </w:rPr>
        <w:t>j) „gradbeni odpadki in odpadki iz rušenja objektov“: odpadki, ki nastanejo pri gradbenih dejavnostih in dejavnostih rušenja objektov;</w:t>
      </w:r>
    </w:p>
    <w:p w14:paraId="07179E8D" w14:textId="58AB85CA" w:rsidR="009F092F" w:rsidRDefault="009F092F" w:rsidP="002478C1">
      <w:pPr>
        <w:jc w:val="both"/>
        <w:rPr>
          <w:rFonts w:ascii="Arial" w:eastAsia="Arial" w:hAnsi="Arial" w:cs="Arial"/>
          <w:sz w:val="24"/>
          <w:szCs w:val="24"/>
        </w:rPr>
      </w:pPr>
      <w:r>
        <w:rPr>
          <w:rFonts w:ascii="Arial" w:hAnsi="Arial"/>
          <w:sz w:val="24"/>
          <w:szCs w:val="24"/>
        </w:rPr>
        <w:t>k) „odpadna ribiška oprema“: vsa ribiška oprema, ki je v skladu z opredelitvijo odpadka, vključno z vsemi ločenimi sestavnimi deli, snovmi ali materiali, ki so bili del ribiške opreme ali so bili nanjo pritrjeni, ko je bila zavržena. To vključuje tudi zapuščeno ali izgubljeno ribiško opremo in njene sestavne dele;</w:t>
      </w:r>
    </w:p>
    <w:p w14:paraId="72C0E29D" w14:textId="5C0DA2AE" w:rsidR="0F588873" w:rsidRDefault="0F588873" w:rsidP="002478C1">
      <w:pPr>
        <w:jc w:val="both"/>
        <w:rPr>
          <w:rFonts w:ascii="Arial" w:eastAsia="Arial" w:hAnsi="Arial" w:cs="Arial"/>
          <w:sz w:val="24"/>
          <w:szCs w:val="24"/>
        </w:rPr>
      </w:pPr>
      <w:r>
        <w:rPr>
          <w:rFonts w:ascii="Arial" w:hAnsi="Arial"/>
          <w:sz w:val="24"/>
          <w:szCs w:val="24"/>
        </w:rPr>
        <w:t>l) „živilski odpadki“: vsa živila, kot so opredeljena v členu 2 Uredbe (ES) št. 178/2002 Evropskega parlamenta in Sveta z dne 28. januarja 2002 o določitvi splošnih načel in zahtevah živilske zakonodaje, ustanovitvi Evropske agencije za varnost hrane in postopkih, ki zadevajo varnost hrane, ki so postala odpadek;</w:t>
      </w:r>
    </w:p>
    <w:p w14:paraId="4915AD57" w14:textId="744A73EB" w:rsidR="0F588873" w:rsidRDefault="0F588873" w:rsidP="002478C1">
      <w:pPr>
        <w:jc w:val="both"/>
        <w:rPr>
          <w:rFonts w:ascii="Arial" w:eastAsia="Arial" w:hAnsi="Arial" w:cs="Arial"/>
          <w:sz w:val="24"/>
          <w:szCs w:val="24"/>
        </w:rPr>
      </w:pPr>
      <w:r>
        <w:rPr>
          <w:rFonts w:ascii="Arial" w:hAnsi="Arial"/>
          <w:sz w:val="24"/>
          <w:szCs w:val="24"/>
        </w:rPr>
        <w:t>m) „biološki odpadki“: biološko razgradljivi odpadki z vrtov in iz parkov, odpadna živila in kuhinjski odpadki iz gospodinjstev, pisarn, restavracij, trgovin na debelo, menz, gostinskih dejavnosti in trgovin na drobno ter primerljivi odpadki iz obratov za predelavo živil;</w:t>
      </w:r>
    </w:p>
    <w:p w14:paraId="16BEBDFF" w14:textId="34B94FE8" w:rsidR="0F588873" w:rsidRDefault="0F588873" w:rsidP="002478C1">
      <w:pPr>
        <w:jc w:val="both"/>
        <w:rPr>
          <w:rFonts w:ascii="Arial" w:eastAsia="Arial" w:hAnsi="Arial" w:cs="Arial"/>
          <w:sz w:val="24"/>
          <w:szCs w:val="24"/>
        </w:rPr>
      </w:pPr>
      <w:r>
        <w:rPr>
          <w:rFonts w:ascii="Arial" w:hAnsi="Arial"/>
          <w:sz w:val="24"/>
          <w:szCs w:val="24"/>
        </w:rPr>
        <w:t>n) „kompost“: organsko spremenjeni material, dobljen z aerobno biološko in termofilno obdelavo ločeno zbranih biološko razgradljivih odpadkov. Organske snovi, dobljene iz obratov za mehansko biološko obdelavo za mešane odpadke, se ne štejejo za kompost, temveč za „biološko stabilizirane snovi“;</w:t>
      </w:r>
    </w:p>
    <w:p w14:paraId="24917409" w14:textId="33D77619" w:rsidR="0F588873" w:rsidRDefault="0F588873" w:rsidP="002478C1">
      <w:pPr>
        <w:jc w:val="both"/>
        <w:rPr>
          <w:rFonts w:ascii="Arial" w:eastAsia="Arial" w:hAnsi="Arial" w:cs="Arial"/>
          <w:sz w:val="24"/>
          <w:szCs w:val="24"/>
        </w:rPr>
      </w:pPr>
      <w:r>
        <w:rPr>
          <w:rFonts w:ascii="Arial" w:hAnsi="Arial"/>
          <w:sz w:val="24"/>
          <w:szCs w:val="24"/>
        </w:rPr>
        <w:t>n) „digestat“: organski spremenjeni material, dobljen z anaerobno biološko obdelavo ločeno zbranih biološko razgradljivih odpadkov. Organske snovi, dobljene iz obratov za mehansko biološko obdelavo za mešane odpadke, se ne štejejo za digestat, temveč za „biološko stabilizirane snovi“;</w:t>
      </w:r>
    </w:p>
    <w:p w14:paraId="0CCECC99" w14:textId="6BDA6383" w:rsidR="0F588873" w:rsidRDefault="0F588873" w:rsidP="002478C1">
      <w:pPr>
        <w:jc w:val="both"/>
        <w:rPr>
          <w:rFonts w:ascii="Arial" w:eastAsia="Arial" w:hAnsi="Arial" w:cs="Arial"/>
          <w:sz w:val="24"/>
          <w:szCs w:val="24"/>
        </w:rPr>
      </w:pPr>
      <w:r>
        <w:rPr>
          <w:rFonts w:ascii="Arial" w:hAnsi="Arial"/>
          <w:sz w:val="24"/>
          <w:szCs w:val="24"/>
        </w:rPr>
        <w:t>o) „preprečevanje“: niz ukrepov, sprejetih v fazah razvoja in zasnove, proizvodnje, distribucije in potrošnje snovi, materiala ali proizvoda, namenjenih zmanjšanju:</w:t>
      </w:r>
    </w:p>
    <w:p w14:paraId="2CEF2741" w14:textId="34288EE7" w:rsidR="0F588873" w:rsidRDefault="0F588873" w:rsidP="002478C1">
      <w:pPr>
        <w:jc w:val="both"/>
        <w:rPr>
          <w:rFonts w:ascii="Arial" w:eastAsia="Arial" w:hAnsi="Arial" w:cs="Arial"/>
          <w:sz w:val="24"/>
          <w:szCs w:val="24"/>
        </w:rPr>
      </w:pPr>
      <w:r>
        <w:rPr>
          <w:rFonts w:ascii="Arial" w:hAnsi="Arial"/>
          <w:sz w:val="24"/>
          <w:szCs w:val="24"/>
        </w:rPr>
        <w:t>1. količine odpadkov, tudi s ponovno uporabo proizvoda ali podaljšanjem njegove življenjske dobe;</w:t>
      </w:r>
    </w:p>
    <w:p w14:paraId="4C79ABBC" w14:textId="12FF0691" w:rsidR="0F588873" w:rsidRDefault="0F588873" w:rsidP="002478C1">
      <w:pPr>
        <w:jc w:val="both"/>
        <w:rPr>
          <w:rFonts w:ascii="Arial" w:eastAsia="Arial" w:hAnsi="Arial" w:cs="Arial"/>
          <w:sz w:val="24"/>
          <w:szCs w:val="24"/>
        </w:rPr>
      </w:pPr>
      <w:r>
        <w:rPr>
          <w:rFonts w:ascii="Arial" w:hAnsi="Arial"/>
          <w:sz w:val="24"/>
          <w:szCs w:val="24"/>
        </w:rPr>
        <w:lastRenderedPageBreak/>
        <w:t>2. negativnih učinkov ustvarjenih odpadkov na okolje in zdravje ljudi, vključno s prihranki materialov ali energije;</w:t>
      </w:r>
    </w:p>
    <w:p w14:paraId="1C7454E0" w14:textId="4094DEB1" w:rsidR="0F588873" w:rsidRDefault="0F588873" w:rsidP="002478C1">
      <w:pPr>
        <w:jc w:val="both"/>
        <w:rPr>
          <w:rFonts w:ascii="Arial" w:eastAsia="Arial" w:hAnsi="Arial" w:cs="Arial"/>
          <w:sz w:val="24"/>
          <w:szCs w:val="24"/>
        </w:rPr>
      </w:pPr>
      <w:r>
        <w:rPr>
          <w:rFonts w:ascii="Arial" w:hAnsi="Arial"/>
          <w:sz w:val="24"/>
          <w:szCs w:val="24"/>
        </w:rPr>
        <w:t>3. ravni nevarnih snovi v materialih ali proizvodih;</w:t>
      </w:r>
    </w:p>
    <w:p w14:paraId="44F459E3" w14:textId="0E06D4A9" w:rsidR="0F588873" w:rsidRDefault="0F588873" w:rsidP="002478C1">
      <w:pPr>
        <w:jc w:val="both"/>
        <w:rPr>
          <w:rFonts w:ascii="Arial" w:eastAsia="Arial" w:hAnsi="Arial" w:cs="Arial"/>
          <w:sz w:val="24"/>
          <w:szCs w:val="24"/>
        </w:rPr>
      </w:pPr>
      <w:r>
        <w:rPr>
          <w:rFonts w:ascii="Arial" w:hAnsi="Arial"/>
          <w:sz w:val="24"/>
          <w:szCs w:val="24"/>
        </w:rPr>
        <w:t>p) „ponovna uporaba“: vsak postopek, v katerem se proizvodi ali sestavni deli, ki niso odpadki, ponovno uporabijo za njihov izvorni namen;</w:t>
      </w:r>
    </w:p>
    <w:p w14:paraId="4B9FB7BB" w14:textId="6B3A53B3" w:rsidR="0F588873" w:rsidRDefault="0F588873" w:rsidP="002478C1">
      <w:pPr>
        <w:jc w:val="both"/>
        <w:rPr>
          <w:rFonts w:ascii="Arial" w:eastAsia="Arial" w:hAnsi="Arial" w:cs="Arial"/>
          <w:sz w:val="24"/>
          <w:szCs w:val="24"/>
        </w:rPr>
      </w:pPr>
      <w:r>
        <w:rPr>
          <w:rFonts w:ascii="Arial" w:hAnsi="Arial"/>
          <w:sz w:val="24"/>
          <w:szCs w:val="24"/>
        </w:rPr>
        <w:t>q) „povzročitelj odpadkov“: vsaka fizična ali pravna oseba, katere dejavnosti povzročajo nastajanje odpadkov (izvirni povzročitelj odpadkov), ali vsaka stran, ki izvaja predobdelavo, mešanje ali druge postopke, ki spreminjajo lastnosti ali sestavo teh odpadkov. V primeru blaga, ki ga zadržijo nadzorne in inšpekcijske službe na mejnih objektih se za povzročitelja odpadkov šteje lastnik blaga ali njihov uvoznik ali izvoznik, kot je opredeljen v carinskem pravu;</w:t>
      </w:r>
    </w:p>
    <w:p w14:paraId="5BBAE603" w14:textId="0D3C8ED7" w:rsidR="0F588873" w:rsidRDefault="0F588873" w:rsidP="002478C1">
      <w:pPr>
        <w:jc w:val="both"/>
        <w:rPr>
          <w:rFonts w:ascii="Arial" w:eastAsia="Arial" w:hAnsi="Arial" w:cs="Arial"/>
          <w:sz w:val="24"/>
          <w:szCs w:val="24"/>
        </w:rPr>
      </w:pPr>
      <w:r>
        <w:rPr>
          <w:rFonts w:ascii="Arial" w:hAnsi="Arial"/>
          <w:sz w:val="24"/>
          <w:szCs w:val="24"/>
        </w:rPr>
        <w:t>r) „imetnik odpadkov“: povzročitelj odpadkov ali druga fizična ali pravna oseba, ki ima odpadke;</w:t>
      </w:r>
    </w:p>
    <w:p w14:paraId="066CDE28" w14:textId="339501D3" w:rsidR="0F588873" w:rsidRDefault="0F588873" w:rsidP="002478C1">
      <w:pPr>
        <w:jc w:val="both"/>
        <w:rPr>
          <w:rFonts w:ascii="Arial" w:eastAsia="Arial" w:hAnsi="Arial" w:cs="Arial"/>
          <w:sz w:val="24"/>
          <w:szCs w:val="24"/>
        </w:rPr>
      </w:pPr>
      <w:r>
        <w:rPr>
          <w:rFonts w:ascii="Arial" w:hAnsi="Arial"/>
          <w:sz w:val="24"/>
          <w:szCs w:val="24"/>
        </w:rPr>
        <w:t>s) „ravnanje z odpadki“: zbiranje, prevoz, predelava (vključno s predhodnim razvrščanjem) in odstranjevanje odpadkov, vključno z nadzorom takšnih postopkov in dejavnostmi po zaprtju odlagališč, ter vključno z dejavnostmi trgovca ali posrednika;</w:t>
      </w:r>
    </w:p>
    <w:p w14:paraId="5242AE8B" w14:textId="527F0F37" w:rsidR="0F588873" w:rsidRDefault="0F588873" w:rsidP="002478C1">
      <w:pPr>
        <w:jc w:val="both"/>
        <w:rPr>
          <w:rFonts w:ascii="Arial" w:eastAsia="Arial" w:hAnsi="Arial" w:cs="Arial"/>
          <w:sz w:val="24"/>
          <w:szCs w:val="24"/>
        </w:rPr>
      </w:pPr>
      <w:r>
        <w:rPr>
          <w:rFonts w:ascii="Arial" w:hAnsi="Arial"/>
          <w:sz w:val="24"/>
          <w:szCs w:val="24"/>
        </w:rPr>
        <w:t>t) „zbiranje“: zbiranje, predhodno razvrščanje in predhodno shranjevanje odpadkov za namen kasnejšega prevoza v obrat za obdelavo;</w:t>
      </w:r>
    </w:p>
    <w:p w14:paraId="5DD765A4" w14:textId="5962DCF5" w:rsidR="0F588873" w:rsidRDefault="0F588873" w:rsidP="002478C1">
      <w:pPr>
        <w:jc w:val="both"/>
        <w:rPr>
          <w:rFonts w:ascii="Arial" w:eastAsia="Arial" w:hAnsi="Arial" w:cs="Arial"/>
          <w:sz w:val="24"/>
          <w:szCs w:val="24"/>
        </w:rPr>
      </w:pPr>
      <w:r>
        <w:rPr>
          <w:rFonts w:ascii="Arial" w:hAnsi="Arial"/>
          <w:sz w:val="24"/>
          <w:szCs w:val="24"/>
        </w:rPr>
        <w:t>u) „ločeno zbiranje“: zbiranje, pri katerem se tokove odpadkov ločuje glede na vrsto in naravo odpadkov, da bi se olajšala posebna obdelava;</w:t>
      </w:r>
    </w:p>
    <w:p w14:paraId="7E4879E8" w14:textId="29A718F7" w:rsidR="0F588873" w:rsidRDefault="0F588873" w:rsidP="002478C1">
      <w:pPr>
        <w:jc w:val="both"/>
        <w:rPr>
          <w:rFonts w:ascii="Arial" w:eastAsia="Arial" w:hAnsi="Arial" w:cs="Arial"/>
          <w:sz w:val="24"/>
          <w:szCs w:val="24"/>
        </w:rPr>
      </w:pPr>
      <w:r>
        <w:rPr>
          <w:rFonts w:ascii="Arial" w:hAnsi="Arial"/>
          <w:sz w:val="24"/>
          <w:szCs w:val="24"/>
        </w:rPr>
        <w:t>v) „prevoz odpadkov“: postopek ravnanja z odpadki, ki ga izvajajo specializirana podjetja, katerih glavna dejavnost je strokovni prevoz odpadkov za tretje strani, pa tudi prevoz, ki se izvaja v okviru običajnih strokovnih dejavnosti podjetij z drugo glavno dejavnostjo;</w:t>
      </w:r>
    </w:p>
    <w:p w14:paraId="34171A63" w14:textId="5AA4A2F8" w:rsidR="0F588873" w:rsidRDefault="0F588873" w:rsidP="002478C1">
      <w:pPr>
        <w:jc w:val="both"/>
        <w:rPr>
          <w:rFonts w:ascii="Arial" w:eastAsia="Arial" w:hAnsi="Arial" w:cs="Arial"/>
          <w:sz w:val="24"/>
          <w:szCs w:val="24"/>
        </w:rPr>
      </w:pPr>
      <w:r>
        <w:rPr>
          <w:rFonts w:ascii="Arial" w:hAnsi="Arial"/>
          <w:sz w:val="24"/>
          <w:szCs w:val="24"/>
        </w:rPr>
        <w:t>w) „obdelava“: postopki predelave ali odstranjevanja, ki vključujejo pripravo za predelavo ali odstranjevanje;</w:t>
      </w:r>
    </w:p>
    <w:p w14:paraId="39F4F6E4" w14:textId="169DE381" w:rsidR="0F588873" w:rsidRDefault="0F588873" w:rsidP="002478C1">
      <w:pPr>
        <w:jc w:val="both"/>
        <w:rPr>
          <w:rFonts w:ascii="Arial" w:eastAsia="Arial" w:hAnsi="Arial" w:cs="Arial"/>
          <w:sz w:val="24"/>
          <w:szCs w:val="24"/>
        </w:rPr>
      </w:pPr>
      <w:r>
        <w:rPr>
          <w:rFonts w:ascii="Arial" w:hAnsi="Arial"/>
          <w:sz w:val="24"/>
          <w:szCs w:val="24"/>
        </w:rPr>
        <w:t>x) „predelava“: vsak postopek v obratu ali širšem gospodarstvu, katerega glavni rezultat je, da odpadki služijo koristnemu namenu tako, da nadomestijo druge materiale, ki bi se sicer uporabili za izpolnitev določene funkcije, ali da so odpadki pripravljeni za izpolnitev te funkcije. V Prilogi II je naveden neizčrpen seznam postopkov predelave;</w:t>
      </w:r>
    </w:p>
    <w:p w14:paraId="1AF10599" w14:textId="18D5A80D" w:rsidR="0F588873" w:rsidRDefault="0F588873" w:rsidP="002478C1">
      <w:pPr>
        <w:jc w:val="both"/>
        <w:rPr>
          <w:rFonts w:ascii="Arial" w:eastAsia="Arial" w:hAnsi="Arial" w:cs="Arial"/>
          <w:sz w:val="24"/>
          <w:szCs w:val="24"/>
        </w:rPr>
      </w:pPr>
      <w:r>
        <w:rPr>
          <w:rFonts w:ascii="Arial" w:hAnsi="Arial"/>
          <w:sz w:val="24"/>
          <w:szCs w:val="24"/>
        </w:rPr>
        <w:t>y) „predelava materiala“: vsak predelovalni postopek, razen energijske predelave in ponovne predelave v materiale, ki se bodo uporabili kot gorivo ali druga sredstva za pridobivanje energije. To vključuje pripravo za ponovno uporabo, recikliranje in zasipanje;</w:t>
      </w:r>
    </w:p>
    <w:p w14:paraId="207F23D6" w14:textId="31FE9EC0" w:rsidR="0F588873" w:rsidRDefault="0F588873" w:rsidP="002478C1">
      <w:pPr>
        <w:jc w:val="both"/>
        <w:rPr>
          <w:rFonts w:ascii="Arial" w:eastAsia="Arial" w:hAnsi="Arial" w:cs="Arial"/>
          <w:sz w:val="24"/>
          <w:szCs w:val="24"/>
        </w:rPr>
      </w:pPr>
      <w:r>
        <w:rPr>
          <w:rFonts w:ascii="Arial" w:hAnsi="Arial"/>
          <w:sz w:val="24"/>
          <w:szCs w:val="24"/>
        </w:rPr>
        <w:t>z)„priprava za ponovno uporabo“: predelovalni postopki preverjanja, čiščenja ali popravila, s katerimi se proizvod ali sestavni deli proizvoda, ki je postal odpadek, pripravijo za ponovno uporabo brez vsakršne druge predhodne obdelave;</w:t>
      </w:r>
    </w:p>
    <w:p w14:paraId="1257275F" w14:textId="435E0FAF" w:rsidR="0F588873" w:rsidRDefault="0F588873" w:rsidP="002478C1">
      <w:pPr>
        <w:jc w:val="both"/>
        <w:rPr>
          <w:rFonts w:ascii="Arial" w:eastAsia="Arial" w:hAnsi="Arial" w:cs="Arial"/>
          <w:sz w:val="24"/>
          <w:szCs w:val="24"/>
        </w:rPr>
      </w:pPr>
      <w:r>
        <w:rPr>
          <w:rFonts w:ascii="Arial" w:hAnsi="Arial"/>
          <w:sz w:val="24"/>
          <w:szCs w:val="24"/>
        </w:rPr>
        <w:t>aa) „recikliranje“: vsak predelovalni postopek, s katerim se odpadni materiali ponovno obdelajo v proizvode, materiale ali snovi, bodisi za izvorni namen bodisi za druge namene. To vključuje ponovno obdelavo organskih snovi, ne vključuje pa energijske predelave in ponovne obdelave v materiale, ki se bodo uporabili kot gorivo ali za zasipanje;</w:t>
      </w:r>
    </w:p>
    <w:p w14:paraId="29B1B2E2" w14:textId="2C968B4B" w:rsidR="0F588873" w:rsidRDefault="0F588873" w:rsidP="002478C1">
      <w:pPr>
        <w:jc w:val="both"/>
        <w:rPr>
          <w:rFonts w:ascii="Arial" w:eastAsia="Arial" w:hAnsi="Arial" w:cs="Arial"/>
          <w:sz w:val="24"/>
          <w:szCs w:val="24"/>
        </w:rPr>
      </w:pPr>
      <w:r>
        <w:rPr>
          <w:rFonts w:ascii="Arial" w:hAnsi="Arial"/>
          <w:sz w:val="24"/>
          <w:szCs w:val="24"/>
        </w:rPr>
        <w:lastRenderedPageBreak/>
        <w:t>ab) „zasipanje“: vsak predelovalni postopek, pri katerem se nenevarni odpadki uporabijo za obnovo izkopanih območij ali krajinski inženiring. Odpadki, uporabljeni za zasipanje, morajo nadomestiti nenevarne materiale in morajo biti primerni za zgoraj navedene namene. Poleg tega morajo biti dejavnosti zasipanja utemeljene s potrebo po obnovi izvorne krajine lokacije in količina uporabljenih odpadkov je omejena na nujno potrebno za dosego teh ciljev;</w:t>
      </w:r>
    </w:p>
    <w:p w14:paraId="3C1EB025" w14:textId="5D07B579" w:rsidR="0F588873" w:rsidRDefault="0F588873" w:rsidP="002478C1">
      <w:pPr>
        <w:jc w:val="both"/>
        <w:rPr>
          <w:rFonts w:ascii="Arial" w:eastAsia="Arial" w:hAnsi="Arial" w:cs="Arial"/>
          <w:sz w:val="24"/>
          <w:szCs w:val="24"/>
        </w:rPr>
      </w:pPr>
      <w:r>
        <w:rPr>
          <w:rFonts w:ascii="Arial" w:hAnsi="Arial"/>
          <w:sz w:val="24"/>
          <w:szCs w:val="24"/>
        </w:rPr>
        <w:t>ac) „obnova odpadnih olj“: vsak postopek recikliranja, s katerim se lahko proizvedejo osnovna olja z rafiniranjem odpadnih olj, zlasti z odstranjevanjem kontaminantov, produktov oksidacije in aditivov, ki jih olja vsebujejo;</w:t>
      </w:r>
    </w:p>
    <w:p w14:paraId="2CCD4725" w14:textId="55654F64" w:rsidR="0F588873" w:rsidRDefault="0F588873" w:rsidP="002478C1">
      <w:pPr>
        <w:jc w:val="both"/>
        <w:rPr>
          <w:rFonts w:ascii="Arial" w:eastAsia="Arial" w:hAnsi="Arial" w:cs="Arial"/>
          <w:sz w:val="24"/>
          <w:szCs w:val="24"/>
        </w:rPr>
      </w:pPr>
      <w:r>
        <w:rPr>
          <w:rFonts w:ascii="Arial" w:hAnsi="Arial"/>
          <w:sz w:val="24"/>
          <w:szCs w:val="24"/>
        </w:rPr>
        <w:t>ad) „vmesna obdelava“; predelovalna postopka R12 in R13 ter postopki odstranjevanja D8, D9, D13, D14 in D15 v skladu s prilogama II in III;</w:t>
      </w:r>
    </w:p>
    <w:p w14:paraId="27421964" w14:textId="62A63C31" w:rsidR="0F588873" w:rsidRDefault="0F588873" w:rsidP="002478C1">
      <w:pPr>
        <w:jc w:val="both"/>
        <w:rPr>
          <w:rFonts w:ascii="Arial" w:eastAsia="Arial" w:hAnsi="Arial" w:cs="Arial"/>
          <w:sz w:val="24"/>
          <w:szCs w:val="24"/>
        </w:rPr>
      </w:pPr>
      <w:r>
        <w:rPr>
          <w:rFonts w:ascii="Arial" w:hAnsi="Arial"/>
          <w:sz w:val="24"/>
          <w:szCs w:val="24"/>
        </w:rPr>
        <w:t>ae) „odstranjevanje“: vsak postopek, razen predelave, tudi če se pri njem kot sekundarni rezultat ponovno pridobijo snovi ali energija. V Prilogi III je naveden neizčrpen seznam postopkov odstranjevanja;</w:t>
      </w:r>
    </w:p>
    <w:p w14:paraId="1FE4169A" w14:textId="65A05695" w:rsidR="0F588873" w:rsidRDefault="0F588873" w:rsidP="002478C1">
      <w:pPr>
        <w:jc w:val="both"/>
        <w:rPr>
          <w:rFonts w:ascii="Arial" w:eastAsia="Arial" w:hAnsi="Arial" w:cs="Arial"/>
          <w:sz w:val="24"/>
          <w:szCs w:val="24"/>
        </w:rPr>
      </w:pPr>
      <w:r>
        <w:rPr>
          <w:rFonts w:ascii="Arial" w:hAnsi="Arial"/>
          <w:sz w:val="24"/>
          <w:szCs w:val="24"/>
        </w:rPr>
        <w:t>af) „najboljše razpoložljive tehnike“: najboljše razpoložljive tehnike, kot so opredeljene v členu 3(ñ) prenovljenega besedila Zakona o integriranem preprečevanju in nadzoru onesnaževanja [Ley de prevención y control integrados de la contaminación], sprejetim s Kraljevo zakonodajno uredbo 1/2016 z dne 16. decembra 2016 o sprejetju prenovljenega besedila Zakona o integriranem preprečevanju in nadzoru onesnaževanja;</w:t>
      </w:r>
    </w:p>
    <w:p w14:paraId="348F7F4C" w14:textId="2F39521E" w:rsidR="0F588873" w:rsidRDefault="0F588873" w:rsidP="002478C1">
      <w:pPr>
        <w:jc w:val="both"/>
        <w:rPr>
          <w:rFonts w:ascii="Arial" w:eastAsia="Arial" w:hAnsi="Arial" w:cs="Arial"/>
          <w:sz w:val="24"/>
          <w:szCs w:val="24"/>
        </w:rPr>
      </w:pPr>
      <w:r>
        <w:rPr>
          <w:rFonts w:ascii="Arial" w:hAnsi="Arial"/>
          <w:sz w:val="24"/>
          <w:szCs w:val="24"/>
        </w:rPr>
        <w:t>ag) „upravljavec odpadkov“: oseba ali javni ali zasebni subjekt, registriran z avtorizacijo ali sporočilom, ki izvaja katere koli postopke, ki so vključeni v ravnanje z odpadki, ne glede na to, ali je upravljavec povzročil odpadke;</w:t>
      </w:r>
    </w:p>
    <w:p w14:paraId="3D8B249F" w14:textId="354A34CA" w:rsidR="0F588873" w:rsidRDefault="0F588873" w:rsidP="002478C1">
      <w:pPr>
        <w:jc w:val="both"/>
        <w:rPr>
          <w:rFonts w:ascii="Arial" w:eastAsia="Arial" w:hAnsi="Arial" w:cs="Arial"/>
          <w:sz w:val="24"/>
          <w:szCs w:val="24"/>
        </w:rPr>
      </w:pPr>
      <w:r>
        <w:rPr>
          <w:rFonts w:ascii="Arial" w:hAnsi="Arial"/>
          <w:sz w:val="24"/>
          <w:szCs w:val="24"/>
        </w:rPr>
        <w:t>ah) „trgovec“: vsaka fizična ali pravna oseba, ki deluje v lastnem imenu pri nakupu in kasnejši prodaji odpadkov, vključno s tistimi, ki odpadkov ne prevzamejo fizično;</w:t>
      </w:r>
    </w:p>
    <w:p w14:paraId="430FDD99" w14:textId="48C1B8C1" w:rsidR="0F588873" w:rsidRDefault="0F588873" w:rsidP="002478C1">
      <w:pPr>
        <w:jc w:val="both"/>
        <w:rPr>
          <w:rFonts w:ascii="Arial" w:eastAsia="Arial" w:hAnsi="Arial" w:cs="Arial"/>
          <w:sz w:val="24"/>
          <w:szCs w:val="24"/>
        </w:rPr>
      </w:pPr>
      <w:r>
        <w:rPr>
          <w:rFonts w:ascii="Arial" w:hAnsi="Arial"/>
          <w:sz w:val="24"/>
          <w:szCs w:val="24"/>
        </w:rPr>
        <w:t>ai) „posrednik“: vsaka fizična ali pravna oseba, ki uredi predelavo ali odstranitev odpadkov v imenu drugih, vključno s tistimi, ki odpadkov ne prevzamejo fizično;</w:t>
      </w:r>
    </w:p>
    <w:p w14:paraId="4C51DF62" w14:textId="19C128FD" w:rsidR="009F092F" w:rsidRDefault="009F092F" w:rsidP="002478C1">
      <w:pPr>
        <w:jc w:val="both"/>
        <w:rPr>
          <w:rFonts w:ascii="Arial" w:eastAsia="Arial" w:hAnsi="Arial" w:cs="Arial"/>
          <w:sz w:val="24"/>
          <w:szCs w:val="24"/>
        </w:rPr>
      </w:pPr>
      <w:r>
        <w:rPr>
          <w:rFonts w:ascii="Arial" w:hAnsi="Arial"/>
          <w:sz w:val="24"/>
          <w:szCs w:val="24"/>
        </w:rPr>
        <w:t>aj) „proizvajalec“: vsaka fizična ali pravna oseba, ki razvija, proizvaja, predeluje, obdeluje, polni, prodaja ali uvaža proizvode v poklicni dejavnosti, ne glede na tehniko prodaje, uporabljeno za dajanje proizvoda na nacionalni trg. Ta opredelitev vključuje tako proizvajalce, ustanovljene na nacionalnem ozemlju, ki dajejo proizvode na nacionalni trg, kot tudi proizvajalce iz druge države članice ali tretje države, ki prodajajo proizvode neposredno gospodinjstvom ali drugim uporabnikom, razen zasebnih gospodinjstev, s pogodbami na daljavo, kot so opredeljene v členu 92(1) prenovljenega besedila Splošnega zakona o varstvu potrošnikov in uporabnikov [Ley General para la Defensa de los Consumidores y Usuarios] ter drugih dopolnilnih zakonih, sprejetih s Kraljevo zakonodajno uredbo 1/2007 z dne 16. novembra 2007;</w:t>
      </w:r>
    </w:p>
    <w:p w14:paraId="5FB46457" w14:textId="5A5A938B" w:rsidR="0F588873" w:rsidRDefault="0F588873" w:rsidP="002478C1">
      <w:pPr>
        <w:jc w:val="both"/>
        <w:rPr>
          <w:rFonts w:ascii="Arial" w:eastAsia="Arial" w:hAnsi="Arial" w:cs="Arial"/>
          <w:sz w:val="24"/>
          <w:szCs w:val="24"/>
        </w:rPr>
      </w:pPr>
      <w:r>
        <w:rPr>
          <w:rFonts w:ascii="Arial" w:hAnsi="Arial"/>
          <w:sz w:val="24"/>
          <w:szCs w:val="24"/>
        </w:rPr>
        <w:t>ak) „shema razširjene odgovornosti proizvajalca“: niz ukrepov, sprejetih za zagotovitev, da proizvajalec prevzame finančno ali finančno in organizacijsko odgovornost za upravljanje faze odpadkov v življenjskem ciklu proizvoda;</w:t>
      </w:r>
    </w:p>
    <w:p w14:paraId="1BC5043B" w14:textId="72A337DA" w:rsidR="0F588873" w:rsidRDefault="0F588873" w:rsidP="002478C1">
      <w:pPr>
        <w:jc w:val="both"/>
        <w:rPr>
          <w:rFonts w:ascii="Arial" w:eastAsia="Arial" w:hAnsi="Arial" w:cs="Arial"/>
          <w:sz w:val="24"/>
          <w:szCs w:val="24"/>
        </w:rPr>
      </w:pPr>
      <w:r>
        <w:rPr>
          <w:rFonts w:ascii="Arial" w:hAnsi="Arial"/>
          <w:sz w:val="24"/>
          <w:szCs w:val="24"/>
        </w:rPr>
        <w:lastRenderedPageBreak/>
        <w:t>al) „embalaža“: embalaža, kot je opredeljena v Zakonu 11/1997 z dne 24. aprila 1997 o embalaži in odpadni embalaži;</w:t>
      </w:r>
    </w:p>
    <w:p w14:paraId="29A1C94A" w14:textId="4A892363" w:rsidR="0F588873" w:rsidRDefault="0F588873" w:rsidP="002478C1">
      <w:pPr>
        <w:jc w:val="both"/>
        <w:rPr>
          <w:rFonts w:ascii="Arial" w:eastAsia="Arial" w:hAnsi="Arial" w:cs="Arial"/>
          <w:sz w:val="24"/>
          <w:szCs w:val="24"/>
        </w:rPr>
      </w:pPr>
      <w:r>
        <w:rPr>
          <w:rFonts w:ascii="Arial" w:hAnsi="Arial"/>
          <w:sz w:val="24"/>
          <w:szCs w:val="24"/>
        </w:rPr>
        <w:t>am) „plastika“: material, ki vsebuje polimer, kot je opredeljen v členu 3(5) Uredbe (ES) št. 1907/2006 Evropskega Parlamenta in Sveta z dne 18. decembra 2006 o registraciji, evalvaciji, avtorizaciji in omejevanju kemikalij (REACH), o ustanovitvi Evropske agencije za kemikalije ter spremembi Direktive 1999/45/ES ter razveljavitvi Uredbe Sveta (EGS) št. 793/93 in Uredbe Komisije (ES) št. 1488/94 ter Direktive Sveta 76/769/EGS in direktiv Komisije 91/155/EGS, 93/67/EGS, 93/105/ES in 2000/21/ES, ki so mu lahko bili dodani aditivi ali druge snovi in se lahko uporabi kot glavna strukturna sestavina končnih proizvodov, razen kemijsko spremenjenih naravnih polimerov;</w:t>
      </w:r>
    </w:p>
    <w:p w14:paraId="61327800" w14:textId="73DFA5AD" w:rsidR="0F588873" w:rsidRDefault="0F588873" w:rsidP="002478C1">
      <w:pPr>
        <w:jc w:val="both"/>
        <w:rPr>
          <w:rFonts w:ascii="Arial" w:eastAsia="Arial" w:hAnsi="Arial" w:cs="Arial"/>
          <w:sz w:val="24"/>
          <w:szCs w:val="24"/>
        </w:rPr>
      </w:pPr>
      <w:r>
        <w:rPr>
          <w:rFonts w:ascii="Arial" w:hAnsi="Arial"/>
          <w:sz w:val="24"/>
          <w:szCs w:val="24"/>
        </w:rPr>
        <w:t>an) „plastični proizvod za enkratno uporabo“: proizvod, ki je v celoti ali delno narejen iz plastike ter ni oblikovan, zasnovan ali dan na trg, da bi v svojem življenjskem ciklu opravil več poti ali kroženj z vrnitvijo proizvajalcu za ponovno polnjenje ali ponovno uporabo za isti namen, za katerega je bil zasnovan;</w:t>
      </w:r>
    </w:p>
    <w:p w14:paraId="5040CE5B" w14:textId="6E2154A1" w:rsidR="0F588873" w:rsidRDefault="0F588873" w:rsidP="002478C1">
      <w:pPr>
        <w:jc w:val="both"/>
        <w:rPr>
          <w:rFonts w:ascii="Arial" w:eastAsia="Arial" w:hAnsi="Arial" w:cs="Arial"/>
          <w:sz w:val="24"/>
          <w:szCs w:val="24"/>
        </w:rPr>
      </w:pPr>
      <w:r>
        <w:rPr>
          <w:rFonts w:ascii="Arial" w:hAnsi="Arial"/>
          <w:sz w:val="24"/>
          <w:szCs w:val="24"/>
        </w:rPr>
        <w:t>añ) „oksorazgradljiva plastika“: plastični materiali, ki vsebujejo aditive, katerih oksidacija povzroči razpad plastičnega materiala na mikro delce ali kemično razgradnjo;</w:t>
      </w:r>
    </w:p>
    <w:p w14:paraId="73518DB1" w14:textId="34EA01A5" w:rsidR="0F588873" w:rsidRDefault="0F588873" w:rsidP="002478C1">
      <w:pPr>
        <w:jc w:val="both"/>
        <w:rPr>
          <w:rFonts w:ascii="Arial" w:eastAsia="Arial" w:hAnsi="Arial" w:cs="Arial"/>
          <w:sz w:val="24"/>
          <w:szCs w:val="24"/>
        </w:rPr>
      </w:pPr>
      <w:r>
        <w:rPr>
          <w:rFonts w:ascii="Arial" w:hAnsi="Arial"/>
          <w:sz w:val="24"/>
          <w:szCs w:val="24"/>
        </w:rPr>
        <w:t>ao) „biološko razgradljiva plastika“: plastika, ki se lahko fizično in biološko razgradi, tako da se na koncu razgradi v ogljikov dioksid (CO</w:t>
      </w:r>
      <w:r>
        <w:rPr>
          <w:rFonts w:ascii="Arial" w:hAnsi="Arial"/>
          <w:sz w:val="24"/>
          <w:szCs w:val="24"/>
          <w:vertAlign w:val="subscript"/>
        </w:rPr>
        <w:t>2</w:t>
      </w:r>
      <w:r>
        <w:rPr>
          <w:rFonts w:ascii="Arial" w:hAnsi="Arial"/>
          <w:sz w:val="24"/>
          <w:szCs w:val="24"/>
        </w:rPr>
        <w:t>), biomaso in vodo, ter jo je v skladu z evropskimi standardi za embalažo mogoče predelati s kompostiranjem in anaerobno presnovo;</w:t>
      </w:r>
    </w:p>
    <w:p w14:paraId="1F785278" w14:textId="4FFC6D6E" w:rsidR="009F092F" w:rsidRDefault="009F092F" w:rsidP="002478C1">
      <w:pPr>
        <w:jc w:val="both"/>
        <w:rPr>
          <w:rFonts w:ascii="Arial" w:eastAsia="Arial" w:hAnsi="Arial" w:cs="Arial"/>
          <w:sz w:val="24"/>
          <w:szCs w:val="24"/>
        </w:rPr>
      </w:pPr>
      <w:r>
        <w:rPr>
          <w:rFonts w:ascii="Arial" w:hAnsi="Arial"/>
          <w:sz w:val="24"/>
          <w:szCs w:val="24"/>
        </w:rPr>
        <w:t>ap) „ribiška oprema“: kateri koli predmet ali del opreme, ki se uporablja pri ribarjenju ali akvakulturi za privabljanje, ujetje ali rejo pomorskih ali celinskih vodnih bioloških virov, ali ki plava na morski površini in je uporabljen z namenom privabljanja, ujetja ali reje pomorskih ali celinskih vodnih bioloških virov;</w:t>
      </w:r>
    </w:p>
    <w:p w14:paraId="0BFEBE26" w14:textId="5F204A4D" w:rsidR="0F588873" w:rsidRDefault="009F092F" w:rsidP="002478C1">
      <w:pPr>
        <w:spacing w:line="257" w:lineRule="auto"/>
        <w:jc w:val="both"/>
        <w:rPr>
          <w:rFonts w:ascii="Arial" w:eastAsia="Arial" w:hAnsi="Arial" w:cs="Arial"/>
          <w:sz w:val="24"/>
          <w:szCs w:val="24"/>
        </w:rPr>
      </w:pPr>
      <w:r>
        <w:rPr>
          <w:rFonts w:ascii="Arial" w:hAnsi="Arial"/>
          <w:sz w:val="24"/>
          <w:szCs w:val="24"/>
        </w:rPr>
        <w:t>a</w:t>
      </w:r>
      <w:r w:rsidR="00BC7AB0">
        <w:rPr>
          <w:rFonts w:ascii="Arial" w:hAnsi="Arial"/>
          <w:sz w:val="24"/>
          <w:szCs w:val="24"/>
        </w:rPr>
        <w:t>q</w:t>
      </w:r>
      <w:bookmarkStart w:id="0" w:name="_GoBack"/>
      <w:bookmarkEnd w:id="0"/>
      <w:r>
        <w:rPr>
          <w:rFonts w:ascii="Arial" w:hAnsi="Arial"/>
          <w:sz w:val="24"/>
          <w:szCs w:val="24"/>
        </w:rPr>
        <w:t>) „pristaniške sprejemne zmogljivosti“: pristaniške sprejemne zmogljivosti, kot so opredeljene v Kraljevi uredbi 1381/2002 z dne 20. decembra 2002 o pristaniških sprejemnih zmogljivostih za sprejem ladijskih odpadkov in ostankov tovora;</w:t>
      </w:r>
    </w:p>
    <w:p w14:paraId="77247FCA" w14:textId="6CFC2144" w:rsidR="0F588873" w:rsidRDefault="009F092F" w:rsidP="002478C1">
      <w:pPr>
        <w:jc w:val="both"/>
        <w:rPr>
          <w:rFonts w:ascii="Arial" w:eastAsia="Arial" w:hAnsi="Arial" w:cs="Arial"/>
          <w:sz w:val="24"/>
          <w:szCs w:val="24"/>
        </w:rPr>
      </w:pPr>
      <w:r>
        <w:rPr>
          <w:rFonts w:ascii="Arial" w:hAnsi="Arial"/>
          <w:sz w:val="24"/>
          <w:szCs w:val="24"/>
        </w:rPr>
        <w:t>ar) „tobačni izdelki“: tobačni izdelki, kot so opredeljeni v členu 3(ac) Kraljeve uredbe 579/2017 z dne 9. junija 2017 o ureditvi nekaterih vidikov proizvodnje, predstavitve in trženja tobačnih in povezanih izdelkov;</w:t>
      </w:r>
    </w:p>
    <w:p w14:paraId="2ACA4D50" w14:textId="0FB28FD8" w:rsidR="0F588873" w:rsidRDefault="009F092F" w:rsidP="002478C1">
      <w:pPr>
        <w:jc w:val="both"/>
        <w:rPr>
          <w:rFonts w:ascii="Arial" w:eastAsia="Arial" w:hAnsi="Arial" w:cs="Arial"/>
          <w:sz w:val="24"/>
          <w:szCs w:val="24"/>
        </w:rPr>
      </w:pPr>
      <w:r>
        <w:rPr>
          <w:rFonts w:ascii="Arial" w:hAnsi="Arial"/>
          <w:sz w:val="24"/>
          <w:szCs w:val="24"/>
        </w:rPr>
        <w:t>as) „dajanje na trg“: prva zagotovitev dostopnosti proizvoda na nacionalnem trgu;</w:t>
      </w:r>
    </w:p>
    <w:p w14:paraId="735C131E" w14:textId="0656A180" w:rsidR="0F588873" w:rsidRDefault="009F092F" w:rsidP="002478C1">
      <w:pPr>
        <w:jc w:val="both"/>
        <w:rPr>
          <w:rFonts w:ascii="Arial" w:eastAsia="Arial" w:hAnsi="Arial" w:cs="Arial"/>
          <w:sz w:val="24"/>
          <w:szCs w:val="24"/>
        </w:rPr>
      </w:pPr>
      <w:r>
        <w:rPr>
          <w:rFonts w:ascii="Arial" w:hAnsi="Arial"/>
          <w:sz w:val="24"/>
          <w:szCs w:val="24"/>
        </w:rPr>
        <w:t>at) „zagotovitev dostopnosti na trgu“: vsaka dobava proizvoda za distribucijo, porabo ali uporabo na nacionalnem trgu na v okviru trgovinske dejavnosti, bodisi v zameno za plačilo ali brezplačno;</w:t>
      </w:r>
    </w:p>
    <w:p w14:paraId="59EADF24" w14:textId="3D42832F" w:rsidR="0F588873" w:rsidRDefault="009F092F" w:rsidP="002478C1">
      <w:pPr>
        <w:jc w:val="both"/>
        <w:rPr>
          <w:rFonts w:ascii="Arial" w:eastAsia="Arial" w:hAnsi="Arial" w:cs="Arial"/>
          <w:sz w:val="24"/>
          <w:szCs w:val="24"/>
        </w:rPr>
      </w:pPr>
      <w:r>
        <w:rPr>
          <w:rFonts w:ascii="Arial" w:hAnsi="Arial"/>
          <w:sz w:val="24"/>
          <w:szCs w:val="24"/>
        </w:rPr>
        <w:t>au) „kontaminirana tla“: tla, katerih značilnosti so bile negativno spremenjene zaradi prisotnosti nevarnih kemijskih sestavin, ki izhajajo iz človeške dejavnosti, v količinah, ki predstavljajo nesprejemljivo tveganje za zdravje ljudi ali okolje v skladu z merili in standardi, ki jih je določila vlada in objavila v izrecnem sklepu;</w:t>
      </w:r>
    </w:p>
    <w:p w14:paraId="62DFF878" w14:textId="5734460A" w:rsidR="0F588873" w:rsidRDefault="009F092F" w:rsidP="002478C1">
      <w:pPr>
        <w:jc w:val="both"/>
        <w:rPr>
          <w:rFonts w:ascii="Arial" w:eastAsia="Arial" w:hAnsi="Arial" w:cs="Arial"/>
          <w:sz w:val="24"/>
          <w:szCs w:val="24"/>
        </w:rPr>
      </w:pPr>
      <w:r>
        <w:rPr>
          <w:rFonts w:ascii="Arial" w:hAnsi="Arial"/>
          <w:sz w:val="24"/>
          <w:szCs w:val="24"/>
        </w:rPr>
        <w:t xml:space="preserve">av) „harmonizirani standard“: harmonizirani standard v skladu z opredelitvijo iz člena 2(1)(c) Uredbe (EU) št. 1025/2012 Evropskega parlamenta in Sveta z dne </w:t>
      </w:r>
      <w:r>
        <w:rPr>
          <w:rFonts w:ascii="Arial" w:hAnsi="Arial"/>
          <w:sz w:val="24"/>
          <w:szCs w:val="24"/>
        </w:rPr>
        <w:lastRenderedPageBreak/>
        <w:t>25. oktobra 2012 o evropski standardizaciji, spremembi direktiv Sveta 89/686/EGS in 93/15/EGS ter direktiv 94/9/ES, 94/25/ES, 95/16/ES, 97/23/ES, 98/34/ES, 2004/22/ES, 2007/23/ES, 2009/23/ES in 2009/105/ES Evropskega parlamenta in Sveta ter razveljavitvi Sklepa Sveta 87/95/EGS in Sklepa št. 1673/2006/ES Evropskega parlamenta in Sveta (Besedilo velja za EGP);</w:t>
      </w:r>
    </w:p>
    <w:p w14:paraId="71F9E11C" w14:textId="0B6FD3C3" w:rsidR="4B897C5B" w:rsidRPr="0046140C" w:rsidRDefault="009F092F" w:rsidP="002478C1">
      <w:pPr>
        <w:jc w:val="both"/>
        <w:rPr>
          <w:rFonts w:ascii="Arial" w:hAnsi="Arial"/>
          <w:sz w:val="24"/>
          <w:szCs w:val="24"/>
        </w:rPr>
      </w:pPr>
      <w:r>
        <w:rPr>
          <w:rFonts w:ascii="Arial" w:hAnsi="Arial"/>
          <w:sz w:val="24"/>
        </w:rPr>
        <w:t>aw) „pristojni organ“: stran, kateri je naloženo izvajanje dolžnosti iz tega zakona, ki pomeni vlado in naslednje javne organe z njihovimi zadevnimi pristojnostmi za izvajanje tega zakona: osrednjo državno upravo, avtonomne skupnosti ter mesti Ceuta in Melilla, pokrajinske svete in lokalne oblasti, v skladu s členom 12.</w:t>
      </w:r>
    </w:p>
    <w:p w14:paraId="39CF78D5" w14:textId="77777777" w:rsidR="00E411CE" w:rsidRDefault="00E411CE" w:rsidP="002478C1">
      <w:pPr>
        <w:spacing w:before="120" w:after="120" w:line="240" w:lineRule="auto"/>
        <w:jc w:val="both"/>
        <w:rPr>
          <w:rFonts w:ascii="Arial" w:hAnsi="Arial"/>
          <w:sz w:val="24"/>
        </w:rPr>
      </w:pPr>
    </w:p>
    <w:p w14:paraId="7B8E9519" w14:textId="3364A3A0" w:rsidR="00AD084A" w:rsidRPr="005E6A73" w:rsidRDefault="00AD084A" w:rsidP="00512B74">
      <w:pPr>
        <w:keepNext/>
        <w:keepLines/>
        <w:spacing w:before="120" w:after="120" w:line="240" w:lineRule="auto"/>
        <w:jc w:val="both"/>
        <w:rPr>
          <w:rFonts w:ascii="Arial" w:hAnsi="Arial"/>
          <w:b/>
          <w:i/>
          <w:sz w:val="24"/>
        </w:rPr>
      </w:pPr>
      <w:r>
        <w:rPr>
          <w:rFonts w:ascii="Arial" w:hAnsi="Arial"/>
          <w:b/>
          <w:sz w:val="24"/>
        </w:rPr>
        <w:t xml:space="preserve">Člen 3. </w:t>
      </w:r>
      <w:r>
        <w:rPr>
          <w:rFonts w:ascii="Arial" w:hAnsi="Arial"/>
          <w:b/>
          <w:i/>
          <w:sz w:val="24"/>
        </w:rPr>
        <w:t>Področje uporabe</w:t>
      </w:r>
    </w:p>
    <w:p w14:paraId="17C04B48" w14:textId="5C1BA96B" w:rsidR="003F66C3" w:rsidRPr="00512B74" w:rsidRDefault="00512B74" w:rsidP="00512B74">
      <w:pPr>
        <w:keepNext/>
        <w:keepLines/>
        <w:spacing w:before="120" w:after="120" w:line="240" w:lineRule="auto"/>
        <w:jc w:val="both"/>
        <w:rPr>
          <w:rFonts w:ascii="Arial" w:hAnsi="Arial"/>
          <w:sz w:val="24"/>
        </w:rPr>
      </w:pPr>
      <w:r>
        <w:rPr>
          <w:rFonts w:ascii="Arial" w:hAnsi="Arial"/>
          <w:sz w:val="24"/>
        </w:rPr>
        <w:t>1. Ta zakon se uporablja za:</w:t>
      </w:r>
    </w:p>
    <w:p w14:paraId="4714D97B" w14:textId="14D10A38" w:rsidR="003F66C3" w:rsidRPr="006B1639" w:rsidRDefault="003F66C3" w:rsidP="002478C1">
      <w:pPr>
        <w:spacing w:before="120" w:after="120" w:line="240" w:lineRule="auto"/>
        <w:jc w:val="both"/>
        <w:rPr>
          <w:rFonts w:ascii="Arial" w:hAnsi="Arial"/>
          <w:sz w:val="24"/>
        </w:rPr>
      </w:pPr>
      <w:r>
        <w:rPr>
          <w:rFonts w:ascii="Arial" w:hAnsi="Arial"/>
          <w:sz w:val="24"/>
        </w:rPr>
        <w:t xml:space="preserve">a) vse vrste odpadkov, razen izjem, navedenih v odstavkih 2 in 3; </w:t>
      </w:r>
    </w:p>
    <w:p w14:paraId="05E812BD" w14:textId="7C34A8B8" w:rsidR="003F66C3" w:rsidRPr="006B1639" w:rsidRDefault="003F66C3" w:rsidP="002478C1">
      <w:pPr>
        <w:spacing w:before="120" w:after="120" w:line="240" w:lineRule="auto"/>
        <w:jc w:val="both"/>
        <w:rPr>
          <w:rFonts w:ascii="Arial" w:hAnsi="Arial"/>
          <w:sz w:val="24"/>
        </w:rPr>
      </w:pPr>
      <w:r>
        <w:rPr>
          <w:rFonts w:ascii="Arial" w:hAnsi="Arial"/>
          <w:sz w:val="24"/>
        </w:rPr>
        <w:t>b) proizvode iz plastike za enkratno uporabo, navedene v Prilogi I, vse proizvode iz oksorazgradljive plastike in ribiško opremo, ki vsebuje plastiko. Če so ukrepi, sprejeti za te plastične proizvode v nasprotju z drugimi določbami tega zakona ali predpisi o embalaži, imajo v zvezi s temi plastičnimi proizvodi prednost ukrepi, sprejeti v tem zakonu;</w:t>
      </w:r>
    </w:p>
    <w:p w14:paraId="332381FA" w14:textId="0B39865F" w:rsidR="003F66C3" w:rsidRPr="006B1639" w:rsidRDefault="003F66C3" w:rsidP="002478C1">
      <w:pPr>
        <w:spacing w:before="120" w:after="120" w:line="240" w:lineRule="auto"/>
        <w:jc w:val="both"/>
        <w:rPr>
          <w:rFonts w:ascii="Arial" w:hAnsi="Arial"/>
          <w:sz w:val="24"/>
        </w:rPr>
      </w:pPr>
      <w:r>
        <w:rPr>
          <w:rFonts w:ascii="Arial" w:hAnsi="Arial"/>
          <w:sz w:val="24"/>
        </w:rPr>
        <w:t>c) kontaminirana tla, ki jih ureja naslov VI o kontaminiranih tleh.</w:t>
      </w:r>
    </w:p>
    <w:p w14:paraId="743E18D4" w14:textId="38E4A7BB" w:rsidR="003F66C3" w:rsidRPr="00512B74" w:rsidRDefault="00512B74" w:rsidP="00512B74">
      <w:pPr>
        <w:keepNext/>
        <w:keepLines/>
        <w:spacing w:before="120" w:after="120" w:line="240" w:lineRule="auto"/>
        <w:jc w:val="both"/>
        <w:rPr>
          <w:rFonts w:ascii="Arial" w:hAnsi="Arial"/>
          <w:sz w:val="24"/>
        </w:rPr>
      </w:pPr>
      <w:r>
        <w:rPr>
          <w:rFonts w:ascii="Arial" w:hAnsi="Arial"/>
          <w:sz w:val="24"/>
        </w:rPr>
        <w:t>2. Ta zakon se ne uporablja za:</w:t>
      </w:r>
    </w:p>
    <w:p w14:paraId="0D4B6206" w14:textId="370373C5" w:rsidR="003F66C3" w:rsidRPr="005649E3" w:rsidRDefault="003F66C3" w:rsidP="002478C1">
      <w:pPr>
        <w:spacing w:before="120" w:after="120" w:line="240" w:lineRule="auto"/>
        <w:jc w:val="both"/>
        <w:rPr>
          <w:rFonts w:ascii="Arial" w:hAnsi="Arial"/>
          <w:sz w:val="24"/>
        </w:rPr>
      </w:pPr>
      <w:r>
        <w:rPr>
          <w:rFonts w:ascii="Arial" w:hAnsi="Arial"/>
          <w:sz w:val="24"/>
        </w:rPr>
        <w:t>a) emisije v zrak, ki jih ureja Zakon 34/2007 z dne 15. novembra 2007 o kakovosti zraka in varstvu ozračja, ter ogljikov dioksid, zajet in prenesen za namene geološke hrambe in učinkovito shranjen v geoloških formacijah v skladu z Zakonom 40/2010 z dne 29. decembra 2010 o geološkem shranjevanju ogljikovega dioksida. Niti se ne uporablja za geološko shranjevanje ogljikovega dioksida za namene raziskav, razvoja ali preskušanja novih proizvodov in procesov pod pogojem, da je pričakovana količina shranjevanja manj kot 100 kiloton;</w:t>
      </w:r>
    </w:p>
    <w:p w14:paraId="1FFC2DF7" w14:textId="4E59B3E7" w:rsidR="003F66C3" w:rsidRPr="005649E3" w:rsidRDefault="003F66C3" w:rsidP="002478C1">
      <w:pPr>
        <w:spacing w:before="120" w:after="120" w:line="240" w:lineRule="auto"/>
        <w:jc w:val="both"/>
        <w:rPr>
          <w:rFonts w:ascii="Arial" w:hAnsi="Arial"/>
          <w:sz w:val="24"/>
        </w:rPr>
      </w:pPr>
      <w:r>
        <w:rPr>
          <w:rFonts w:ascii="Arial" w:hAnsi="Arial"/>
          <w:sz w:val="24"/>
        </w:rPr>
        <w:t>b) nekontaminirana tla in druge naravne materiale, izkopane med dejavnostmi gradnje, kadar se bodo ti materiali zagotovo uporabili za namene gradnje v njihovi naravni obliki na lokaciji ali gradbišču, kjer so bili izkopani;</w:t>
      </w:r>
    </w:p>
    <w:p w14:paraId="287C0F89" w14:textId="77777777" w:rsidR="003F66C3" w:rsidRPr="005649E3" w:rsidRDefault="003F66C3" w:rsidP="002478C1">
      <w:pPr>
        <w:spacing w:before="120" w:after="120" w:line="240" w:lineRule="auto"/>
        <w:jc w:val="both"/>
        <w:rPr>
          <w:rFonts w:ascii="Arial" w:hAnsi="Arial"/>
          <w:sz w:val="24"/>
        </w:rPr>
      </w:pPr>
      <w:r>
        <w:rPr>
          <w:rFonts w:ascii="Arial" w:hAnsi="Arial"/>
          <w:sz w:val="24"/>
        </w:rPr>
        <w:t>c) radioaktivne odpadke;</w:t>
      </w:r>
    </w:p>
    <w:p w14:paraId="3A6CB417" w14:textId="77777777" w:rsidR="003F66C3" w:rsidRPr="005649E3" w:rsidRDefault="003F66C3" w:rsidP="002478C1">
      <w:pPr>
        <w:spacing w:before="120" w:after="120" w:line="240" w:lineRule="auto"/>
        <w:jc w:val="both"/>
        <w:rPr>
          <w:rFonts w:ascii="Arial" w:hAnsi="Arial"/>
          <w:sz w:val="24"/>
        </w:rPr>
      </w:pPr>
      <w:r>
        <w:rPr>
          <w:rFonts w:ascii="Arial" w:hAnsi="Arial"/>
          <w:sz w:val="24"/>
        </w:rPr>
        <w:t>d) razgrajena razstreliva;</w:t>
      </w:r>
    </w:p>
    <w:p w14:paraId="7745AE78" w14:textId="62577337" w:rsidR="003F66C3" w:rsidRPr="005649E3" w:rsidRDefault="003F66C3" w:rsidP="002478C1">
      <w:pPr>
        <w:spacing w:before="120" w:after="120" w:line="240" w:lineRule="auto"/>
        <w:jc w:val="both"/>
        <w:rPr>
          <w:rFonts w:ascii="Arial" w:hAnsi="Arial"/>
          <w:sz w:val="24"/>
        </w:rPr>
      </w:pPr>
      <w:r>
        <w:rPr>
          <w:rFonts w:ascii="Arial" w:hAnsi="Arial"/>
          <w:sz w:val="24"/>
        </w:rPr>
        <w:t>e) fekalije, ki ne spadajo v odstavek 2(b), slamo in drug nenevaren naravni, kmetijski ali gozdarski material, ki se uporablja na živinorejskih in drugih kmetijah, v gozdarstvu ali pri proizvodnji energije na podlagi te biomase s pomočjo postopkov ali ukrepov, ki ne ogrožajo zdravja ljudi ali škodijo okolju.</w:t>
      </w:r>
    </w:p>
    <w:p w14:paraId="474322CF" w14:textId="32E8062A" w:rsidR="003F66C3" w:rsidRPr="005649E3" w:rsidRDefault="003F66C3" w:rsidP="002478C1">
      <w:pPr>
        <w:spacing w:before="120" w:after="120" w:line="240" w:lineRule="auto"/>
        <w:jc w:val="both"/>
        <w:rPr>
          <w:rFonts w:ascii="Arial" w:hAnsi="Arial"/>
          <w:sz w:val="24"/>
        </w:rPr>
      </w:pPr>
      <w:r>
        <w:rPr>
          <w:rFonts w:ascii="Arial" w:hAnsi="Arial"/>
          <w:sz w:val="24"/>
        </w:rPr>
        <w:t>3. Ta zakon se ne uporablja za naslednje vrste odpadkov, kolikor jih že urejajo drugi predpisi Evropske unije ali nacionalni predpisi, ki prenašajo zakonodajo Evropske unije v nacionalno zakonodajo:</w:t>
      </w:r>
    </w:p>
    <w:p w14:paraId="759B4AB8" w14:textId="05CA8705" w:rsidR="003F66C3" w:rsidRPr="005649E3" w:rsidRDefault="003F66C3" w:rsidP="002478C1">
      <w:pPr>
        <w:spacing w:before="120" w:after="120" w:line="240" w:lineRule="auto"/>
        <w:jc w:val="both"/>
        <w:rPr>
          <w:rFonts w:ascii="Arial" w:hAnsi="Arial"/>
          <w:sz w:val="24"/>
        </w:rPr>
      </w:pPr>
      <w:r>
        <w:rPr>
          <w:rFonts w:ascii="Arial" w:hAnsi="Arial"/>
          <w:sz w:val="24"/>
        </w:rPr>
        <w:t>a) odpadno vodo;</w:t>
      </w:r>
    </w:p>
    <w:p w14:paraId="618E67C8" w14:textId="36CD6B2A" w:rsidR="003F66C3" w:rsidRPr="005649E3" w:rsidRDefault="003F66C3" w:rsidP="002478C1">
      <w:pPr>
        <w:spacing w:before="120" w:after="120" w:line="240" w:lineRule="auto"/>
        <w:jc w:val="both"/>
        <w:rPr>
          <w:rFonts w:ascii="Arial" w:hAnsi="Arial"/>
          <w:sz w:val="24"/>
        </w:rPr>
      </w:pPr>
      <w:r>
        <w:rPr>
          <w:rFonts w:ascii="Arial" w:hAnsi="Arial"/>
          <w:sz w:val="24"/>
        </w:rPr>
        <w:t xml:space="preserve">b) živalske stranske proizvode, ki jih zajema Uredba (ES) št. 1069/2009 Evropskega parlamenta in Sveta z dne 21. oktobra 2009 o določitvi zdravstvenih pravil za živalske </w:t>
      </w:r>
      <w:r>
        <w:rPr>
          <w:rFonts w:ascii="Arial" w:hAnsi="Arial"/>
          <w:sz w:val="24"/>
        </w:rPr>
        <w:lastRenderedPageBreak/>
        <w:t xml:space="preserve">stranske proizvode in pridobljene proizvode, ki niso namenjeni prehrani ljudi, ter razveljavitvi Uredbe (ES) št. 1774/2002. </w:t>
      </w:r>
    </w:p>
    <w:p w14:paraId="2F305613" w14:textId="0194EF92" w:rsidR="003F66C3" w:rsidRPr="006B1639" w:rsidRDefault="003F66C3" w:rsidP="002478C1">
      <w:pPr>
        <w:spacing w:before="120" w:after="120" w:line="240" w:lineRule="auto"/>
        <w:jc w:val="both"/>
        <w:rPr>
          <w:rFonts w:ascii="Arial" w:hAnsi="Arial"/>
          <w:sz w:val="24"/>
        </w:rPr>
      </w:pPr>
      <w:r>
        <w:rPr>
          <w:rFonts w:ascii="Arial" w:hAnsi="Arial"/>
          <w:sz w:val="24"/>
        </w:rPr>
        <w:t>Živalski stranski proizvodi in pridobljeni proizvode niso vključeni v to izjemo in jih torej ureja ta zakon, kadar so namenjeni sežiganju ali odlaganju ali so uporabljeni pri proizvodnji bioplina, kompostiranju ali v obratu za proizvodnjo goriva;</w:t>
      </w:r>
    </w:p>
    <w:p w14:paraId="6C62D863" w14:textId="1C24E377" w:rsidR="003F66C3" w:rsidRPr="005649E3" w:rsidRDefault="003F66C3" w:rsidP="002478C1">
      <w:pPr>
        <w:spacing w:before="120" w:after="120" w:line="240" w:lineRule="auto"/>
        <w:jc w:val="both"/>
        <w:rPr>
          <w:rFonts w:ascii="Arial" w:hAnsi="Arial"/>
          <w:sz w:val="24"/>
        </w:rPr>
      </w:pPr>
      <w:r>
        <w:rPr>
          <w:rFonts w:ascii="Arial" w:hAnsi="Arial"/>
          <w:sz w:val="24"/>
        </w:rPr>
        <w:t xml:space="preserve">c) trupla živali, ki so umrle drugače kot z zakolom, vključno z živalmi, ki so bile ubite za izkoreninjenje epizootskih bolezni in so odstranjene v skladu z Uredbo (ES) št. 1069/2009 Evropskega parlamenta in Sveta z dne 21. oktobra 2009; </w:t>
      </w:r>
    </w:p>
    <w:p w14:paraId="271444BA" w14:textId="30D3FF38" w:rsidR="003F66C3" w:rsidRPr="005649E3" w:rsidRDefault="003F66C3" w:rsidP="002478C1">
      <w:pPr>
        <w:spacing w:before="120" w:after="120" w:line="240" w:lineRule="auto"/>
        <w:jc w:val="both"/>
        <w:rPr>
          <w:rFonts w:ascii="Arial" w:hAnsi="Arial"/>
          <w:sz w:val="24"/>
        </w:rPr>
      </w:pPr>
      <w:r>
        <w:rPr>
          <w:rFonts w:ascii="Arial" w:hAnsi="Arial"/>
          <w:sz w:val="24"/>
        </w:rPr>
        <w:t>d) odpadke, ki nastanejo pri iskanju, črpanju, obdelavi ali shranjevanju mineralnih virov in delu v kamnolomih v skladu s Kraljevo uredbo 975/2009 z dne 12. junija 2009 o ravnanju z odpadki iz rudarskih industrij in zaščiti ter obnovi prostorov, ki so jih prizadele rudarske dejavnosti;</w:t>
      </w:r>
    </w:p>
    <w:p w14:paraId="4F9D69AA" w14:textId="4FF2C90E" w:rsidR="003F66C3" w:rsidRPr="005649E3" w:rsidRDefault="003F66C3" w:rsidP="002478C1">
      <w:pPr>
        <w:spacing w:before="120" w:after="120" w:line="240" w:lineRule="auto"/>
        <w:jc w:val="both"/>
        <w:rPr>
          <w:rFonts w:ascii="Arial" w:hAnsi="Arial"/>
          <w:sz w:val="24"/>
        </w:rPr>
      </w:pPr>
      <w:r>
        <w:rPr>
          <w:rFonts w:ascii="Arial" w:hAnsi="Arial"/>
          <w:sz w:val="24"/>
        </w:rPr>
        <w:t xml:space="preserve">e) snovi, ki niso živalski stranski proizvodi niti jih ne vsebujejo in so namenjene za uporabo kot posamična krmila, kot so opredeljena v členu 3(2)(g) Uredbe (ES) št. 767/2009 Evropskega parlamenta in Sveta z dne 13. julija 2009 o dajanju krme v promet in njeni uporabi, spremembi Uredbe (ES) št. 1831/2003 Evropskega parlamenta in Sveta in razveljavitvi Direktive Sveta 79/373/EGS, Direktive Komisije 80/511/EGS, direktiv Sveta 82/471/EGS, 83/228/EGS, 93/74/EGS, 93/113/ES in 96/25/ES ter Odločbe Komisije 2004/217/ES. </w:t>
      </w:r>
    </w:p>
    <w:p w14:paraId="17FACEC9" w14:textId="30180364" w:rsidR="00AD084A" w:rsidRPr="005649E3" w:rsidRDefault="003F66C3" w:rsidP="002478C1">
      <w:pPr>
        <w:spacing w:before="120" w:after="120" w:line="240" w:lineRule="auto"/>
        <w:jc w:val="both"/>
        <w:rPr>
          <w:rFonts w:ascii="Arial" w:hAnsi="Arial"/>
          <w:sz w:val="24"/>
        </w:rPr>
      </w:pPr>
      <w:r>
        <w:rPr>
          <w:rFonts w:ascii="Arial" w:hAnsi="Arial"/>
          <w:sz w:val="24"/>
        </w:rPr>
        <w:t>4. Ne glede na obveznosti, naložene s posebnimi veljavnimi predpisi, področje uporabe tega zakona ne zajema usedlin, ki so dokazano nenevarne v skladu s smernicami, ki jih je sprejela vlada v skladu s členom 4(2) Zakona 41/2010 z dne 29. decembra 2010 o varstvu morskega okolja, in se premeščajo pod vodno površino za naslednje namene: upravljanje voda in vodnih poti, ustvarjanje novih kopenskih površin, preprečevanje poplav ali nadzor poplav in suš.</w:t>
      </w:r>
    </w:p>
    <w:p w14:paraId="552EB2CF" w14:textId="77777777" w:rsidR="00AD084A" w:rsidRPr="00E55DBE" w:rsidRDefault="00AD084A" w:rsidP="002478C1">
      <w:pPr>
        <w:spacing w:before="120" w:after="120" w:line="240" w:lineRule="auto"/>
        <w:jc w:val="both"/>
        <w:rPr>
          <w:rFonts w:ascii="Arial" w:hAnsi="Arial"/>
          <w:sz w:val="24"/>
        </w:rPr>
      </w:pPr>
    </w:p>
    <w:p w14:paraId="7E29D0AC" w14:textId="252CB09B" w:rsidR="00A741A0" w:rsidRPr="00D53AB1" w:rsidRDefault="00A741A0" w:rsidP="00512B74">
      <w:pPr>
        <w:keepNext/>
        <w:keepLines/>
        <w:spacing w:before="120" w:after="120" w:line="240" w:lineRule="auto"/>
        <w:jc w:val="both"/>
        <w:rPr>
          <w:rFonts w:ascii="Arial" w:hAnsi="Arial"/>
          <w:b/>
          <w:i/>
          <w:sz w:val="24"/>
        </w:rPr>
      </w:pPr>
      <w:r>
        <w:rPr>
          <w:rFonts w:ascii="Arial" w:hAnsi="Arial"/>
          <w:b/>
          <w:sz w:val="24"/>
        </w:rPr>
        <w:t xml:space="preserve">Člen 17. </w:t>
      </w:r>
      <w:r>
        <w:rPr>
          <w:rFonts w:ascii="Arial" w:hAnsi="Arial"/>
          <w:b/>
          <w:i/>
          <w:sz w:val="24"/>
        </w:rPr>
        <w:t>Cilji preprečevanja odpadkov</w:t>
      </w:r>
    </w:p>
    <w:p w14:paraId="1612F68D" w14:textId="2A288615" w:rsidR="00570081" w:rsidRPr="00D53AB1" w:rsidRDefault="00570081" w:rsidP="002478C1">
      <w:pPr>
        <w:spacing w:before="120" w:after="120" w:line="240" w:lineRule="auto"/>
        <w:jc w:val="both"/>
        <w:rPr>
          <w:rFonts w:ascii="Arial" w:hAnsi="Arial"/>
          <w:sz w:val="24"/>
        </w:rPr>
      </w:pPr>
      <w:r>
        <w:rPr>
          <w:rFonts w:ascii="Arial" w:hAnsi="Arial"/>
          <w:sz w:val="24"/>
        </w:rPr>
        <w:t>1. Da bi gospodarsko rast ločili od posledic za zdravje ljudi in okolje, povezanih z ustvarjanjem odpadkov, si politike preprečevanja odpadkov prizadevajo doseči cilje zmanjšanja glede na težo proizvedenih odpadkov, v skladu z naslednjim časovnim razporedom:</w:t>
      </w:r>
    </w:p>
    <w:p w14:paraId="407B0EEC" w14:textId="031753E5" w:rsidR="00570081" w:rsidRPr="00D53AB1" w:rsidRDefault="00570081" w:rsidP="002478C1">
      <w:pPr>
        <w:spacing w:before="120" w:after="120" w:line="240" w:lineRule="auto"/>
        <w:jc w:val="both"/>
        <w:rPr>
          <w:rFonts w:ascii="Arial" w:hAnsi="Arial"/>
          <w:sz w:val="24"/>
        </w:rPr>
      </w:pPr>
      <w:r>
        <w:rPr>
          <w:rFonts w:ascii="Arial" w:hAnsi="Arial"/>
          <w:sz w:val="24"/>
        </w:rPr>
        <w:t>a) do leta 2020 10 % manj, kot jih je bilo ustvarjenih v letu 2010;</w:t>
      </w:r>
    </w:p>
    <w:p w14:paraId="2049B7D8" w14:textId="089AEE9A" w:rsidR="00570081" w:rsidRPr="00D53AB1" w:rsidRDefault="00570081" w:rsidP="002478C1">
      <w:pPr>
        <w:spacing w:before="120" w:after="120" w:line="240" w:lineRule="auto"/>
        <w:jc w:val="both"/>
        <w:rPr>
          <w:rFonts w:ascii="Arial" w:hAnsi="Arial"/>
          <w:sz w:val="24"/>
        </w:rPr>
      </w:pPr>
      <w:r>
        <w:rPr>
          <w:rFonts w:ascii="Arial" w:hAnsi="Arial"/>
          <w:sz w:val="24"/>
        </w:rPr>
        <w:t>b) do leta 2025 13 % manj, kot jih je bilo ustvarjenih v letu 2010;</w:t>
      </w:r>
    </w:p>
    <w:p w14:paraId="4B5954FE" w14:textId="3AC03448" w:rsidR="00A741A0" w:rsidRPr="00D53AB1" w:rsidRDefault="00570081" w:rsidP="002478C1">
      <w:pPr>
        <w:spacing w:before="120" w:after="120" w:line="240" w:lineRule="auto"/>
        <w:jc w:val="both"/>
        <w:rPr>
          <w:rFonts w:ascii="Arial" w:hAnsi="Arial"/>
          <w:sz w:val="24"/>
        </w:rPr>
      </w:pPr>
      <w:r>
        <w:rPr>
          <w:rFonts w:ascii="Arial" w:hAnsi="Arial"/>
          <w:sz w:val="24"/>
        </w:rPr>
        <w:t>c) do leta 2030 15 % manj, kot jih je bilo ustvarjenih v letu 2010.</w:t>
      </w:r>
    </w:p>
    <w:p w14:paraId="4640BE0D" w14:textId="6A501898" w:rsidR="00A741A0" w:rsidRPr="00D53AB1" w:rsidRDefault="00570081" w:rsidP="002478C1">
      <w:pPr>
        <w:spacing w:before="120" w:after="120" w:line="240" w:lineRule="auto"/>
        <w:jc w:val="both"/>
        <w:rPr>
          <w:rFonts w:ascii="Arial" w:hAnsi="Arial"/>
          <w:sz w:val="24"/>
        </w:rPr>
      </w:pPr>
      <w:r>
        <w:rPr>
          <w:rFonts w:ascii="Arial" w:hAnsi="Arial"/>
          <w:sz w:val="24"/>
        </w:rPr>
        <w:t>2. Da bi dosegli cilje, določene v prejšnjem odstavku, lahko vlada na podlagi razpoložljivih informacij v predpisih za nekatere proizvode določi posebne cilje preprečevanja.</w:t>
      </w:r>
    </w:p>
    <w:p w14:paraId="2B7E2E3C" w14:textId="4D98783A" w:rsidR="000A339B" w:rsidRPr="00D53AB1" w:rsidRDefault="000348A6" w:rsidP="002478C1">
      <w:pPr>
        <w:spacing w:before="120" w:after="120" w:line="240" w:lineRule="auto"/>
        <w:jc w:val="both"/>
        <w:rPr>
          <w:rFonts w:ascii="Arial" w:hAnsi="Arial"/>
          <w:sz w:val="24"/>
        </w:rPr>
      </w:pPr>
      <w:r>
        <w:rPr>
          <w:rFonts w:ascii="Arial" w:hAnsi="Arial"/>
          <w:sz w:val="24"/>
        </w:rPr>
        <w:t xml:space="preserve">3. Od leta 2021 dalje je prepovedano uničevati neprodane presežke nepokvarljivih proizvodov, kot so tekstilni proizvodi, igrače in električne naprave, razen če je njihovo uničenje zahtevano v drugi uredbi. </w:t>
      </w:r>
    </w:p>
    <w:p w14:paraId="39B451F7" w14:textId="72D28419" w:rsidR="006F0C49" w:rsidRPr="00D53AB1" w:rsidRDefault="000348A6" w:rsidP="002478C1">
      <w:pPr>
        <w:spacing w:before="120" w:after="120" w:line="240" w:lineRule="auto"/>
        <w:jc w:val="both"/>
        <w:rPr>
          <w:rFonts w:ascii="Arial" w:hAnsi="Arial"/>
          <w:sz w:val="24"/>
        </w:rPr>
      </w:pPr>
      <w:r>
        <w:rPr>
          <w:rFonts w:ascii="Arial" w:hAnsi="Arial"/>
          <w:sz w:val="24"/>
        </w:rPr>
        <w:t xml:space="preserve">4. Da bi zmanjšali porabo embalaže, javni organi sprejmejo potrebne ukrepe za zmanjšanje porabe ustekleničene vode v svojih prostorih, na primer s spodbujanjem namestitve pip s pitno vodo pod pogoji, ki zagotavljajo higieno in varnost živil, in dobavo </w:t>
      </w:r>
      <w:r>
        <w:rPr>
          <w:rFonts w:ascii="Arial" w:hAnsi="Arial"/>
          <w:sz w:val="24"/>
        </w:rPr>
        <w:lastRenderedPageBreak/>
        <w:t xml:space="preserve">vode v vsebnikih, ki se lahko ponovno uporabijo, ne glede na dejstvo, da je dajanje na voljo vsebnikov za enkratno uporabo dovoljeno v zdravstvenih in izobraževalnih ustanovah. </w:t>
      </w:r>
    </w:p>
    <w:p w14:paraId="016FD112" w14:textId="685764CA" w:rsidR="006F0C49" w:rsidRPr="00D53AB1" w:rsidRDefault="00E5579B" w:rsidP="002478C1">
      <w:pPr>
        <w:spacing w:before="120" w:after="120" w:line="240" w:lineRule="auto"/>
        <w:jc w:val="both"/>
        <w:rPr>
          <w:rFonts w:ascii="Arial" w:hAnsi="Arial"/>
          <w:sz w:val="24"/>
        </w:rPr>
      </w:pPr>
      <w:r>
        <w:rPr>
          <w:rFonts w:ascii="Arial" w:hAnsi="Arial"/>
          <w:sz w:val="24"/>
        </w:rPr>
        <w:t>V ta namen gostinski sektor vedno ponudi potrošnikom, strankam ali uporabnikom svojih storitev možnost brezplačne porabe nepakirane vode poleg ponudbe zadevnega obrata, pod pogojem, da občina ali podjetje za oskrbo z vodo zagotavlja primernost vode za prehrano ljudi in torej njeno izpolnjevanje zdravstvenih zahtev.</w:t>
      </w:r>
    </w:p>
    <w:p w14:paraId="11EA8BC9" w14:textId="77777777" w:rsidR="003C3956" w:rsidRPr="00D53AB1" w:rsidRDefault="003C3956" w:rsidP="002478C1">
      <w:pPr>
        <w:spacing w:before="120" w:after="120" w:line="240" w:lineRule="auto"/>
        <w:jc w:val="both"/>
        <w:rPr>
          <w:rFonts w:ascii="Arial" w:hAnsi="Arial"/>
          <w:b/>
          <w:sz w:val="24"/>
        </w:rPr>
      </w:pPr>
    </w:p>
    <w:p w14:paraId="57CA2EAD" w14:textId="77777777" w:rsidR="004666D6" w:rsidRPr="00565BD5" w:rsidRDefault="004666D6" w:rsidP="002478C1">
      <w:pPr>
        <w:spacing w:before="120" w:after="120" w:line="240" w:lineRule="auto"/>
        <w:jc w:val="both"/>
        <w:rPr>
          <w:rFonts w:ascii="Arial" w:hAnsi="Arial" w:cs="Arial"/>
          <w:b/>
          <w:sz w:val="24"/>
          <w:szCs w:val="24"/>
        </w:rPr>
      </w:pPr>
    </w:p>
    <w:p w14:paraId="16E96005" w14:textId="62D28472" w:rsidR="004666D6" w:rsidRPr="005E6A73" w:rsidRDefault="00905B3C" w:rsidP="00512B74">
      <w:pPr>
        <w:keepNext/>
        <w:keepLines/>
        <w:spacing w:before="120" w:after="120" w:line="240" w:lineRule="auto"/>
        <w:jc w:val="center"/>
        <w:rPr>
          <w:rFonts w:ascii="Arial" w:hAnsi="Arial"/>
          <w:b/>
          <w:sz w:val="24"/>
        </w:rPr>
      </w:pPr>
      <w:r>
        <w:rPr>
          <w:rFonts w:ascii="Arial" w:hAnsi="Arial"/>
          <w:b/>
          <w:sz w:val="24"/>
        </w:rPr>
        <w:t>NASLOV V</w:t>
      </w:r>
    </w:p>
    <w:p w14:paraId="4F89AFA3" w14:textId="7C5FA881" w:rsidR="00905B3C" w:rsidRPr="00034253" w:rsidRDefault="000644F0" w:rsidP="00512B74">
      <w:pPr>
        <w:keepNext/>
        <w:keepLines/>
        <w:spacing w:before="120" w:after="120" w:line="240" w:lineRule="auto"/>
        <w:jc w:val="center"/>
        <w:rPr>
          <w:rFonts w:ascii="Arial" w:hAnsi="Arial"/>
          <w:b/>
          <w:sz w:val="24"/>
        </w:rPr>
      </w:pPr>
      <w:r>
        <w:rPr>
          <w:rFonts w:ascii="Arial" w:hAnsi="Arial"/>
          <w:b/>
          <w:sz w:val="24"/>
        </w:rPr>
        <w:t xml:space="preserve">Zmanjšanje okoljskih učinkov nekaterih plastičnih proizvodov </w:t>
      </w:r>
    </w:p>
    <w:p w14:paraId="2776680B" w14:textId="77777777" w:rsidR="000644F0" w:rsidRDefault="000644F0" w:rsidP="00512B74">
      <w:pPr>
        <w:keepNext/>
        <w:keepLines/>
        <w:spacing w:before="120" w:after="120" w:line="240" w:lineRule="auto"/>
        <w:jc w:val="both"/>
        <w:rPr>
          <w:rFonts w:ascii="Arial" w:hAnsi="Arial"/>
          <w:b/>
          <w:sz w:val="24"/>
        </w:rPr>
      </w:pPr>
    </w:p>
    <w:p w14:paraId="054315EA" w14:textId="43242D14" w:rsidR="00815180" w:rsidRPr="00034253" w:rsidRDefault="00815180" w:rsidP="00512B74">
      <w:pPr>
        <w:keepNext/>
        <w:keepLines/>
        <w:spacing w:before="120" w:after="120" w:line="240" w:lineRule="auto"/>
        <w:jc w:val="both"/>
        <w:rPr>
          <w:rFonts w:ascii="Arial" w:hAnsi="Arial"/>
          <w:b/>
          <w:i/>
          <w:sz w:val="24"/>
        </w:rPr>
      </w:pPr>
      <w:r>
        <w:rPr>
          <w:rFonts w:ascii="Arial" w:hAnsi="Arial"/>
          <w:b/>
          <w:sz w:val="24"/>
        </w:rPr>
        <w:t xml:space="preserve">Člen 40. </w:t>
      </w:r>
      <w:r>
        <w:rPr>
          <w:rFonts w:ascii="Arial" w:hAnsi="Arial"/>
          <w:b/>
          <w:i/>
          <w:sz w:val="24"/>
        </w:rPr>
        <w:t>Zmanjšanje porabe nekaterih plastičnih proizvodov za enkratno uporabo</w:t>
      </w:r>
    </w:p>
    <w:p w14:paraId="35998CA6" w14:textId="77777777" w:rsidR="009F092F" w:rsidRPr="00034253" w:rsidRDefault="009F092F" w:rsidP="002478C1">
      <w:pPr>
        <w:spacing w:before="120" w:after="120" w:line="240" w:lineRule="auto"/>
        <w:jc w:val="both"/>
        <w:rPr>
          <w:rFonts w:ascii="Arial" w:hAnsi="Arial"/>
          <w:sz w:val="24"/>
        </w:rPr>
      </w:pPr>
      <w:r>
        <w:rPr>
          <w:rFonts w:ascii="Arial" w:hAnsi="Arial"/>
          <w:sz w:val="24"/>
        </w:rPr>
        <w:t>1. Za plastične proizvode za enkratno uporabo iz dela A Priloge IV se uporablja naslednji časovni načrt zmanjšanja dostopnosti na trgu:</w:t>
      </w:r>
    </w:p>
    <w:p w14:paraId="5EB586EF" w14:textId="1122A606" w:rsidR="009F092F" w:rsidRPr="00034253" w:rsidRDefault="009F092F" w:rsidP="002478C1">
      <w:pPr>
        <w:spacing w:before="120" w:after="120" w:line="240" w:lineRule="auto"/>
        <w:jc w:val="both"/>
        <w:rPr>
          <w:rFonts w:ascii="Arial" w:hAnsi="Arial"/>
          <w:sz w:val="24"/>
        </w:rPr>
      </w:pPr>
      <w:r>
        <w:rPr>
          <w:rFonts w:ascii="Arial" w:hAnsi="Arial"/>
          <w:sz w:val="24"/>
        </w:rPr>
        <w:t xml:space="preserve">a) do leta 2026 50-odstotno zmanjšanje glede na težo v primerjavi z letom 2022; </w:t>
      </w:r>
    </w:p>
    <w:p w14:paraId="7506555D" w14:textId="7948003B" w:rsidR="009F092F" w:rsidRPr="00034253" w:rsidRDefault="009F092F" w:rsidP="002478C1">
      <w:pPr>
        <w:spacing w:before="120" w:after="120" w:line="240" w:lineRule="auto"/>
        <w:jc w:val="both"/>
        <w:rPr>
          <w:rFonts w:ascii="Arial" w:hAnsi="Arial"/>
          <w:sz w:val="24"/>
        </w:rPr>
      </w:pPr>
      <w:r>
        <w:rPr>
          <w:rFonts w:ascii="Arial" w:hAnsi="Arial"/>
          <w:sz w:val="24"/>
        </w:rPr>
        <w:t xml:space="preserve">b) do leta 2030 70-odstotno zmanjšanje glede na težo v primerjavi z letom 2022. </w:t>
      </w:r>
    </w:p>
    <w:p w14:paraId="0F05C920" w14:textId="5A3DBF48" w:rsidR="009F092F" w:rsidRPr="00034253" w:rsidRDefault="009F092F" w:rsidP="002478C1">
      <w:pPr>
        <w:spacing w:before="120" w:after="120" w:line="240" w:lineRule="auto"/>
        <w:jc w:val="both"/>
        <w:rPr>
          <w:rFonts w:ascii="Arial" w:hAnsi="Arial"/>
          <w:sz w:val="24"/>
        </w:rPr>
      </w:pPr>
      <w:r>
        <w:rPr>
          <w:rFonts w:ascii="Arial" w:hAnsi="Arial"/>
          <w:sz w:val="24"/>
        </w:rPr>
        <w:t>2. Za dosego zgoraj navedenih ciljev vsi posredniki, vključeni v zagotavljanje dostopnosti na trgu, spodbujajo uporabo nadomestnih proizvodov za večkratno uporabo ali drugega materiala, ki ni plastika. V vsakem primeru se od 1. januarja 2023 dalje mora zaračunati pristojbina za vsak plastični proizvod, dobavljen potrošniku, ki mora biti navedena v ločeni postavki na računu o prodaji.</w:t>
      </w:r>
    </w:p>
    <w:p w14:paraId="6C017929" w14:textId="0DE02412" w:rsidR="009F092F" w:rsidRPr="00034253" w:rsidRDefault="009F092F" w:rsidP="002478C1">
      <w:pPr>
        <w:spacing w:before="120" w:after="120" w:line="240" w:lineRule="auto"/>
        <w:jc w:val="both"/>
        <w:rPr>
          <w:rFonts w:ascii="Arial" w:hAnsi="Arial"/>
          <w:sz w:val="24"/>
        </w:rPr>
      </w:pPr>
      <w:r>
        <w:rPr>
          <w:rFonts w:ascii="Arial" w:hAnsi="Arial"/>
          <w:sz w:val="24"/>
        </w:rPr>
        <w:t xml:space="preserve">Ministrstvo za ekološki prehod in demografske spremembe spremlja zmanjšanje porabe teh proizvodov in lahko na podlagi rezultatov predlaga spremembe navedenega časovnega načrta ter druge možne načine za zmanjšanje njihove porabe, ki se sprejmejo s predpisi. Ti ukrepi so sorazmerni in nediskriminatorni in se sporočijo Evropski komisiji v skladu s Kraljevo uredbo 1337/1999 z dne 31. julija 1999 za izpolnitev določb Direktive (EU) 2015/1535 Evropskega parlamenta in Sveta z dne 9. septembra 2015. </w:t>
      </w:r>
    </w:p>
    <w:p w14:paraId="0F91FE01" w14:textId="77777777" w:rsidR="009F092F" w:rsidRPr="00034253" w:rsidRDefault="009F092F" w:rsidP="002478C1">
      <w:pPr>
        <w:spacing w:before="120" w:after="120" w:line="240" w:lineRule="auto"/>
        <w:jc w:val="both"/>
        <w:rPr>
          <w:rFonts w:ascii="Arial" w:hAnsi="Arial"/>
          <w:sz w:val="24"/>
        </w:rPr>
      </w:pPr>
      <w:r>
        <w:rPr>
          <w:rFonts w:ascii="Arial" w:hAnsi="Arial"/>
          <w:sz w:val="24"/>
        </w:rPr>
        <w:t>3. Vsebniki za živila se štejejo za plastične proizvode za enkratno uporabo, če ima poleg meril iz opredelitve pomembno vlogo verjetnost, da postanejo odpadek zaradi njihove prostornine ali velikosti, zlasti vsebniki za posamezne porcije. V ta namen se uporabljajo informacije, dobljene z uporabo člena 18(1)(k).</w:t>
      </w:r>
    </w:p>
    <w:p w14:paraId="6ECA1340" w14:textId="75DDCBAA" w:rsidR="009F092F" w:rsidRPr="00FD4230" w:rsidRDefault="009F092F" w:rsidP="002478C1">
      <w:pPr>
        <w:spacing w:before="120" w:after="120" w:line="240" w:lineRule="auto"/>
        <w:jc w:val="both"/>
        <w:rPr>
          <w:rFonts w:ascii="Arial" w:hAnsi="Arial"/>
          <w:sz w:val="24"/>
        </w:rPr>
      </w:pPr>
      <w:r>
        <w:rPr>
          <w:rFonts w:ascii="Arial" w:hAnsi="Arial"/>
          <w:sz w:val="24"/>
        </w:rPr>
        <w:t xml:space="preserve">4. Posredniki, vključeni v zagotavljanje dostopnosti na trgu za plastične pladnje, ki so embalaža, a ne spadajo v Prilogo IV, plastičnih proizvodov za enkratno uporabo, plastičnih obročev za nošenje več pijač in plastičnih palčk, ki se uporabljajo v živilskem sektorju za držanje proizvodov (palčke za bonbone, sladoled in druge proizvode), ki so narejeni iz plastike, ki je ni mogoče kompostirati, zmanjšajo njihovo porabo z nadomestitvijo teh plastičnih proizvodov z nadomestnimi proizvodi za večkratno uporabo in drugimi materiali, kot so plastika, ki jo je mogoče kompostirati, les, papir in karton. </w:t>
      </w:r>
    </w:p>
    <w:p w14:paraId="59516281" w14:textId="77777777" w:rsidR="009F092F" w:rsidRPr="00FD4230" w:rsidRDefault="009F092F" w:rsidP="002478C1">
      <w:pPr>
        <w:spacing w:before="120" w:after="120" w:line="240" w:lineRule="auto"/>
        <w:jc w:val="both"/>
        <w:rPr>
          <w:rFonts w:ascii="Arial" w:hAnsi="Arial"/>
          <w:sz w:val="24"/>
        </w:rPr>
      </w:pPr>
      <w:r>
        <w:rPr>
          <w:rFonts w:ascii="Arial" w:hAnsi="Arial"/>
          <w:sz w:val="24"/>
        </w:rPr>
        <w:t>Ministrstvo za ekološki prehod in demografske spremembe spremlja zmanjšanje porabe teh proizvodov in lahko na podlagi rezultatov naloži druge regulativne ukrepe, namenjene doseganju znatnega zmanjšanja, zlasti sprejme časovni načrti za zmanjšanje.</w:t>
      </w:r>
    </w:p>
    <w:p w14:paraId="223CCA0E" w14:textId="58DB2554" w:rsidR="009F092F" w:rsidRPr="00034253" w:rsidRDefault="009F092F" w:rsidP="002478C1">
      <w:pPr>
        <w:spacing w:before="120" w:after="120" w:line="240" w:lineRule="auto"/>
        <w:jc w:val="both"/>
        <w:rPr>
          <w:rFonts w:ascii="Arial" w:hAnsi="Arial"/>
          <w:sz w:val="24"/>
        </w:rPr>
      </w:pPr>
      <w:r>
        <w:rPr>
          <w:rFonts w:ascii="Arial" w:hAnsi="Arial"/>
          <w:sz w:val="24"/>
        </w:rPr>
        <w:lastRenderedPageBreak/>
        <w:t>5. Ministrstvo za ekološki prehod in demografske spremembe pred 3. julijem 2021 pripravi poročilo o vseh ukrepih, sprejetih v skladu s tem členom, ga predloži Komisiji in javno objavi.</w:t>
      </w:r>
    </w:p>
    <w:p w14:paraId="431C36B7" w14:textId="34779801" w:rsidR="004F0D9F" w:rsidRPr="00034253" w:rsidRDefault="004F0D9F" w:rsidP="002478C1">
      <w:pPr>
        <w:spacing w:before="120" w:after="120" w:line="240" w:lineRule="auto"/>
        <w:jc w:val="both"/>
        <w:rPr>
          <w:rFonts w:ascii="Arial" w:hAnsi="Arial"/>
          <w:sz w:val="24"/>
        </w:rPr>
      </w:pPr>
    </w:p>
    <w:p w14:paraId="7023D8C7" w14:textId="5DE237CC" w:rsidR="00905B3C" w:rsidRPr="005E6A73" w:rsidRDefault="00815180" w:rsidP="00512B74">
      <w:pPr>
        <w:keepNext/>
        <w:keepLines/>
        <w:spacing w:before="120" w:after="120" w:line="240" w:lineRule="auto"/>
        <w:jc w:val="both"/>
        <w:rPr>
          <w:rFonts w:ascii="Arial" w:hAnsi="Arial"/>
          <w:b/>
          <w:i/>
          <w:sz w:val="24"/>
        </w:rPr>
      </w:pPr>
      <w:r>
        <w:rPr>
          <w:rFonts w:ascii="Arial" w:hAnsi="Arial"/>
          <w:b/>
          <w:sz w:val="24"/>
        </w:rPr>
        <w:t xml:space="preserve">Člen 41. </w:t>
      </w:r>
      <w:r>
        <w:rPr>
          <w:rFonts w:ascii="Arial" w:hAnsi="Arial"/>
          <w:b/>
          <w:i/>
          <w:sz w:val="24"/>
        </w:rPr>
        <w:t>Prepoved nekaterih plastičnih proizvodov</w:t>
      </w:r>
    </w:p>
    <w:p w14:paraId="688EA7F6" w14:textId="77777777" w:rsidR="009F092F" w:rsidRPr="00034253" w:rsidRDefault="009F092F" w:rsidP="00512B74">
      <w:pPr>
        <w:keepNext/>
        <w:keepLines/>
        <w:spacing w:before="120" w:after="120" w:line="240" w:lineRule="auto"/>
        <w:jc w:val="both"/>
        <w:rPr>
          <w:rFonts w:ascii="Arial" w:hAnsi="Arial"/>
          <w:sz w:val="24"/>
        </w:rPr>
      </w:pPr>
      <w:r>
        <w:rPr>
          <w:rFonts w:ascii="Arial" w:hAnsi="Arial"/>
          <w:sz w:val="24"/>
        </w:rPr>
        <w:t xml:space="preserve">Od 3. julija 2021 dalje je prepovedano dajati naslednje proizvode na trg: </w:t>
      </w:r>
    </w:p>
    <w:p w14:paraId="43CE649B" w14:textId="77777777" w:rsidR="009F092F" w:rsidRPr="00104BBA" w:rsidRDefault="009F092F" w:rsidP="002478C1">
      <w:pPr>
        <w:spacing w:before="120" w:after="120" w:line="240" w:lineRule="auto"/>
        <w:jc w:val="both"/>
        <w:rPr>
          <w:rFonts w:ascii="Arial" w:hAnsi="Arial"/>
          <w:sz w:val="24"/>
        </w:rPr>
      </w:pPr>
      <w:r>
        <w:rPr>
          <w:rFonts w:ascii="Arial" w:hAnsi="Arial"/>
          <w:sz w:val="24"/>
        </w:rPr>
        <w:t>a) plastične proizvode, navedene v delu B Priloge IV;</w:t>
      </w:r>
    </w:p>
    <w:p w14:paraId="5FF658C9" w14:textId="77777777" w:rsidR="009F092F" w:rsidRPr="00104BBA" w:rsidRDefault="009F092F" w:rsidP="002478C1">
      <w:pPr>
        <w:spacing w:before="120" w:after="120" w:line="240" w:lineRule="auto"/>
        <w:jc w:val="both"/>
        <w:rPr>
          <w:rFonts w:ascii="Arial" w:hAnsi="Arial"/>
          <w:sz w:val="24"/>
        </w:rPr>
      </w:pPr>
      <w:r>
        <w:rPr>
          <w:rFonts w:ascii="Arial" w:hAnsi="Arial"/>
          <w:sz w:val="24"/>
        </w:rPr>
        <w:t>b) vsakršne in vse plastične proizvode iz oksorazgradljive plastike;</w:t>
      </w:r>
    </w:p>
    <w:p w14:paraId="08B905FE" w14:textId="4D9A75E9" w:rsidR="009F092F" w:rsidRPr="00104BBA" w:rsidRDefault="009F092F" w:rsidP="002478C1">
      <w:pPr>
        <w:spacing w:before="120" w:after="120" w:line="240" w:lineRule="auto"/>
        <w:jc w:val="both"/>
        <w:rPr>
          <w:rFonts w:ascii="Arial" w:hAnsi="Arial"/>
          <w:sz w:val="24"/>
        </w:rPr>
      </w:pPr>
      <w:r>
        <w:rPr>
          <w:rFonts w:ascii="Arial" w:hAnsi="Arial"/>
          <w:sz w:val="24"/>
        </w:rPr>
        <w:t xml:space="preserve">c) kozmetične izdelke, kot so opredeljeni v Uredbi (ES) št. 1223/2009 Evropskega parlamenta in Sveta z dne 30. novembra 2009 o kozmetičnih izdelkih, ter detergente in čistilna sredstva, kot so opredeljeni v Kraljevi uredbi 770/1999 z dne 7. maja 1999 o sprejetju tehnične zdravstvene uredbe o proizvodnji, premikanju in prodaji detergentov in čistilnih sredstev, ki vsebujejo namerno dodane plastične mikro kroglice, manjše od 5 milimetrov. </w:t>
      </w:r>
    </w:p>
    <w:p w14:paraId="3A4038BF" w14:textId="77777777" w:rsidR="002B28C4" w:rsidRPr="00034253" w:rsidRDefault="002B28C4" w:rsidP="002478C1">
      <w:pPr>
        <w:spacing w:before="120" w:after="120" w:line="240" w:lineRule="auto"/>
        <w:jc w:val="both"/>
        <w:rPr>
          <w:rFonts w:ascii="Arial" w:hAnsi="Arial"/>
          <w:sz w:val="24"/>
        </w:rPr>
      </w:pPr>
    </w:p>
    <w:p w14:paraId="544345C2" w14:textId="6A33E8FF" w:rsidR="00905B3C" w:rsidRPr="00034253" w:rsidRDefault="00472D25" w:rsidP="00512B74">
      <w:pPr>
        <w:keepNext/>
        <w:keepLines/>
        <w:spacing w:before="120" w:after="120" w:line="240" w:lineRule="auto"/>
        <w:jc w:val="both"/>
        <w:rPr>
          <w:rFonts w:ascii="Arial" w:hAnsi="Arial"/>
          <w:b/>
          <w:i/>
          <w:sz w:val="24"/>
        </w:rPr>
      </w:pPr>
      <w:r>
        <w:rPr>
          <w:rFonts w:ascii="Arial" w:hAnsi="Arial"/>
          <w:b/>
          <w:sz w:val="24"/>
        </w:rPr>
        <w:t xml:space="preserve">Člen 42. </w:t>
      </w:r>
      <w:r>
        <w:rPr>
          <w:rFonts w:ascii="Arial" w:hAnsi="Arial"/>
          <w:b/>
          <w:i/>
          <w:sz w:val="24"/>
        </w:rPr>
        <w:t>Zahteve glede oblike plastičnih vsebnikov za pijače</w:t>
      </w:r>
    </w:p>
    <w:p w14:paraId="3AB537B6" w14:textId="77777777" w:rsidR="009F092F" w:rsidRDefault="009F092F" w:rsidP="002478C1">
      <w:pPr>
        <w:spacing w:before="120" w:after="120" w:line="240" w:lineRule="auto"/>
        <w:jc w:val="both"/>
        <w:rPr>
          <w:rFonts w:ascii="Arial" w:hAnsi="Arial"/>
          <w:sz w:val="24"/>
        </w:rPr>
      </w:pPr>
      <w:r>
        <w:rPr>
          <w:rFonts w:ascii="Arial" w:hAnsi="Arial"/>
          <w:sz w:val="24"/>
        </w:rPr>
        <w:t xml:space="preserve">1. Od 3. julija 2024 dalje bo dovoljeno dajati na trg samo plastične proizvode za enkratno uporabo iz dela C Priloge IV, katerih pokrovčki in zamaški ostanejo pritrjeni na vsebnik ves čas načrtovane faze uporabe zadevnega proizvoda. Za ta namen se kovinski pokrovčki in zamaški s plastičnimi pečati ne štejejo za plastične. </w:t>
      </w:r>
    </w:p>
    <w:p w14:paraId="55270AC5" w14:textId="647E648A" w:rsidR="009F092F" w:rsidRPr="00034253" w:rsidRDefault="009F092F" w:rsidP="002478C1">
      <w:pPr>
        <w:spacing w:before="120" w:after="120" w:line="240" w:lineRule="auto"/>
        <w:jc w:val="both"/>
        <w:rPr>
          <w:rFonts w:ascii="Arial" w:hAnsi="Arial"/>
          <w:sz w:val="24"/>
        </w:rPr>
      </w:pPr>
      <w:r>
        <w:rPr>
          <w:rFonts w:ascii="Arial" w:hAnsi="Arial"/>
          <w:sz w:val="24"/>
        </w:rPr>
        <w:t xml:space="preserve">Za navedene proizvode se šteje, da izpolnjujejo določbe tega odstavka, če so proizvedeni v skladu s harmoniziranimi standardi, sprejetimi v ta namen na ravni Evropske unije. </w:t>
      </w:r>
    </w:p>
    <w:p w14:paraId="55D5169C" w14:textId="77777777" w:rsidR="009F092F" w:rsidRPr="00034253" w:rsidRDefault="009F092F" w:rsidP="002478C1">
      <w:pPr>
        <w:spacing w:before="120" w:after="120" w:line="240" w:lineRule="auto"/>
        <w:jc w:val="both"/>
        <w:rPr>
          <w:rFonts w:ascii="Arial" w:hAnsi="Arial"/>
          <w:sz w:val="24"/>
        </w:rPr>
      </w:pPr>
      <w:r>
        <w:rPr>
          <w:rFonts w:ascii="Arial" w:hAnsi="Arial"/>
          <w:sz w:val="24"/>
        </w:rPr>
        <w:t>2. Od leta 2025 dalje je dovoljeno dajati na trg samo plastenke iz polietilen tereftalata („plastenke PET“), navedene v delu E Priloge IV, ki vsebujejo vsaj 25 % reciklirane plastike, izračunano kot povprečje vseh plastenk PET, danih na trg.</w:t>
      </w:r>
    </w:p>
    <w:p w14:paraId="6AD13FDA" w14:textId="77777777" w:rsidR="009F092F" w:rsidRDefault="009F092F" w:rsidP="002478C1">
      <w:pPr>
        <w:spacing w:before="120" w:after="120" w:line="240" w:lineRule="auto"/>
        <w:jc w:val="both"/>
        <w:rPr>
          <w:rFonts w:ascii="Arial" w:hAnsi="Arial"/>
          <w:sz w:val="24"/>
        </w:rPr>
      </w:pPr>
      <w:r>
        <w:rPr>
          <w:rFonts w:ascii="Arial" w:hAnsi="Arial"/>
          <w:sz w:val="24"/>
        </w:rPr>
        <w:t>3. Od leta 2030 dalje je dovoljeno dajati na trg samo plastenke, navedene v delu E Priloge IV, ki vsebujejo vsaj 30 % reciklirane plastike, izračunano kot povprečje vseh teh plastenk, danih na trg.</w:t>
      </w:r>
    </w:p>
    <w:p w14:paraId="788B7E96" w14:textId="77777777" w:rsidR="009F092F" w:rsidRDefault="009F092F" w:rsidP="002478C1">
      <w:pPr>
        <w:spacing w:before="120" w:after="120" w:line="240" w:lineRule="auto"/>
        <w:jc w:val="both"/>
        <w:rPr>
          <w:rFonts w:ascii="Arial" w:hAnsi="Arial"/>
          <w:sz w:val="24"/>
        </w:rPr>
      </w:pPr>
      <w:r>
        <w:rPr>
          <w:rFonts w:ascii="Arial" w:hAnsi="Arial"/>
          <w:sz w:val="24"/>
        </w:rPr>
        <w:t xml:space="preserve">4. Sistemi, ustvarjeni za izpolnitev obveznosti, določenih v okviru razširjene odgovornosti proizvajalca, za embalažo in odpadno embalažo, zagotovijo ukrepe za olajšanje doseganja teh ciljev. </w:t>
      </w:r>
    </w:p>
    <w:p w14:paraId="27E4C895" w14:textId="1A842C04" w:rsidR="00905B3C" w:rsidRDefault="009F092F" w:rsidP="002478C1">
      <w:pPr>
        <w:spacing w:before="120" w:after="120" w:line="240" w:lineRule="auto"/>
        <w:jc w:val="both"/>
        <w:rPr>
          <w:rFonts w:ascii="Arial" w:hAnsi="Arial"/>
          <w:sz w:val="24"/>
        </w:rPr>
      </w:pPr>
      <w:r>
        <w:rPr>
          <w:rFonts w:ascii="Arial" w:hAnsi="Arial"/>
          <w:sz w:val="24"/>
        </w:rPr>
        <w:t>5. Na plastenkah iz odstavkov 2 in 3 so lahko informacije o odstotku reciklirane plastike, ki jo vsebujejo.</w:t>
      </w:r>
    </w:p>
    <w:p w14:paraId="5B99621A" w14:textId="77777777" w:rsidR="009F092F" w:rsidRPr="00034253" w:rsidRDefault="009F092F" w:rsidP="002478C1">
      <w:pPr>
        <w:spacing w:before="120" w:after="120" w:line="240" w:lineRule="auto"/>
        <w:jc w:val="both"/>
        <w:rPr>
          <w:rFonts w:ascii="Arial" w:hAnsi="Arial"/>
          <w:sz w:val="24"/>
        </w:rPr>
      </w:pPr>
    </w:p>
    <w:p w14:paraId="0EEFC9D5" w14:textId="317842C4" w:rsidR="00905B3C" w:rsidRPr="00034253" w:rsidRDefault="00472D25" w:rsidP="00512B74">
      <w:pPr>
        <w:keepNext/>
        <w:keepLines/>
        <w:spacing w:before="120" w:after="120" w:line="240" w:lineRule="auto"/>
        <w:jc w:val="both"/>
        <w:rPr>
          <w:rFonts w:ascii="Arial" w:hAnsi="Arial"/>
          <w:b/>
          <w:i/>
          <w:sz w:val="24"/>
        </w:rPr>
      </w:pPr>
      <w:r>
        <w:rPr>
          <w:rFonts w:ascii="Arial" w:hAnsi="Arial"/>
          <w:b/>
          <w:sz w:val="24"/>
        </w:rPr>
        <w:t xml:space="preserve">Člen 43. </w:t>
      </w:r>
      <w:r>
        <w:rPr>
          <w:rFonts w:ascii="Arial" w:hAnsi="Arial"/>
          <w:b/>
          <w:i/>
          <w:sz w:val="24"/>
        </w:rPr>
        <w:t>Zahteve glede označevanja nekaterih plastičnih proizvodov za enkratno uporabo</w:t>
      </w:r>
    </w:p>
    <w:p w14:paraId="41CF11FB" w14:textId="5FE3DD2B" w:rsidR="009F092F" w:rsidRPr="00034253" w:rsidRDefault="009F092F" w:rsidP="002478C1">
      <w:pPr>
        <w:spacing w:before="120" w:after="120" w:line="240" w:lineRule="auto"/>
        <w:jc w:val="both"/>
        <w:rPr>
          <w:rFonts w:ascii="Arial" w:hAnsi="Arial"/>
          <w:sz w:val="24"/>
        </w:rPr>
      </w:pPr>
      <w:r>
        <w:rPr>
          <w:rFonts w:ascii="Arial" w:hAnsi="Arial"/>
          <w:sz w:val="24"/>
        </w:rPr>
        <w:t xml:space="preserve">1. Od 3. julija 2021 dalje so plastični proizvodi za enkratno uporabo, navedeni v delu D Priloge IV, ki so dani na trg, neizbrisno, jasno vidno in jasno čitljivo označeni v skladu s harmoniziranimi specifikacijami za označevanje, sprejetimi na ravni Evropske unije. </w:t>
      </w:r>
    </w:p>
    <w:p w14:paraId="3FF19B42"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Te oznake potrošnike obveščajo o primernih možnostih ravnanja z odpadki za proizvod ali sredstvi za odstranitev odpadkov, katerim se je treba izogniti za ta proizvod, v skladu s </w:t>
      </w:r>
      <w:r>
        <w:rPr>
          <w:rFonts w:ascii="Arial" w:hAnsi="Arial"/>
          <w:sz w:val="24"/>
        </w:rPr>
        <w:lastRenderedPageBreak/>
        <w:t>hierarhijo odpadkov ter o prisotnosti plastike v proizvodu in posledičnem škodljivem učinku nepravilnega odlaganja odpadkov ali neustreznih sredstev za odstranjevanje odpadkov iz proizvoda na okolje.</w:t>
      </w:r>
    </w:p>
    <w:p w14:paraId="32DDFAFC" w14:textId="77777777" w:rsidR="009F092F" w:rsidRPr="00104BBA" w:rsidRDefault="009F092F" w:rsidP="002478C1">
      <w:pPr>
        <w:spacing w:before="120" w:after="120" w:line="240" w:lineRule="auto"/>
        <w:jc w:val="both"/>
        <w:rPr>
          <w:rFonts w:ascii="Arial" w:hAnsi="Arial"/>
          <w:sz w:val="24"/>
        </w:rPr>
      </w:pPr>
      <w:r>
        <w:rPr>
          <w:rFonts w:ascii="Arial" w:hAnsi="Arial"/>
          <w:sz w:val="24"/>
        </w:rPr>
        <w:t>2. Določbe tega člena o tobačnih izdelkih se dodajo določbam iz Kraljeve uredbe 579/2017 z dne 9. junija 2017.</w:t>
      </w:r>
    </w:p>
    <w:p w14:paraId="353B494A" w14:textId="77777777" w:rsidR="00EB121F" w:rsidRPr="00034253" w:rsidRDefault="00EB121F" w:rsidP="002478C1">
      <w:pPr>
        <w:spacing w:before="120" w:after="120" w:line="240" w:lineRule="auto"/>
        <w:jc w:val="both"/>
        <w:rPr>
          <w:rFonts w:ascii="Arial" w:hAnsi="Arial"/>
          <w:sz w:val="24"/>
        </w:rPr>
      </w:pPr>
    </w:p>
    <w:p w14:paraId="03567BAC" w14:textId="6DA61D89" w:rsidR="00643772" w:rsidRPr="00034253" w:rsidRDefault="009D6273" w:rsidP="00512B74">
      <w:pPr>
        <w:keepNext/>
        <w:keepLines/>
        <w:spacing w:before="120" w:after="120" w:line="240" w:lineRule="auto"/>
        <w:jc w:val="both"/>
        <w:rPr>
          <w:rFonts w:ascii="Arial" w:hAnsi="Arial"/>
          <w:b/>
          <w:i/>
          <w:sz w:val="24"/>
        </w:rPr>
      </w:pPr>
      <w:r>
        <w:rPr>
          <w:rFonts w:ascii="Arial" w:hAnsi="Arial"/>
          <w:b/>
          <w:sz w:val="24"/>
        </w:rPr>
        <w:t xml:space="preserve">Člen 44. </w:t>
      </w:r>
      <w:r>
        <w:rPr>
          <w:rFonts w:ascii="Arial" w:hAnsi="Arial"/>
          <w:b/>
          <w:i/>
          <w:sz w:val="24"/>
        </w:rPr>
        <w:t>Ločeno zbiranje plastenk</w:t>
      </w:r>
    </w:p>
    <w:p w14:paraId="1488804E"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Za plastične proizvode iz dela E Priloge IV se za namene recikliranja uporabljajo naslednji cilji glede ločenega zbiranja: </w:t>
      </w:r>
    </w:p>
    <w:p w14:paraId="53AEDE6A" w14:textId="77777777" w:rsidR="009F092F" w:rsidRPr="00034253" w:rsidRDefault="009F092F" w:rsidP="00512B74">
      <w:pPr>
        <w:spacing w:before="120" w:after="120" w:line="240" w:lineRule="auto"/>
        <w:jc w:val="both"/>
        <w:rPr>
          <w:rFonts w:ascii="Arial" w:hAnsi="Arial"/>
          <w:sz w:val="24"/>
        </w:rPr>
      </w:pPr>
      <w:r>
        <w:rPr>
          <w:rFonts w:ascii="Arial" w:hAnsi="Arial"/>
          <w:sz w:val="24"/>
        </w:rPr>
        <w:t xml:space="preserve">a) najkasneje do leta 2025, 77 % teže proizvodov, danih na trg; </w:t>
      </w:r>
    </w:p>
    <w:p w14:paraId="76977D8B" w14:textId="77777777" w:rsidR="009F092F" w:rsidRPr="00034253" w:rsidRDefault="009F092F" w:rsidP="00512B74">
      <w:pPr>
        <w:spacing w:before="120" w:after="120" w:line="240" w:lineRule="auto"/>
        <w:jc w:val="both"/>
        <w:rPr>
          <w:rFonts w:ascii="Arial" w:hAnsi="Arial"/>
          <w:sz w:val="24"/>
        </w:rPr>
      </w:pPr>
      <w:r>
        <w:rPr>
          <w:rFonts w:ascii="Arial" w:hAnsi="Arial"/>
          <w:sz w:val="24"/>
        </w:rPr>
        <w:t xml:space="preserve">b) najkasneje do leta 2029, 90 % teže proizvodov, danih na trg. </w:t>
      </w:r>
    </w:p>
    <w:p w14:paraId="2CB8330F" w14:textId="43A8AF0F" w:rsidR="009F092F" w:rsidRPr="00034253" w:rsidRDefault="009F092F" w:rsidP="002478C1">
      <w:pPr>
        <w:spacing w:before="120" w:after="120" w:line="240" w:lineRule="auto"/>
        <w:jc w:val="both"/>
        <w:rPr>
          <w:rFonts w:ascii="Arial" w:hAnsi="Arial"/>
          <w:sz w:val="24"/>
        </w:rPr>
      </w:pPr>
      <w:r>
        <w:rPr>
          <w:rFonts w:ascii="Arial" w:hAnsi="Arial"/>
          <w:sz w:val="24"/>
        </w:rPr>
        <w:t>Dajanje teh proizvodov na trg se lahko šteje za enako količini ustvarjenih odpadkov, ki izhajajo iz njih, vključno z odpadki, prisotnimi v smeteh, v zadevnem letu.</w:t>
      </w:r>
    </w:p>
    <w:p w14:paraId="318BA024" w14:textId="77777777" w:rsidR="009F092F" w:rsidRPr="00034253" w:rsidRDefault="009F092F" w:rsidP="002478C1">
      <w:pPr>
        <w:spacing w:before="120" w:after="120" w:line="240" w:lineRule="auto"/>
        <w:jc w:val="both"/>
        <w:rPr>
          <w:rFonts w:ascii="Arial" w:hAnsi="Arial"/>
          <w:sz w:val="24"/>
        </w:rPr>
      </w:pPr>
      <w:r>
        <w:rPr>
          <w:rFonts w:ascii="Arial" w:hAnsi="Arial"/>
          <w:sz w:val="24"/>
        </w:rPr>
        <w:t>2. V ta namen so v izvedbenih predpisih za embalažo navedeni potrebni ukrepi za dosego teh ciljev, po možnosti vključno s sistemi kavcij in vračil ali cilji v shemah razširjene odgovornosti proizvajalca.</w:t>
      </w:r>
    </w:p>
    <w:p w14:paraId="46F36AD6" w14:textId="77777777" w:rsidR="00643772" w:rsidRPr="00034253" w:rsidRDefault="00643772" w:rsidP="002478C1">
      <w:pPr>
        <w:spacing w:before="120" w:after="120" w:line="240" w:lineRule="auto"/>
        <w:jc w:val="both"/>
        <w:rPr>
          <w:rFonts w:ascii="Arial" w:hAnsi="Arial"/>
          <w:sz w:val="24"/>
        </w:rPr>
      </w:pPr>
    </w:p>
    <w:p w14:paraId="4AB8D535" w14:textId="4EB0B7EF" w:rsidR="00905B3C" w:rsidRPr="005E6A73" w:rsidRDefault="00905B3C" w:rsidP="00512B74">
      <w:pPr>
        <w:keepNext/>
        <w:keepLines/>
        <w:spacing w:before="120" w:after="120" w:line="240" w:lineRule="auto"/>
        <w:jc w:val="both"/>
        <w:rPr>
          <w:rFonts w:ascii="Arial" w:hAnsi="Arial"/>
          <w:b/>
          <w:i/>
          <w:sz w:val="24"/>
        </w:rPr>
      </w:pPr>
      <w:r>
        <w:rPr>
          <w:rFonts w:ascii="Arial" w:hAnsi="Arial"/>
          <w:b/>
          <w:sz w:val="24"/>
        </w:rPr>
        <w:t xml:space="preserve">Člen 45. </w:t>
      </w:r>
      <w:r>
        <w:rPr>
          <w:rFonts w:ascii="Arial" w:hAnsi="Arial"/>
          <w:b/>
          <w:i/>
          <w:sz w:val="24"/>
        </w:rPr>
        <w:t>Sheme razširjene odgovornosti proizvajalca</w:t>
      </w:r>
    </w:p>
    <w:p w14:paraId="69EC59CE" w14:textId="3950B6A1" w:rsidR="009F092F" w:rsidRPr="00034253" w:rsidRDefault="009F092F" w:rsidP="002478C1">
      <w:pPr>
        <w:spacing w:before="120" w:after="120" w:line="240" w:lineRule="auto"/>
        <w:jc w:val="both"/>
        <w:rPr>
          <w:rFonts w:ascii="Arial" w:hAnsi="Arial"/>
          <w:sz w:val="24"/>
        </w:rPr>
      </w:pPr>
      <w:r>
        <w:rPr>
          <w:rFonts w:ascii="Arial" w:hAnsi="Arial"/>
          <w:sz w:val="24"/>
        </w:rPr>
        <w:t xml:space="preserve">1. Vlada sprejme zakonske sheme razširjene odgovornosti proizvajalca za plastične proizvode za enkratno uporabo, navedene v delu F Priloge IV. Ta shema je sprejeta pred 1. januarjem 2025 za plastične proizvode za enkratno uporabo razen embalaže v skladu z delom F(1) in za proizvode iz dela F(2)(1) in dela F(2)(2) ter pred 6. januarjem 2023 za preostanek proizvodov iz dela F(1) in dela F(2)(3) Priloge IV. </w:t>
      </w:r>
    </w:p>
    <w:p w14:paraId="2B3E1E16" w14:textId="77777777" w:rsidR="009F092F" w:rsidRPr="00034253" w:rsidRDefault="009F092F" w:rsidP="002478C1">
      <w:pPr>
        <w:spacing w:before="120" w:after="120" w:line="240" w:lineRule="auto"/>
        <w:jc w:val="both"/>
        <w:rPr>
          <w:rFonts w:ascii="Arial" w:hAnsi="Arial"/>
          <w:sz w:val="24"/>
        </w:rPr>
      </w:pPr>
      <w:r>
        <w:rPr>
          <w:rFonts w:ascii="Arial" w:hAnsi="Arial"/>
          <w:sz w:val="24"/>
        </w:rPr>
        <w:t>2. V okviru shem razširjene odgovornosti proizvajalca za plastične proizvode za enkratno uporabo iz dela F(1) Priloge IV proizvajalci plastičnih proizvodov za enkratno uporabo poleg stroškov iz člena 38 krijejo tudi naslednje stroške, v kolikor še niso vključeni:</w:t>
      </w:r>
    </w:p>
    <w:p w14:paraId="0914FB33" w14:textId="687B12B5" w:rsidR="009F092F" w:rsidRPr="00034253" w:rsidRDefault="009F092F" w:rsidP="002478C1">
      <w:pPr>
        <w:spacing w:before="120" w:after="120" w:line="240" w:lineRule="auto"/>
        <w:jc w:val="both"/>
        <w:rPr>
          <w:rFonts w:ascii="Arial" w:hAnsi="Arial"/>
          <w:sz w:val="24"/>
        </w:rPr>
      </w:pPr>
      <w:r>
        <w:rPr>
          <w:rFonts w:ascii="Arial" w:hAnsi="Arial"/>
          <w:sz w:val="24"/>
        </w:rPr>
        <w:t>a) stroške ukrepov za ozaveščanje iz člena 46;</w:t>
      </w:r>
    </w:p>
    <w:p w14:paraId="04F598C4"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b) stroške zbiranja odpadkov za zavržene proizvode v javnih sistemih zbiranja, vključno z infrastrukturo in njenim delovanjem, ter nadaljnjim prevozom in obdelavo odpadkov, ter </w:t>
      </w:r>
    </w:p>
    <w:p w14:paraId="5CF24462" w14:textId="77777777" w:rsidR="009F092F" w:rsidRPr="00034253" w:rsidRDefault="009F092F" w:rsidP="002478C1">
      <w:pPr>
        <w:spacing w:before="120" w:after="120" w:line="240" w:lineRule="auto"/>
        <w:jc w:val="both"/>
        <w:rPr>
          <w:rFonts w:ascii="Arial" w:hAnsi="Arial"/>
          <w:sz w:val="24"/>
        </w:rPr>
      </w:pPr>
      <w:r>
        <w:rPr>
          <w:rFonts w:ascii="Arial" w:hAnsi="Arial"/>
          <w:sz w:val="24"/>
        </w:rPr>
        <w:t>c) stroške čiščenja smeti, ustvarjenih z navedenimi proizvodi, in njihovega nadaljnjega prevoza ter obdelave.</w:t>
      </w:r>
    </w:p>
    <w:p w14:paraId="553651BF" w14:textId="77777777" w:rsidR="009F092F" w:rsidRPr="00034253" w:rsidRDefault="009F092F" w:rsidP="002478C1">
      <w:pPr>
        <w:spacing w:before="120" w:after="120" w:line="240" w:lineRule="auto"/>
        <w:jc w:val="both"/>
        <w:rPr>
          <w:rFonts w:ascii="Arial" w:hAnsi="Arial"/>
          <w:sz w:val="24"/>
        </w:rPr>
      </w:pPr>
      <w:r>
        <w:rPr>
          <w:rFonts w:ascii="Arial" w:hAnsi="Arial"/>
          <w:sz w:val="24"/>
        </w:rPr>
        <w:t>3. V okviru shem odgovornosti, razvitih za plastične proizvode, navedene v delu F(2) Priloge IV v skladu s členom 38, proizvajalci krijejo vsaj naslednje stroške:</w:t>
      </w:r>
    </w:p>
    <w:p w14:paraId="1FEAE6AD" w14:textId="548989E3" w:rsidR="009F092F" w:rsidRPr="00034253" w:rsidRDefault="009F092F" w:rsidP="002478C1">
      <w:pPr>
        <w:spacing w:before="120" w:after="120" w:line="240" w:lineRule="auto"/>
        <w:jc w:val="both"/>
        <w:rPr>
          <w:rFonts w:ascii="Arial" w:hAnsi="Arial"/>
          <w:sz w:val="24"/>
        </w:rPr>
      </w:pPr>
      <w:r>
        <w:rPr>
          <w:rFonts w:ascii="Arial" w:hAnsi="Arial"/>
          <w:sz w:val="24"/>
        </w:rPr>
        <w:t>a) stroške ukrepov za ozaveščanje iz člena 46;</w:t>
      </w:r>
    </w:p>
    <w:p w14:paraId="11A04FF8" w14:textId="30C18000" w:rsidR="009F092F" w:rsidRPr="00034253" w:rsidRDefault="009F092F" w:rsidP="002478C1">
      <w:pPr>
        <w:spacing w:before="120" w:after="120" w:line="240" w:lineRule="auto"/>
        <w:jc w:val="both"/>
        <w:rPr>
          <w:rFonts w:ascii="Arial" w:hAnsi="Arial"/>
          <w:sz w:val="24"/>
        </w:rPr>
      </w:pPr>
      <w:r>
        <w:rPr>
          <w:rFonts w:ascii="Arial" w:hAnsi="Arial"/>
          <w:sz w:val="24"/>
        </w:rPr>
        <w:t>b) stroške čiščenja smeti, ustvarjenih z navedenimi proizvodi, vključno s čiščenjem sanitarne infrastrukture in infrastrukture za čiščenje vode, ter njihovim nadaljnjim prevozom in obdelavo, ter</w:t>
      </w:r>
    </w:p>
    <w:p w14:paraId="4E289DC2" w14:textId="77777777" w:rsidR="009F092F" w:rsidRPr="00034253" w:rsidRDefault="009F092F" w:rsidP="002478C1">
      <w:pPr>
        <w:spacing w:before="120" w:after="120" w:line="240" w:lineRule="auto"/>
        <w:jc w:val="both"/>
        <w:rPr>
          <w:rFonts w:ascii="Arial" w:hAnsi="Arial"/>
          <w:sz w:val="24"/>
        </w:rPr>
      </w:pPr>
      <w:r>
        <w:rPr>
          <w:rFonts w:ascii="Arial" w:hAnsi="Arial"/>
          <w:sz w:val="24"/>
        </w:rPr>
        <w:t>c) stroške zbiranja podatkov in informacij, bodisi v okviru rednega zbiranja ali ad hoc zbiranja za redko izpuščanje ali nepravilno odlaganje odpadkov v okolje.</w:t>
      </w:r>
    </w:p>
    <w:p w14:paraId="0738EBF4" w14:textId="3B7BA507" w:rsidR="009F092F" w:rsidRPr="00034253" w:rsidRDefault="009F092F" w:rsidP="002478C1">
      <w:pPr>
        <w:spacing w:before="120" w:after="120" w:line="240" w:lineRule="auto"/>
        <w:jc w:val="both"/>
        <w:rPr>
          <w:rFonts w:ascii="Arial" w:hAnsi="Arial"/>
          <w:sz w:val="24"/>
        </w:rPr>
      </w:pPr>
      <w:r>
        <w:rPr>
          <w:rFonts w:ascii="Arial" w:hAnsi="Arial"/>
          <w:sz w:val="24"/>
        </w:rPr>
        <w:t xml:space="preserve">V primeru tobačnih izdelkov proizvajalci krijejo tudi stroške zbiranja odpadkov za zavržene proizvode v javnih sistemih zbiranja, vključno z infrastrukturo in njenim delovanjem, ter </w:t>
      </w:r>
      <w:r>
        <w:rPr>
          <w:rFonts w:ascii="Arial" w:hAnsi="Arial"/>
          <w:sz w:val="24"/>
        </w:rPr>
        <w:lastRenderedPageBreak/>
        <w:t xml:space="preserve">nadaljnjim prevozom in obdelavo odpadkov. Ti stroški lahko vključujejo postavitev posebne infrastrukture za zbiranje odpadkov iz teh proizvodov, kot so primerne posode za odpadke, na mestih, kjer so smeti iz teh odpadkov skoncentrirane. Podobno lahko vključujejo stroške, povezane z ukrepi za razvoj nadomestnih možnosti in preprečevalnimi ukrepi, namenjenimi zmanjšanju ustvarjenih odpadkov in povečanju predelave materialov. </w:t>
      </w:r>
    </w:p>
    <w:p w14:paraId="2DC0A644" w14:textId="1176D609" w:rsidR="009F092F" w:rsidRPr="00034253" w:rsidRDefault="009F092F" w:rsidP="002478C1">
      <w:pPr>
        <w:spacing w:before="120" w:after="120" w:line="240" w:lineRule="auto"/>
        <w:jc w:val="both"/>
        <w:rPr>
          <w:rFonts w:ascii="Arial" w:hAnsi="Arial"/>
          <w:sz w:val="24"/>
          <w:szCs w:val="24"/>
        </w:rPr>
      </w:pPr>
      <w:r>
        <w:rPr>
          <w:rFonts w:ascii="Arial" w:hAnsi="Arial"/>
          <w:sz w:val="24"/>
          <w:szCs w:val="24"/>
        </w:rPr>
        <w:t>4. Stroški, ki se krijejo v skladu z odstavkoma 2 in 3, ne presegajo stroškov, potrebnih za ekonomsko učinkovito izvedbo navedenih storitev, in so določeni pregledno med vključenimi posredniki. Stroški, ki nastanejo za čiščenje smeti, so omejeni na dejavnosti, ki jih redno izvajajo javni organi oziroma se izvajajo v njihovem imenu. Metoda za izračun je zasnovana tako, da omogoča sorazmeren izračun stroškov čiščenja smeti. Za zmanjšanje upravnih stroškov je dovoljeno določiti dolgovane zneske za stroške čiščenja smeti z določitvijo ustreznih fiksnih večletnih zneskov.</w:t>
      </w:r>
    </w:p>
    <w:p w14:paraId="52B74223" w14:textId="08F36F11" w:rsidR="009F092F" w:rsidRPr="00034253" w:rsidRDefault="009F092F" w:rsidP="002478C1">
      <w:pPr>
        <w:spacing w:before="120" w:after="120" w:line="240" w:lineRule="auto"/>
        <w:jc w:val="both"/>
        <w:rPr>
          <w:rFonts w:ascii="Arial" w:hAnsi="Arial"/>
          <w:sz w:val="24"/>
        </w:rPr>
      </w:pPr>
      <w:r>
        <w:rPr>
          <w:rFonts w:ascii="Arial" w:hAnsi="Arial"/>
          <w:sz w:val="24"/>
        </w:rPr>
        <w:t>5. Vlada pred 1. januarjem 2025 sprejme uredbo, v kateri razvije sheme razširjene odgovornosti proizvajalca za ribiško opremo v skladu s členoma 37 in 38. V tej uredbi so določeni minimalna nacionalna stopnja za zbiranje odpadne ribiške opreme, ki vsebuje plastiko, za recikliranje, in potrebni ukrepi za spremljanje ribiške opreme, ki vsebuje plastiko, ki je dana na trg, ter zbranih odpadkov. Proizvajalci ribiške opreme krijejo stroške ločenega zbiranja odpadkov za ribiško opremo, ki vsebuje plastiko, ki je bila dostavljena v pooblaščene objekte za zbiranje, kot so ustrezne pristaniške sprejemne zmogljivosti, v skladu s Kraljevo uredbo 1381/2002 z dne 20. decembra 2002, ali druge enakovredne sisteme zbiranja, ki ne spadajo na področje uporabe navedene kraljeve uredbe, in stroške njihovega nadaljnjega prevoza in obdelave ter stroške ozaveščanja v skladu s členom 46.</w:t>
      </w:r>
    </w:p>
    <w:p w14:paraId="5B7124D6" w14:textId="77777777" w:rsidR="009F092F" w:rsidRPr="00034253" w:rsidRDefault="009F092F" w:rsidP="002478C1">
      <w:pPr>
        <w:spacing w:before="120" w:after="120" w:line="240" w:lineRule="auto"/>
        <w:jc w:val="both"/>
        <w:rPr>
          <w:rFonts w:ascii="Arial" w:hAnsi="Arial"/>
          <w:sz w:val="24"/>
        </w:rPr>
      </w:pPr>
      <w:r>
        <w:rPr>
          <w:rFonts w:ascii="Arial" w:hAnsi="Arial"/>
          <w:sz w:val="24"/>
        </w:rPr>
        <w:t>Zahteve, sprejete v skladu s tem odstavkom, dopolnijo zahteve, ki se uporabljajo za odpadke z ribiških plovil v skladu z zakonodajo Evropske unije o pristaniških sprejemnih zmogljivostih.</w:t>
      </w:r>
    </w:p>
    <w:p w14:paraId="4C57BEA6" w14:textId="77777777" w:rsidR="00935EEE" w:rsidRPr="00034253" w:rsidRDefault="00935EEE" w:rsidP="002478C1">
      <w:pPr>
        <w:spacing w:before="120" w:after="120" w:line="240" w:lineRule="auto"/>
        <w:jc w:val="both"/>
        <w:rPr>
          <w:rFonts w:ascii="Arial" w:hAnsi="Arial"/>
          <w:sz w:val="24"/>
        </w:rPr>
      </w:pPr>
    </w:p>
    <w:p w14:paraId="2D1B68C7" w14:textId="7DF89E69" w:rsidR="00905B3C" w:rsidRPr="00034253" w:rsidRDefault="00905B3C" w:rsidP="00512B74">
      <w:pPr>
        <w:keepNext/>
        <w:keepLines/>
        <w:spacing w:before="120" w:after="120" w:line="240" w:lineRule="auto"/>
        <w:jc w:val="both"/>
        <w:rPr>
          <w:rFonts w:ascii="Arial" w:hAnsi="Arial"/>
          <w:b/>
          <w:i/>
          <w:color w:val="000000" w:themeColor="text1"/>
          <w:sz w:val="24"/>
        </w:rPr>
      </w:pPr>
      <w:r>
        <w:rPr>
          <w:rFonts w:ascii="Arial" w:hAnsi="Arial"/>
          <w:b/>
          <w:color w:val="000000" w:themeColor="text1"/>
          <w:sz w:val="24"/>
        </w:rPr>
        <w:t xml:space="preserve">Člen 46. </w:t>
      </w:r>
      <w:r>
        <w:rPr>
          <w:rFonts w:ascii="Arial" w:hAnsi="Arial"/>
          <w:b/>
          <w:i/>
          <w:color w:val="000000" w:themeColor="text1"/>
          <w:sz w:val="24"/>
        </w:rPr>
        <w:t>Ukrepi za ozaveščanje</w:t>
      </w:r>
    </w:p>
    <w:p w14:paraId="147E5DCE" w14:textId="110CEDE8" w:rsidR="009F092F" w:rsidRPr="00034253" w:rsidRDefault="009F092F" w:rsidP="002478C1">
      <w:pPr>
        <w:spacing w:before="120" w:after="120" w:line="240" w:lineRule="auto"/>
        <w:jc w:val="both"/>
        <w:rPr>
          <w:rFonts w:ascii="Arial" w:hAnsi="Arial"/>
          <w:sz w:val="24"/>
        </w:rPr>
      </w:pPr>
      <w:r>
        <w:rPr>
          <w:rFonts w:ascii="Arial" w:hAnsi="Arial"/>
          <w:sz w:val="24"/>
        </w:rPr>
        <w:t>1. Pristojni organi sprejmejo potrebne ukrepe za obveščanje potrošnikov in spodbujanje odgovornega ravnanja potrošnikov, zlasti med mladimi, da bi zmanjšali ustvarjanje smeti iz plastičnih proizvodov za enkratno uporabo, navedenih v delu F Priloge IV, in higienskih izdelkov za ženske iz dela d(1) Priloge IV.</w:t>
      </w:r>
    </w:p>
    <w:p w14:paraId="4EE164AD" w14:textId="77777777" w:rsidR="009F092F" w:rsidRPr="00034253" w:rsidRDefault="009F092F" w:rsidP="002478C1">
      <w:pPr>
        <w:spacing w:before="120" w:after="120" w:line="240" w:lineRule="auto"/>
        <w:jc w:val="both"/>
        <w:rPr>
          <w:rFonts w:ascii="Arial" w:hAnsi="Arial"/>
          <w:sz w:val="24"/>
        </w:rPr>
      </w:pPr>
      <w:r>
        <w:rPr>
          <w:rFonts w:ascii="Arial" w:hAnsi="Arial"/>
          <w:sz w:val="24"/>
        </w:rPr>
        <w:t>2. Poleg tega sprejmejo ukrepe za obveščanje potrošnikov plastičnih proizvodov za enkratno uporabo iz prejšnjega odstavka in uporabnike ribiške opreme, ki vsebuje plastiko, o:</w:t>
      </w:r>
    </w:p>
    <w:p w14:paraId="37E02D92" w14:textId="77777777" w:rsidR="009F092F" w:rsidRPr="00034253" w:rsidRDefault="009F092F" w:rsidP="002478C1">
      <w:pPr>
        <w:spacing w:before="120" w:after="120" w:line="240" w:lineRule="auto"/>
        <w:jc w:val="both"/>
        <w:rPr>
          <w:rFonts w:ascii="Arial" w:hAnsi="Arial"/>
          <w:sz w:val="24"/>
        </w:rPr>
      </w:pPr>
      <w:r>
        <w:rPr>
          <w:rFonts w:ascii="Arial" w:hAnsi="Arial"/>
          <w:sz w:val="24"/>
        </w:rPr>
        <w:t>a) dostopnosti nadomestnih proizvodov za večkratno uporabo, sistemov ponovne uporabe in možnostih ravnanja z odpadki za zadevne plastične proizvode za enkratno uporabo in ribiško opremo, ki vsebuje plastiko, ter dobrih praksah in dobrem ravnanju z odpadki, ki se izvajajo v skladu s členom 7;</w:t>
      </w:r>
    </w:p>
    <w:p w14:paraId="2E410305" w14:textId="77777777" w:rsidR="009F092F" w:rsidRPr="00A32D87" w:rsidRDefault="009F092F" w:rsidP="002478C1">
      <w:pPr>
        <w:spacing w:before="120" w:after="120" w:line="240" w:lineRule="auto"/>
        <w:jc w:val="both"/>
        <w:rPr>
          <w:rFonts w:ascii="Arial" w:hAnsi="Arial"/>
          <w:sz w:val="24"/>
        </w:rPr>
      </w:pPr>
      <w:r>
        <w:rPr>
          <w:rFonts w:ascii="Arial" w:hAnsi="Arial"/>
          <w:sz w:val="24"/>
        </w:rPr>
        <w:t>b) učinku nepravilnega odlaganja in drugega neprimernega odstranjevanja odpadkov iz zadevnih plastičnih proizvodov za enkratno uporabo in ribiške opreme, ki vsebuje plastiko, na okolje, zlasti na morsko okolje, in</w:t>
      </w:r>
    </w:p>
    <w:p w14:paraId="0F1DAD83" w14:textId="77777777" w:rsidR="009F092F" w:rsidRPr="00A32D87" w:rsidRDefault="009F092F" w:rsidP="002478C1">
      <w:pPr>
        <w:spacing w:before="120" w:after="120" w:line="240" w:lineRule="auto"/>
        <w:jc w:val="both"/>
        <w:rPr>
          <w:rFonts w:ascii="Arial" w:hAnsi="Arial"/>
          <w:sz w:val="24"/>
        </w:rPr>
      </w:pPr>
      <w:r>
        <w:rPr>
          <w:rFonts w:ascii="Arial" w:hAnsi="Arial"/>
          <w:sz w:val="24"/>
        </w:rPr>
        <w:t>c) učinkov neprimernih sredstev za odstranjevanje odpadkov iz zadevnih plastičnih proizvodov za enkratno uporabo na kanalizacijsko omrežje.</w:t>
      </w:r>
    </w:p>
    <w:p w14:paraId="5F639DE8" w14:textId="2197AEED" w:rsidR="00A74556" w:rsidRPr="00A32D87" w:rsidRDefault="00A74556" w:rsidP="002478C1">
      <w:pPr>
        <w:spacing w:before="120" w:after="120" w:line="240" w:lineRule="auto"/>
        <w:jc w:val="both"/>
        <w:rPr>
          <w:rFonts w:ascii="Arial" w:hAnsi="Arial"/>
          <w:b/>
          <w:sz w:val="24"/>
        </w:rPr>
      </w:pPr>
    </w:p>
    <w:p w14:paraId="531E7524" w14:textId="35D2C87E" w:rsidR="00A74556" w:rsidRPr="00A32D87" w:rsidRDefault="00867DF9" w:rsidP="00512B74">
      <w:pPr>
        <w:keepNext/>
        <w:keepLines/>
        <w:spacing w:before="120" w:after="120" w:line="240" w:lineRule="auto"/>
        <w:jc w:val="both"/>
        <w:rPr>
          <w:rFonts w:ascii="Arial" w:hAnsi="Arial"/>
          <w:b/>
          <w:i/>
          <w:sz w:val="24"/>
        </w:rPr>
      </w:pPr>
      <w:r>
        <w:rPr>
          <w:rFonts w:ascii="Arial" w:hAnsi="Arial"/>
          <w:b/>
          <w:sz w:val="24"/>
        </w:rPr>
        <w:lastRenderedPageBreak/>
        <w:t xml:space="preserve">Člen 47. </w:t>
      </w:r>
      <w:r>
        <w:rPr>
          <w:rFonts w:ascii="Arial" w:hAnsi="Arial"/>
          <w:b/>
          <w:i/>
          <w:sz w:val="24"/>
        </w:rPr>
        <w:t>Usklajevanje ukrepov</w:t>
      </w:r>
    </w:p>
    <w:p w14:paraId="1DB6707D" w14:textId="77777777" w:rsidR="009F092F" w:rsidRPr="00A32D87" w:rsidRDefault="009F092F" w:rsidP="002478C1">
      <w:pPr>
        <w:spacing w:before="120" w:after="120" w:line="240" w:lineRule="auto"/>
        <w:jc w:val="both"/>
        <w:rPr>
          <w:rFonts w:ascii="Arial" w:hAnsi="Arial"/>
          <w:sz w:val="24"/>
        </w:rPr>
      </w:pPr>
      <w:r>
        <w:rPr>
          <w:rFonts w:ascii="Arial" w:hAnsi="Arial"/>
          <w:sz w:val="24"/>
        </w:rPr>
        <w:t>1. Ukrepi, sprejeti v skladu s tem naslovom, so sestavni del programov ukrepov, določenih v skladu s predpisi o varstvu morskega okolja, predpisi o vodah in Kraljevo uredbo 1381/2002 z dne 20. decembra 2002. Ti ukrepi so skladni s temi programi in načrti.</w:t>
      </w:r>
    </w:p>
    <w:p w14:paraId="7B0635D0" w14:textId="380FA091" w:rsidR="009F092F" w:rsidRPr="00A32D87" w:rsidRDefault="009F092F" w:rsidP="002478C1">
      <w:pPr>
        <w:spacing w:before="120" w:after="120" w:line="240" w:lineRule="auto"/>
        <w:jc w:val="both"/>
        <w:rPr>
          <w:rFonts w:ascii="Arial" w:hAnsi="Arial"/>
          <w:sz w:val="24"/>
        </w:rPr>
      </w:pPr>
      <w:r>
        <w:rPr>
          <w:rFonts w:ascii="Arial" w:hAnsi="Arial"/>
          <w:sz w:val="24"/>
        </w:rPr>
        <w:t>2. Ukrepi, sprejeti v skladu s členi 40 do 45, so v skladu s zakonodajo Evropske unije o živilih za zagotovitev, da nista ogroženi higiena in varnost živil, in spodbujanje uporabe trajnostnih nadomestnih možnosti namesto plastike za enkratno uporabo, za materiale, namenjene za stik z živili, kjer je mogoče.</w:t>
      </w:r>
    </w:p>
    <w:p w14:paraId="3C3A33D7" w14:textId="55CDB55F" w:rsidR="00A74556" w:rsidRPr="00A32D87" w:rsidRDefault="00A74556" w:rsidP="002478C1">
      <w:pPr>
        <w:spacing w:before="120" w:after="120" w:line="240" w:lineRule="auto"/>
        <w:jc w:val="both"/>
        <w:rPr>
          <w:rFonts w:ascii="Arial" w:hAnsi="Arial"/>
          <w:sz w:val="24"/>
        </w:rPr>
      </w:pPr>
    </w:p>
    <w:p w14:paraId="78C6ADE6" w14:textId="77777777" w:rsidR="00F13023" w:rsidRDefault="00F13023" w:rsidP="002478C1">
      <w:pPr>
        <w:spacing w:before="120" w:after="120" w:line="240" w:lineRule="auto"/>
        <w:jc w:val="center"/>
        <w:rPr>
          <w:rFonts w:ascii="Arial" w:hAnsi="Arial"/>
          <w:b/>
          <w:sz w:val="24"/>
        </w:rPr>
      </w:pPr>
    </w:p>
    <w:p w14:paraId="57B81E4F" w14:textId="14DFFCB0" w:rsidR="00F13023" w:rsidRDefault="00F13023" w:rsidP="00512B74">
      <w:pPr>
        <w:keepNext/>
        <w:keepLines/>
        <w:spacing w:before="120" w:after="120" w:line="240" w:lineRule="auto"/>
        <w:jc w:val="center"/>
        <w:rPr>
          <w:rFonts w:ascii="Arial" w:hAnsi="Arial"/>
          <w:b/>
          <w:sz w:val="24"/>
        </w:rPr>
      </w:pPr>
      <w:r>
        <w:rPr>
          <w:rFonts w:ascii="Arial" w:hAnsi="Arial"/>
          <w:b/>
          <w:sz w:val="24"/>
        </w:rPr>
        <w:t>PRILOGA IV</w:t>
      </w:r>
    </w:p>
    <w:p w14:paraId="519E54A3" w14:textId="77777777" w:rsidR="00F13023" w:rsidRPr="00A32D87" w:rsidRDefault="00F13023" w:rsidP="00512B74">
      <w:pPr>
        <w:keepNext/>
        <w:keepLines/>
        <w:spacing w:before="120" w:after="120" w:line="240" w:lineRule="auto"/>
        <w:jc w:val="center"/>
        <w:rPr>
          <w:rFonts w:ascii="Arial" w:hAnsi="Arial"/>
          <w:sz w:val="24"/>
        </w:rPr>
      </w:pPr>
      <w:r>
        <w:rPr>
          <w:rFonts w:ascii="Arial" w:hAnsi="Arial"/>
          <w:b/>
          <w:sz w:val="24"/>
        </w:rPr>
        <w:t>Plastični predmeti za enkratno uporabo</w:t>
      </w:r>
    </w:p>
    <w:p w14:paraId="4221CA3B" w14:textId="77777777" w:rsidR="00F13023" w:rsidRPr="00A32D87" w:rsidRDefault="00F13023" w:rsidP="00512B74">
      <w:pPr>
        <w:keepNext/>
        <w:keepLines/>
        <w:spacing w:before="120" w:after="120" w:line="240" w:lineRule="auto"/>
        <w:jc w:val="both"/>
        <w:rPr>
          <w:rFonts w:ascii="Arial" w:hAnsi="Arial"/>
          <w:sz w:val="24"/>
        </w:rPr>
      </w:pPr>
      <w:r>
        <w:rPr>
          <w:rFonts w:ascii="Arial" w:hAnsi="Arial"/>
          <w:sz w:val="24"/>
        </w:rPr>
        <w:t>A. Plastični proizvodi za enkratno uporabo, za katere velja zmanjšanje:</w:t>
      </w:r>
    </w:p>
    <w:p w14:paraId="25580B2F"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1) lončki za pijačo, vključno z njihovimi pokrovčki in zamaški; </w:t>
      </w:r>
    </w:p>
    <w:p w14:paraId="3DB1C412" w14:textId="4A8FB8DC"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vsebniki za živila, kot so škatle s pokrovom ali brez njega, ki se uporabljajo za shranjevanje živil, ki: </w:t>
      </w:r>
    </w:p>
    <w:p w14:paraId="67BBB0A4" w14:textId="48190DF0"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a) so namenjena za takojšnje zaužitje iz posode na kraju samem ali jih potrošniki odnesejo s seboj; </w:t>
      </w:r>
    </w:p>
    <w:p w14:paraId="26747612"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b) se običajno zaužijejo iz posode in </w:t>
      </w:r>
    </w:p>
    <w:p w14:paraId="5CE258FE"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c) so pripravljena za zaužitje brez nadaljnje priprave, kot je kuhanje, vretje ali segrevanje, vključno s posodami za živila, ki se uporabljajo za hitro prehrano ali drugo hrano, namenjeno za takojšnje zaužitje, razen vsebnikov za pijačo, krožnikov, zavitkov in ovojev s hrano. </w:t>
      </w:r>
    </w:p>
    <w:p w14:paraId="727CFAE9" w14:textId="77777777" w:rsidR="00F13023" w:rsidRPr="00A32D87" w:rsidRDefault="00F13023" w:rsidP="00512B74">
      <w:pPr>
        <w:keepNext/>
        <w:keepLines/>
        <w:spacing w:before="120" w:after="120" w:line="240" w:lineRule="auto"/>
        <w:jc w:val="both"/>
        <w:rPr>
          <w:rFonts w:ascii="Arial" w:hAnsi="Arial"/>
          <w:sz w:val="24"/>
        </w:rPr>
      </w:pPr>
      <w:r>
        <w:rPr>
          <w:rFonts w:ascii="Arial" w:hAnsi="Arial"/>
          <w:sz w:val="24"/>
        </w:rPr>
        <w:t xml:space="preserve">B. Plastični proizvodi za enkratno uporabo, za katere veljajo omejitve dajanja na trg: </w:t>
      </w:r>
    </w:p>
    <w:p w14:paraId="3FB2B967"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1) bombažne palčke, razen tistih, ki so zajete v Kraljevi uredbi 1591/2009 z dne 16. oktobra 2009 o ureditvi medicinskih pripomočkov; </w:t>
      </w:r>
    </w:p>
    <w:p w14:paraId="467F6887"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pribor (vilice, noži, žlice, palčke); </w:t>
      </w:r>
    </w:p>
    <w:p w14:paraId="20D9E128"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3) krožniki; </w:t>
      </w:r>
    </w:p>
    <w:p w14:paraId="619F746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4) slamice, razen tistih, ki so zajete v Kraljevi uredbi 1591/2009 z dne 16. oktobra 2009;</w:t>
      </w:r>
    </w:p>
    <w:p w14:paraId="3D41681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5) mešalne palčke za pijače; </w:t>
      </w:r>
    </w:p>
    <w:p w14:paraId="1142F793"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6) palčke za pritrditev na balone in podporo balonov, razen balonov za industrijsko ali drugo poklicno rabo in uporabo, ki se ne delijo potrošnikom, vključno z mehanizmi takih palčk; </w:t>
      </w:r>
    </w:p>
    <w:p w14:paraId="5120853D"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7) vsebniki za živila v skladu z delom A(2) iz ekspandiranega polistirena; </w:t>
      </w:r>
    </w:p>
    <w:p w14:paraId="67A44FE5"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8) vsebniki za pijačo iz ekspandiranega polistirena, vključno z njihovimi pokrovčki in zamaški; </w:t>
      </w:r>
    </w:p>
    <w:p w14:paraId="259A031F"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9) lončki za pijačo iz ekspandiranega polistirena, vključno z njihovimi pokrovčki in zamaški.</w:t>
      </w:r>
    </w:p>
    <w:p w14:paraId="20768A90" w14:textId="77777777" w:rsidR="00F13023" w:rsidRPr="00A32D87" w:rsidRDefault="00F13023" w:rsidP="002478C1">
      <w:pPr>
        <w:spacing w:before="120" w:after="120" w:line="240" w:lineRule="auto"/>
        <w:jc w:val="both"/>
        <w:rPr>
          <w:rFonts w:ascii="Arial" w:hAnsi="Arial"/>
          <w:sz w:val="24"/>
        </w:rPr>
      </w:pPr>
      <w:r>
        <w:rPr>
          <w:rFonts w:ascii="Arial" w:hAnsi="Arial"/>
          <w:sz w:val="24"/>
        </w:rPr>
        <w:lastRenderedPageBreak/>
        <w:t>C. Plastični proizvodi za enkratno uporabo, za katere veljajo zahteve okoljsko primerne zasnove</w:t>
      </w:r>
    </w:p>
    <w:p w14:paraId="7EAE8908" w14:textId="77777777" w:rsidR="00F13023" w:rsidRPr="00A32D87" w:rsidRDefault="00F13023" w:rsidP="002478C1">
      <w:pPr>
        <w:spacing w:before="120" w:after="120" w:line="240" w:lineRule="auto"/>
        <w:jc w:val="both"/>
        <w:rPr>
          <w:rFonts w:ascii="Arial" w:hAnsi="Arial"/>
          <w:sz w:val="24"/>
        </w:rPr>
      </w:pPr>
      <w:r>
        <w:rPr>
          <w:rFonts w:ascii="Arial" w:hAnsi="Arial"/>
          <w:sz w:val="24"/>
        </w:rPr>
        <w:t xml:space="preserve">Vsebniki za pijače s prostornino do treh litrov, torej posode, ki se uporabljajo za tekočine, kot so steklenice za pijače, vključno z njihovimi pokrovčki in zamaški, ter sestavljena embalaža za pijače, vključno s pokrovčki in zamaški, vendar ne: </w:t>
      </w:r>
    </w:p>
    <w:p w14:paraId="08CBE62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a) stekleni ali kovinski vsebniki za pijače, katerih pokrovčki in zamaški so narejeni iz plastike; </w:t>
      </w:r>
    </w:p>
    <w:p w14:paraId="11483AF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b) vsebniki za pijače, ki so namenjeni in se uporabljajo za živila za posebne zdravstvene namene, kot so opredeljena v členu 2(g) Uredbe (EU) št. 609/2013 Evropskega parlamenta in Sveta z dne 12. junija 2013 o živilih, namenjenih dojenčkom in majhnim otrokom, živilih za posebne zdravstvene namene in popolnih prehranskih nadomestkih za nadzor nad telesno težo ter razveljavitvi Direktive Sveta 92/52/EGS, direktiv Komisije 96/8/ES, 1999/21/ES, 2006/125/ES in 2006/141/ES, Direktive 2009/39/ES Evropskega parlamenta in Sveta ter uredb Komisije (ES) št. 41/2009 in (ES) št. 953/2009, ki so v tekoči obliki. </w:t>
      </w:r>
    </w:p>
    <w:p w14:paraId="1B0AA0F9" w14:textId="5DA82798" w:rsidR="00F13023" w:rsidRPr="00A32D87" w:rsidRDefault="00F13023" w:rsidP="00512B74">
      <w:pPr>
        <w:keepNext/>
        <w:keepLines/>
        <w:spacing w:before="120" w:after="120" w:line="240" w:lineRule="auto"/>
        <w:jc w:val="both"/>
        <w:rPr>
          <w:rFonts w:ascii="Arial" w:hAnsi="Arial"/>
          <w:sz w:val="24"/>
        </w:rPr>
      </w:pPr>
      <w:r>
        <w:rPr>
          <w:rFonts w:ascii="Arial" w:hAnsi="Arial"/>
          <w:sz w:val="24"/>
        </w:rPr>
        <w:t xml:space="preserve">D. Plastični proizvodi za enkratno uporabo, za katere veljajo zahteve glede označevanja: </w:t>
      </w:r>
    </w:p>
    <w:p w14:paraId="01CE2D6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1) higienski vložki, tamponi in aplikatorji tamponov;</w:t>
      </w:r>
    </w:p>
    <w:p w14:paraId="5DAF8933"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vlažne brisače, torej predhodno navlažene brisače za osebno higieno in gospodinjsko rabo; </w:t>
      </w:r>
    </w:p>
    <w:p w14:paraId="322F54C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3) tobačni izdelki s filtri in filtri, ki se tržijo za uporabo skupaj s tobačnimi izdelki; </w:t>
      </w:r>
    </w:p>
    <w:p w14:paraId="5CD337D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4) lončki za pijače.</w:t>
      </w:r>
    </w:p>
    <w:p w14:paraId="2E11469C" w14:textId="77777777" w:rsidR="00F13023" w:rsidRPr="00A32D87" w:rsidRDefault="00F13023" w:rsidP="002478C1">
      <w:pPr>
        <w:spacing w:before="120" w:after="120" w:line="240" w:lineRule="auto"/>
        <w:jc w:val="both"/>
        <w:rPr>
          <w:rFonts w:ascii="Arial" w:hAnsi="Arial"/>
          <w:sz w:val="24"/>
        </w:rPr>
      </w:pPr>
      <w:r>
        <w:rPr>
          <w:rFonts w:ascii="Arial" w:hAnsi="Arial"/>
          <w:sz w:val="24"/>
        </w:rPr>
        <w:t>E. Plastični proizvodi za enkratno uporabo, za katere veljajo zahteve glede ločenega zbiranja in okoljsko primerne zasnove</w:t>
      </w:r>
    </w:p>
    <w:p w14:paraId="67CEA7E9" w14:textId="77777777" w:rsidR="00F13023" w:rsidRDefault="00F13023" w:rsidP="00512B74">
      <w:pPr>
        <w:keepNext/>
        <w:keepLines/>
        <w:spacing w:before="120" w:after="120" w:line="240" w:lineRule="auto"/>
        <w:jc w:val="both"/>
        <w:rPr>
          <w:rFonts w:ascii="Arial" w:hAnsi="Arial"/>
          <w:sz w:val="24"/>
        </w:rPr>
      </w:pPr>
      <w:r>
        <w:rPr>
          <w:rFonts w:ascii="Arial" w:hAnsi="Arial"/>
          <w:sz w:val="24"/>
        </w:rPr>
        <w:t xml:space="preserve">Steklenice za pijače s prostornino do treh litrov, vključno z njihovimi pokrovčki in zamaški, vendar ne: </w:t>
      </w:r>
    </w:p>
    <w:p w14:paraId="7E0C7C4B"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a) steklene ali kovinske steklenice za pijače, katerih pokrovčki in zamaški so narejeni iz plastike;</w:t>
      </w:r>
    </w:p>
    <w:p w14:paraId="4009439B"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b) steklenice za pijače, ki so namenjene in se uporabljajo za živila za posebne zdravstvene namene, kot so opredeljena v členu 2(g) Uredbe (EU) št. 609/2013 Evropskega parlamenta in Sveta z dne 12. junija 2013, ki so v tekoči obliki.</w:t>
      </w:r>
    </w:p>
    <w:p w14:paraId="3E735C9D" w14:textId="043895DF" w:rsidR="00F13023" w:rsidRPr="00A32D87" w:rsidRDefault="00F13023" w:rsidP="002478C1">
      <w:pPr>
        <w:spacing w:before="120" w:after="120" w:line="240" w:lineRule="auto"/>
        <w:jc w:val="both"/>
        <w:rPr>
          <w:rFonts w:ascii="Arial" w:hAnsi="Arial"/>
          <w:sz w:val="24"/>
        </w:rPr>
      </w:pPr>
      <w:r>
        <w:rPr>
          <w:rFonts w:ascii="Arial" w:hAnsi="Arial"/>
          <w:sz w:val="24"/>
        </w:rPr>
        <w:t>F. Plastični proizvodi, za katere se uporablja člen 45 o razširjeni odgovornosti proizvajalca in člen 46 o ukrepih za ozaveščanje:</w:t>
      </w:r>
    </w:p>
    <w:p w14:paraId="6AB4BB90" w14:textId="60F8E1CE" w:rsidR="00F13023" w:rsidRPr="00A32D87" w:rsidRDefault="00F13023" w:rsidP="00512B74">
      <w:pPr>
        <w:keepNext/>
        <w:keepLines/>
        <w:spacing w:before="120" w:after="120" w:line="240" w:lineRule="auto"/>
        <w:jc w:val="both"/>
        <w:rPr>
          <w:rFonts w:ascii="Arial" w:hAnsi="Arial"/>
          <w:sz w:val="24"/>
        </w:rPr>
      </w:pPr>
      <w:r>
        <w:rPr>
          <w:rFonts w:ascii="Arial" w:hAnsi="Arial"/>
          <w:sz w:val="24"/>
        </w:rPr>
        <w:t>1. plastični proizvodi za enkratno uporabo, za katere velja člena 45(2) o razširjeni odgovornosti proizvajalca:</w:t>
      </w:r>
    </w:p>
    <w:p w14:paraId="328C7CEC" w14:textId="09DA2BC9" w:rsidR="00F13023" w:rsidRPr="00A32D87" w:rsidRDefault="00F13023" w:rsidP="002F35DA">
      <w:pPr>
        <w:spacing w:before="120" w:after="120" w:line="240" w:lineRule="auto"/>
        <w:ind w:left="709"/>
        <w:jc w:val="both"/>
        <w:rPr>
          <w:rFonts w:ascii="Arial" w:hAnsi="Arial"/>
          <w:sz w:val="24"/>
        </w:rPr>
      </w:pPr>
      <w:r>
        <w:rPr>
          <w:rFonts w:ascii="Arial" w:hAnsi="Arial"/>
          <w:sz w:val="24"/>
        </w:rPr>
        <w:t>1) vsebniki za živila, kot so škatle s pokrovom ali brez njega, ki se uporabljajo za shranjevanje živil, ki:</w:t>
      </w:r>
    </w:p>
    <w:p w14:paraId="52A13C01" w14:textId="55AABBB7" w:rsidR="00F13023" w:rsidRPr="00A32D87" w:rsidRDefault="00F13023" w:rsidP="005E6A73">
      <w:pPr>
        <w:spacing w:before="120" w:after="120" w:line="240" w:lineRule="auto"/>
        <w:ind w:left="709"/>
        <w:jc w:val="both"/>
        <w:rPr>
          <w:rFonts w:ascii="Arial" w:hAnsi="Arial"/>
          <w:sz w:val="24"/>
        </w:rPr>
      </w:pPr>
      <w:r>
        <w:rPr>
          <w:rFonts w:ascii="Arial" w:hAnsi="Arial"/>
          <w:sz w:val="24"/>
        </w:rPr>
        <w:t>a) so namenjena za takojšnje zaužitje iz posode na kraju samem ali jih potrošniki odnesejo s seboj;</w:t>
      </w:r>
    </w:p>
    <w:p w14:paraId="0E87DD24" w14:textId="599EA543" w:rsidR="00F13023" w:rsidRPr="00A32D87" w:rsidRDefault="00F13023" w:rsidP="005E6A73">
      <w:pPr>
        <w:spacing w:before="120" w:after="120" w:line="240" w:lineRule="auto"/>
        <w:ind w:left="709"/>
        <w:jc w:val="both"/>
        <w:rPr>
          <w:rFonts w:ascii="Arial" w:hAnsi="Arial"/>
          <w:sz w:val="24"/>
        </w:rPr>
      </w:pPr>
      <w:r>
        <w:rPr>
          <w:rFonts w:ascii="Arial" w:hAnsi="Arial"/>
          <w:sz w:val="24"/>
        </w:rPr>
        <w:t>b) se običajno zaužijejo iz posode;</w:t>
      </w:r>
    </w:p>
    <w:p w14:paraId="0D3B5B57" w14:textId="3D6DF30D" w:rsidR="00F13023" w:rsidRPr="00A32D87" w:rsidRDefault="00F13023" w:rsidP="005E6A73">
      <w:pPr>
        <w:spacing w:before="120" w:after="120" w:line="240" w:lineRule="auto"/>
        <w:ind w:left="709"/>
        <w:jc w:val="both"/>
        <w:rPr>
          <w:rFonts w:ascii="Arial" w:hAnsi="Arial"/>
          <w:sz w:val="24"/>
        </w:rPr>
      </w:pPr>
      <w:r>
        <w:rPr>
          <w:rFonts w:ascii="Arial" w:hAnsi="Arial"/>
          <w:sz w:val="24"/>
        </w:rPr>
        <w:t xml:space="preserve">c) so pripravljena za zaužitje brez nadaljnje priprave, kot je kuhanje, vretje ali segrevanje, vključno s posodami za živila, ki se uporabljajo za hitro prehrano ali </w:t>
      </w:r>
      <w:r>
        <w:rPr>
          <w:rFonts w:ascii="Arial" w:hAnsi="Arial"/>
          <w:sz w:val="24"/>
        </w:rPr>
        <w:lastRenderedPageBreak/>
        <w:t xml:space="preserve">drugo hrano, namenjeno za takojšnje zaužitje, razen vsebnikov za pijačo, krožnikov, zavitkov in ovojev s hrano; </w:t>
      </w:r>
    </w:p>
    <w:p w14:paraId="392BC0FE" w14:textId="48CCC619" w:rsidR="00F13023" w:rsidRPr="00A32D87" w:rsidRDefault="00F13023" w:rsidP="002F35DA">
      <w:pPr>
        <w:spacing w:before="120" w:after="120" w:line="240" w:lineRule="auto"/>
        <w:ind w:left="709"/>
        <w:jc w:val="both"/>
        <w:rPr>
          <w:rFonts w:ascii="Arial" w:hAnsi="Arial"/>
          <w:sz w:val="24"/>
        </w:rPr>
      </w:pPr>
      <w:r>
        <w:rPr>
          <w:rFonts w:ascii="Arial" w:hAnsi="Arial"/>
          <w:sz w:val="24"/>
        </w:rPr>
        <w:t>2) paketi in ovoji iz prožnega materiala, ki vsebujejo živila, namenjena za takojšnje zaužitje iz paketa ali ovoja brez nadaljnje priprave;</w:t>
      </w:r>
    </w:p>
    <w:p w14:paraId="5E97A670" w14:textId="777220C4" w:rsidR="00F13023" w:rsidRPr="00A32D87" w:rsidRDefault="00F13023" w:rsidP="002F35DA">
      <w:pPr>
        <w:spacing w:before="120" w:after="120" w:line="240" w:lineRule="auto"/>
        <w:ind w:left="709"/>
        <w:jc w:val="both"/>
        <w:rPr>
          <w:rFonts w:ascii="Arial" w:hAnsi="Arial"/>
          <w:sz w:val="24"/>
        </w:rPr>
      </w:pPr>
      <w:r>
        <w:rPr>
          <w:rFonts w:ascii="Arial" w:hAnsi="Arial"/>
          <w:sz w:val="24"/>
        </w:rPr>
        <w:t>3) vsebniki za pijače s prostornino do treh litrov, torej posode, ki se uporabljajo za tekočine, kot so steklenice za pijače, vključno z njihovimi pokrovčki, in sestavljena embalaža za pijače, vključno s pokrovčki in zamaški, vendar ne stekleni ali kovinski vsebniki za pijače, katerih pokrovčki in zamaški so narejeni iz plastike;</w:t>
      </w:r>
    </w:p>
    <w:p w14:paraId="7AD9128A" w14:textId="2C941904" w:rsidR="00F13023" w:rsidRPr="00A32D87" w:rsidRDefault="00F13023" w:rsidP="002F35DA">
      <w:pPr>
        <w:spacing w:before="120" w:after="120" w:line="240" w:lineRule="auto"/>
        <w:ind w:left="709"/>
        <w:jc w:val="both"/>
        <w:rPr>
          <w:rFonts w:ascii="Arial" w:hAnsi="Arial"/>
          <w:sz w:val="24"/>
        </w:rPr>
      </w:pPr>
      <w:r>
        <w:rPr>
          <w:rFonts w:ascii="Arial" w:hAnsi="Arial"/>
          <w:sz w:val="24"/>
        </w:rPr>
        <w:t>4) lončki za pijačo, vključno z njihovimi pokrovčki in zamaški;</w:t>
      </w:r>
    </w:p>
    <w:p w14:paraId="74A941FF" w14:textId="6734ABAE" w:rsidR="00F13023" w:rsidRPr="00A32D87" w:rsidRDefault="00F13023" w:rsidP="002F35DA">
      <w:pPr>
        <w:spacing w:before="120" w:after="120" w:line="240" w:lineRule="auto"/>
        <w:ind w:left="709"/>
        <w:jc w:val="both"/>
        <w:rPr>
          <w:rFonts w:ascii="Arial" w:hAnsi="Arial"/>
          <w:sz w:val="24"/>
        </w:rPr>
      </w:pPr>
      <w:r>
        <w:rPr>
          <w:rFonts w:ascii="Arial" w:hAnsi="Arial"/>
          <w:sz w:val="24"/>
        </w:rPr>
        <w:t>5) lahke plastične nosilne vrečke, kot so opredeljene v Kraljevi uredbi 293/2018 z dne 18 maja 2018;</w:t>
      </w:r>
    </w:p>
    <w:p w14:paraId="1C55DC3C" w14:textId="46FB8EDA" w:rsidR="00F13023" w:rsidRPr="00A32D87" w:rsidRDefault="00F13023" w:rsidP="00512B74">
      <w:pPr>
        <w:keepNext/>
        <w:keepLines/>
        <w:spacing w:before="120" w:after="120" w:line="240" w:lineRule="auto"/>
        <w:jc w:val="both"/>
        <w:rPr>
          <w:rFonts w:ascii="Arial" w:hAnsi="Arial"/>
          <w:sz w:val="24"/>
        </w:rPr>
      </w:pPr>
      <w:r>
        <w:rPr>
          <w:rFonts w:ascii="Arial" w:hAnsi="Arial"/>
          <w:sz w:val="24"/>
        </w:rPr>
        <w:t>2. plastični proizvodi za enkratno uporabo, za katere velja člena 45(3) o razširjeni odgovornosti proizvajalca:</w:t>
      </w:r>
    </w:p>
    <w:p w14:paraId="24EEA25F"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1) vlažne brisače, torej predhodno navlažene brisače za osebno higieno in gospodinjsko rabo;</w:t>
      </w:r>
    </w:p>
    <w:p w14:paraId="71D7CF4E"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2) baloni, razen balonov za industrijsko in drugo poklicno rabo in uporabo, ki se ne delijo potrošnikom;</w:t>
      </w:r>
    </w:p>
    <w:p w14:paraId="7F38D765"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3) tobačni izdelki s filtri in filtri, ki se tržijo za uporabo skupaj s tobačnimi izdelki.</w:t>
      </w:r>
    </w:p>
    <w:sectPr w:rsidR="00F13023" w:rsidRPr="00A32D87"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FBC26" w14:textId="77777777" w:rsidR="00B04509" w:rsidRDefault="00B04509" w:rsidP="009F2382">
      <w:pPr>
        <w:spacing w:after="0" w:line="240" w:lineRule="auto"/>
      </w:pPr>
      <w:r>
        <w:separator/>
      </w:r>
    </w:p>
  </w:endnote>
  <w:endnote w:type="continuationSeparator" w:id="0">
    <w:p w14:paraId="57DA55BE" w14:textId="77777777" w:rsidR="00B04509" w:rsidRDefault="00B04509" w:rsidP="009F2382">
      <w:pPr>
        <w:spacing w:after="0" w:line="240" w:lineRule="auto"/>
      </w:pPr>
      <w:r>
        <w:continuationSeparator/>
      </w:r>
    </w:p>
  </w:endnote>
  <w:endnote w:type="continuationNotice" w:id="1">
    <w:p w14:paraId="34C091F9" w14:textId="77777777" w:rsidR="00B04509" w:rsidRDefault="00B045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891639"/>
      <w:docPartObj>
        <w:docPartGallery w:val="Page Numbers (Bottom of Page)"/>
        <w:docPartUnique/>
      </w:docPartObj>
    </w:sdtPr>
    <w:sdtEndPr/>
    <w:sdtContent>
      <w:p w14:paraId="67F9EC45" w14:textId="20695983" w:rsidR="009F092F" w:rsidRDefault="009F092F">
        <w:pPr>
          <w:pStyle w:val="Footer"/>
          <w:jc w:val="right"/>
        </w:pPr>
        <w:r>
          <w:fldChar w:fldCharType="begin"/>
        </w:r>
        <w:r>
          <w:instrText>PAGE   \* MERGEFORMAT</w:instrText>
        </w:r>
        <w:r>
          <w:fldChar w:fldCharType="separate"/>
        </w:r>
        <w:r w:rsidR="00BC7AB0">
          <w:rPr>
            <w:noProof/>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51B67" w14:textId="77777777" w:rsidR="00B04509" w:rsidRDefault="00B04509" w:rsidP="009F2382">
      <w:pPr>
        <w:spacing w:after="0" w:line="240" w:lineRule="auto"/>
      </w:pPr>
      <w:r>
        <w:separator/>
      </w:r>
    </w:p>
  </w:footnote>
  <w:footnote w:type="continuationSeparator" w:id="0">
    <w:p w14:paraId="637CC6CB" w14:textId="77777777" w:rsidR="00B04509" w:rsidRDefault="00B04509" w:rsidP="009F2382">
      <w:pPr>
        <w:spacing w:after="0" w:line="240" w:lineRule="auto"/>
      </w:pPr>
      <w:r>
        <w:continuationSeparator/>
      </w:r>
    </w:p>
  </w:footnote>
  <w:footnote w:type="continuationNotice" w:id="1">
    <w:p w14:paraId="5CF0DFA2" w14:textId="77777777" w:rsidR="00B04509" w:rsidRDefault="00B0450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Header"/>
            <w:spacing w:line="120" w:lineRule="atLeast"/>
            <w:rPr>
              <w:rFonts w:ascii="Arial" w:hAnsi="Arial" w:cs="Arial"/>
              <w:position w:val="12"/>
              <w:sz w:val="14"/>
              <w:szCs w:val="14"/>
            </w:rPr>
          </w:pPr>
          <w:r>
            <w:rPr>
              <w:rFonts w:ascii="Arial" w:hAnsi="Arial"/>
              <w:sz w:val="14"/>
              <w:szCs w:val="14"/>
            </w:rPr>
            <w:object w:dxaOrig="954" w:dyaOrig="954"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pt" o:ole="">
                <v:imagedata r:id="rId1" o:title=""/>
              </v:shape>
              <o:OLEObject Type="Embed" ProgID="PBrush" ShapeID="_x0000_i1025" DrawAspect="Content" ObjectID="_1666422543" r:id="rId2"/>
            </w:object>
          </w:r>
        </w:p>
      </w:tc>
      <w:tc>
        <w:tcPr>
          <w:tcW w:w="4641" w:type="dxa"/>
          <w:vMerge w:val="restart"/>
          <w:vAlign w:val="center"/>
        </w:tcPr>
        <w:p w14:paraId="467E6C3D" w14:textId="78A3A593" w:rsidR="009F092F" w:rsidRPr="002478C1" w:rsidRDefault="009F092F" w:rsidP="002478C1">
          <w:pPr>
            <w:spacing w:after="0"/>
            <w:ind w:right="993"/>
            <w:rPr>
              <w:rFonts w:ascii="Arial" w:hAnsi="Arial" w:cs="Arial"/>
              <w:position w:val="12"/>
              <w:szCs w:val="14"/>
            </w:rPr>
          </w:pPr>
          <w:r>
            <w:rPr>
              <w:rFonts w:ascii="Arial" w:hAnsi="Arial"/>
              <w:szCs w:val="14"/>
            </w:rPr>
            <w:t>MINISTRSTVO ZA EKOLOŠKI PREHOD IN DEMOGRAFSKE SPREMEMBE</w:t>
          </w:r>
        </w:p>
      </w:tc>
      <w:tc>
        <w:tcPr>
          <w:tcW w:w="1701" w:type="dxa"/>
        </w:tcPr>
        <w:p w14:paraId="39A2C2CC" w14:textId="2FCC2A45" w:rsidR="009F092F" w:rsidRPr="002478C1" w:rsidRDefault="009F092F" w:rsidP="009D7A73">
          <w:pPr>
            <w:pStyle w:val="Header"/>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Header"/>
            <w:rPr>
              <w:rFonts w:ascii="Arial" w:hAnsi="Arial" w:cs="Arial"/>
              <w:sz w:val="14"/>
              <w:szCs w:val="14"/>
            </w:rPr>
          </w:pPr>
        </w:p>
      </w:tc>
      <w:tc>
        <w:tcPr>
          <w:tcW w:w="2693" w:type="dxa"/>
        </w:tcPr>
        <w:p w14:paraId="139E2FCC" w14:textId="77777777" w:rsidR="009F092F" w:rsidRPr="002478C1" w:rsidRDefault="009F092F" w:rsidP="009D7A73">
          <w:pPr>
            <w:pStyle w:val="Header"/>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Header"/>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Header"/>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Header"/>
            <w:shd w:val="pct12" w:color="auto" w:fill="FFFFFF"/>
            <w:spacing w:line="160" w:lineRule="exact"/>
            <w:rPr>
              <w:rFonts w:ascii="Arial" w:hAnsi="Arial" w:cs="Arial"/>
              <w:sz w:val="14"/>
              <w:szCs w:val="14"/>
            </w:rPr>
          </w:pPr>
        </w:p>
        <w:p w14:paraId="16A22B78" w14:textId="77777777" w:rsidR="009F092F" w:rsidRDefault="009F092F" w:rsidP="002478C1">
          <w:pPr>
            <w:pStyle w:val="Header"/>
            <w:shd w:val="pct12" w:color="auto" w:fill="FFFFFF"/>
            <w:spacing w:line="160" w:lineRule="exact"/>
            <w:rPr>
              <w:rFonts w:ascii="Arial" w:hAnsi="Arial" w:cs="Arial"/>
              <w:sz w:val="14"/>
              <w:szCs w:val="14"/>
            </w:rPr>
          </w:pPr>
          <w:r>
            <w:rPr>
              <w:rFonts w:ascii="Arial" w:hAnsi="Arial"/>
              <w:sz w:val="14"/>
              <w:szCs w:val="14"/>
            </w:rPr>
            <w:t>DRŽAVNA SEKRETARKA ZA OKOLJE</w:t>
          </w:r>
        </w:p>
        <w:p w14:paraId="2196AAB3" w14:textId="267C048C" w:rsidR="002478C1" w:rsidRPr="002478C1" w:rsidRDefault="002478C1" w:rsidP="002478C1">
          <w:pPr>
            <w:pStyle w:val="Header"/>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Header"/>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Header"/>
            <w:rPr>
              <w:rFonts w:ascii="Arial" w:hAnsi="Arial" w:cs="Arial"/>
              <w:sz w:val="14"/>
              <w:szCs w:val="14"/>
            </w:rPr>
          </w:pPr>
        </w:p>
      </w:tc>
      <w:tc>
        <w:tcPr>
          <w:tcW w:w="2693" w:type="dxa"/>
          <w:vAlign w:val="center"/>
        </w:tcPr>
        <w:p w14:paraId="18EE26F2" w14:textId="77777777" w:rsidR="002478C1" w:rsidRDefault="002478C1" w:rsidP="002478C1">
          <w:pPr>
            <w:pStyle w:val="Header"/>
            <w:spacing w:line="160" w:lineRule="exact"/>
            <w:rPr>
              <w:rFonts w:ascii="Arial" w:hAnsi="Arial" w:cs="Arial"/>
              <w:sz w:val="14"/>
              <w:szCs w:val="14"/>
            </w:rPr>
          </w:pPr>
        </w:p>
        <w:p w14:paraId="666A593B" w14:textId="77777777" w:rsidR="009F092F" w:rsidRDefault="009F092F" w:rsidP="002478C1">
          <w:pPr>
            <w:pStyle w:val="Header"/>
            <w:spacing w:line="160" w:lineRule="exact"/>
            <w:rPr>
              <w:rFonts w:ascii="Arial" w:hAnsi="Arial" w:cs="Arial"/>
              <w:sz w:val="14"/>
              <w:szCs w:val="14"/>
            </w:rPr>
          </w:pPr>
          <w:r>
            <w:rPr>
              <w:rFonts w:ascii="Arial" w:hAnsi="Arial"/>
              <w:sz w:val="14"/>
              <w:szCs w:val="14"/>
            </w:rPr>
            <w:t>GENERALNI DIREKTORAT ZA KAKOVOST OKOLJA IN OCENJEVANJE</w:t>
          </w:r>
        </w:p>
        <w:p w14:paraId="71B7FED1" w14:textId="7EC734D7" w:rsidR="002478C1" w:rsidRPr="002478C1" w:rsidRDefault="002478C1" w:rsidP="002478C1">
          <w:pPr>
            <w:pStyle w:val="Header"/>
            <w:spacing w:line="160" w:lineRule="exact"/>
            <w:rPr>
              <w:rFonts w:ascii="Arial" w:hAnsi="Arial" w:cs="Arial"/>
              <w:sz w:val="14"/>
              <w:szCs w:val="14"/>
            </w:rPr>
          </w:pPr>
        </w:p>
      </w:tc>
    </w:tr>
  </w:tbl>
  <w:p w14:paraId="05A40959" w14:textId="77777777" w:rsidR="009F092F" w:rsidRDefault="009F0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68BE"/>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509"/>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C7AB0"/>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224"/>
  </w:style>
  <w:style w:type="paragraph" w:styleId="Heading1">
    <w:name w:val="heading 1"/>
    <w:basedOn w:val="Normal"/>
    <w:next w:val="Normal"/>
    <w:link w:val="Heading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next w:val="Normal"/>
    <w:link w:val="Heading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rPr>
  </w:style>
  <w:style w:type="character" w:styleId="CommentReference">
    <w:name w:val="annotation reference"/>
    <w:basedOn w:val="DefaultParagraphFont"/>
    <w:uiPriority w:val="99"/>
    <w:unhideWhenUsed/>
    <w:rsid w:val="00A96224"/>
    <w:rPr>
      <w:sz w:val="16"/>
      <w:szCs w:val="16"/>
    </w:rPr>
  </w:style>
  <w:style w:type="paragraph" w:styleId="CommentText">
    <w:name w:val="annotation text"/>
    <w:basedOn w:val="Normal"/>
    <w:link w:val="CommentTextChar"/>
    <w:uiPriority w:val="99"/>
    <w:unhideWhenUsed/>
    <w:rsid w:val="00A96224"/>
    <w:pPr>
      <w:spacing w:line="240" w:lineRule="auto"/>
    </w:pPr>
    <w:rPr>
      <w:sz w:val="20"/>
      <w:szCs w:val="20"/>
    </w:rPr>
  </w:style>
  <w:style w:type="character" w:customStyle="1" w:styleId="CommentTextChar">
    <w:name w:val="Comment Text Char"/>
    <w:basedOn w:val="DefaultParagraphFont"/>
    <w:link w:val="CommentText"/>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9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4"/>
    <w:rPr>
      <w:rFonts w:ascii="Segoe UI" w:hAnsi="Segoe UI" w:cs="Segoe UI"/>
      <w:sz w:val="18"/>
      <w:szCs w:val="18"/>
    </w:rPr>
  </w:style>
  <w:style w:type="paragraph" w:styleId="ListParagraph">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ootnoteReference">
    <w:name w:val="footnote reference"/>
    <w:basedOn w:val="DefaultParagraphFon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rPr>
  </w:style>
  <w:style w:type="paragraph" w:styleId="FootnoteText">
    <w:name w:val="footnote text"/>
    <w:basedOn w:val="Normal"/>
    <w:link w:val="FootnoteTextChar"/>
    <w:uiPriority w:val="99"/>
    <w:unhideWhenUsed/>
    <w:qFormat/>
    <w:rsid w:val="009F2382"/>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9F2382"/>
    <w:rPr>
      <w:rFonts w:ascii="Times New Roman" w:hAnsi="Times New Roman" w:cs="Times New Roman"/>
      <w:sz w:val="24"/>
      <w:szCs w:val="20"/>
      <w:lang w:val="sl-SI"/>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rPr>
  </w:style>
  <w:style w:type="paragraph" w:styleId="Header">
    <w:name w:val="header"/>
    <w:basedOn w:val="Normal"/>
    <w:link w:val="HeaderChar"/>
    <w:unhideWhenUsed/>
    <w:rsid w:val="00820AF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0AF9"/>
  </w:style>
  <w:style w:type="paragraph" w:styleId="Footer">
    <w:name w:val="footer"/>
    <w:basedOn w:val="Normal"/>
    <w:link w:val="FooterChar"/>
    <w:uiPriority w:val="99"/>
    <w:unhideWhenUsed/>
    <w:rsid w:val="00820AF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0AF9"/>
  </w:style>
  <w:style w:type="paragraph" w:styleId="CommentSubject">
    <w:name w:val="annotation subject"/>
    <w:basedOn w:val="CommentText"/>
    <w:next w:val="CommentText"/>
    <w:link w:val="CommentSubjectChar"/>
    <w:uiPriority w:val="99"/>
    <w:semiHidden/>
    <w:unhideWhenUsed/>
    <w:rsid w:val="00C019CB"/>
    <w:rPr>
      <w:b/>
      <w:bCs/>
    </w:rPr>
  </w:style>
  <w:style w:type="character" w:customStyle="1" w:styleId="CommentSubjectChar">
    <w:name w:val="Comment Subject Char"/>
    <w:basedOn w:val="CommentTextChar"/>
    <w:link w:val="CommentSubject"/>
    <w:uiPriority w:val="99"/>
    <w:semiHidden/>
    <w:rsid w:val="00C019CB"/>
    <w:rPr>
      <w:b/>
      <w:bCs/>
      <w:sz w:val="20"/>
      <w:szCs w:val="20"/>
    </w:rPr>
  </w:style>
  <w:style w:type="paragraph" w:styleId="Revision">
    <w:name w:val="Revision"/>
    <w:hidden/>
    <w:uiPriority w:val="99"/>
    <w:semiHidden/>
    <w:rsid w:val="00472D25"/>
    <w:pPr>
      <w:spacing w:after="0" w:line="240" w:lineRule="auto"/>
    </w:pPr>
  </w:style>
  <w:style w:type="paragraph" w:styleId="BodyText">
    <w:name w:val="Body Text"/>
    <w:basedOn w:val="Normal"/>
    <w:link w:val="BodyTextChar"/>
    <w:uiPriority w:val="99"/>
    <w:unhideWhenUsed/>
    <w:rsid w:val="00300F1B"/>
    <w:pPr>
      <w:spacing w:before="100" w:after="120" w:line="276" w:lineRule="auto"/>
    </w:pPr>
    <w:rPr>
      <w:rFonts w:eastAsiaTheme="minorEastAsia"/>
      <w:sz w:val="20"/>
      <w:szCs w:val="20"/>
    </w:rPr>
  </w:style>
  <w:style w:type="character" w:customStyle="1" w:styleId="BodyTextChar">
    <w:name w:val="Body Text Char"/>
    <w:basedOn w:val="DefaultParagraphFont"/>
    <w:link w:val="BodyText"/>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Heading3Char">
    <w:name w:val="Heading 3 Char"/>
    <w:basedOn w:val="DefaultParagraphFont"/>
    <w:link w:val="Heading3"/>
    <w:uiPriority w:val="9"/>
    <w:rsid w:val="001D2A64"/>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A7577A"/>
    <w:rPr>
      <w:color w:val="0000FF"/>
      <w:u w:val="single"/>
    </w:rPr>
  </w:style>
  <w:style w:type="character" w:customStyle="1" w:styleId="Heading1Char">
    <w:name w:val="Heading 1 Char"/>
    <w:basedOn w:val="DefaultParagraphFont"/>
    <w:link w:val="Heading1"/>
    <w:uiPriority w:val="9"/>
    <w:rsid w:val="00A433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433BE"/>
    <w:pPr>
      <w:spacing w:line="276" w:lineRule="auto"/>
      <w:outlineLvl w:val="9"/>
    </w:pPr>
    <w:rPr>
      <w:lang w:eastAsia="es-ES"/>
    </w:rPr>
  </w:style>
  <w:style w:type="paragraph" w:styleId="TO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O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O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Strong">
    <w:name w:val="Strong"/>
    <w:basedOn w:val="DefaultParagraphFon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5Char">
    <w:name w:val="Heading 5 Char"/>
    <w:basedOn w:val="DefaultParagraphFont"/>
    <w:link w:val="Heading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3.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85F896-FBF5-4562-BBED-5D3284CF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5635</Words>
  <Characters>32124</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Ke, Tingting</cp:lastModifiedBy>
  <cp:revision>6</cp:revision>
  <cp:lastPrinted>2020-02-20T16:31:00Z</cp:lastPrinted>
  <dcterms:created xsi:type="dcterms:W3CDTF">2020-10-23T09:37:00Z</dcterms:created>
  <dcterms:modified xsi:type="dcterms:W3CDTF">2020-11-09T02:23:00Z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