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4AD1" w14:textId="77777777" w:rsidR="00694BF3" w:rsidRDefault="00694BF3" w:rsidP="00F54ECB">
      <w:pPr>
        <w:jc w:val="both"/>
      </w:pPr>
    </w:p>
    <w:p w14:paraId="3A200FF0" w14:textId="77777777" w:rsidR="009C128D" w:rsidRDefault="009C128D" w:rsidP="00F54ECB">
      <w:pPr>
        <w:jc w:val="both"/>
      </w:pPr>
    </w:p>
    <w:p w14:paraId="7B10461F" w14:textId="77777777" w:rsidR="009C128D" w:rsidRDefault="009C128D" w:rsidP="00F54ECB">
      <w:pPr>
        <w:jc w:val="both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Projekt ustawy wzmacniającej zgodność z zasadami Republiki</w:t>
      </w:r>
    </w:p>
    <w:p w14:paraId="3A5F0E98" w14:textId="77777777" w:rsidR="009C128D" w:rsidRDefault="009C128D" w:rsidP="00F54ECB">
      <w:pPr>
        <w:jc w:val="both"/>
        <w:rPr>
          <w:rFonts w:ascii="Arial" w:hAnsi="Arial" w:cs="Arial"/>
          <w:color w:val="000000"/>
        </w:rPr>
      </w:pPr>
    </w:p>
    <w:p w14:paraId="6BBFB675" w14:textId="77777777" w:rsidR="009C128D" w:rsidRDefault="009C128D" w:rsidP="00F54ECB">
      <w:pPr>
        <w:jc w:val="both"/>
        <w:rPr>
          <w:rFonts w:ascii="Arial" w:hAnsi="Arial" w:cs="Arial"/>
          <w:color w:val="000000"/>
        </w:rPr>
      </w:pPr>
    </w:p>
    <w:p w14:paraId="34C78D28" w14:textId="77777777" w:rsidR="009C128D" w:rsidRDefault="009C128D" w:rsidP="00F54EC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1"/>
          <w:szCs w:val="21"/>
          <w:rFonts w:ascii="Times-Bold" w:hAnsi="Times-Bold" w:cs="Times-Bold"/>
        </w:rPr>
      </w:pPr>
      <w:r>
        <w:rPr>
          <w:b/>
          <w:sz w:val="21"/>
          <w:rFonts w:ascii="Times-Bold" w:hAnsi="Times-Bold"/>
        </w:rPr>
        <w:t xml:space="preserve">Artykuł 19</w:t>
      </w:r>
    </w:p>
    <w:p w14:paraId="667F0BAC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2EFC503" w14:textId="77777777" w:rsidR="009C128D" w:rsidRDefault="009C128D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W tytule I rozdział II ustawy nr 2004-575 z dnia 21 czerwca 2004 r. o zaufaniu do gospodarki cyfrowej wprowadza się następujące zmiany:</w:t>
      </w:r>
    </w:p>
    <w:p w14:paraId="3365E3C6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6DFFB0B" w14:textId="77777777" w:rsidR="001048BC" w:rsidRDefault="0001397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1.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Na początku art. 6 ust. I pkt 8 wyrazy: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„Organ sądowy może nakazać, w postępowaniu uproszczonym lub na wniosek, każdej osobie wymienionej w art. 2 lub, w przeciwnym razie, każdej osobie wymienionej w art. 1” otrzymuje brzmienie: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„Prezes sądu, orzekając zgodnie z procedurą przyspieszoną co do istoty sprawy, może nakazać każdej osobie, która może przyczynić się do postępowania”;</w:t>
      </w:r>
      <w:r>
        <w:rPr>
          <w:sz w:val="21"/>
          <w:rFonts w:ascii="Times-Roman" w:hAnsi="Times-Roman"/>
        </w:rPr>
        <w:t xml:space="preserve"> </w:t>
      </w:r>
    </w:p>
    <w:p w14:paraId="39AEC637" w14:textId="77777777" w:rsidR="00742738" w:rsidRDefault="00742738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0F6F112" w14:textId="77777777" w:rsidR="009C128D" w:rsidRDefault="009C128D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2.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Po art. 6-2 w brzmieniu wynikającym z ustawy nr 2020-1266 z dnia 19 października 2020 r. mającej na celu uregulowanie kwestii komercyjnego wykorzystywania wizerunku dzieci poniżej szesnastego roku życia na platformach internetowych dodaje się art. 6-3 i 6-4 w brzmieniu:</w:t>
      </w:r>
    </w:p>
    <w:p w14:paraId="1C8ADEC9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691950C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„Artykuł 6-4.</w:t>
      </w:r>
      <w:r>
        <w:rPr>
          <w:sz w:val="21"/>
          <w:i/>
          <w:rFonts w:ascii="Times-Italic" w:hAnsi="Times-Italic"/>
        </w:rPr>
        <w:t xml:space="preserve"> </w:t>
      </w:r>
      <w:r>
        <w:rPr>
          <w:sz w:val="21"/>
          <w:rFonts w:ascii="Times-Roman" w:hAnsi="Times-Roman"/>
        </w:rPr>
        <w:t xml:space="preserve">— W przypadku gdy prawomocnym orzeczeniem sądu zasądzono środek uniemożliwiający dostęp do usługi publicznego udostępniania online, której treść wyczerpuje znamiona wykroczeń wymienionych w art. 6 ust. I pkt 7, organ administracyjny, na żądanie zainteresowanej osoby, może zwrócić się do każdej osoby mogącej uczestniczyć w świadczeniu takiej usługi, o uniemożliwienie całkowicie lub w znacznej części dostępu do publicznych usług łączności online obejmujących treści zawarte na stronie, na okres nieprzekraczający okresu pozostałego do zastosowania środków nałożonych orzeczeniem sądowym.</w:t>
      </w:r>
    </w:p>
    <w:p w14:paraId="6A0FAC09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647C014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Na tych samych warunkach organ administracyjny może również zwrócić się do każdego operatora wyszukiwarki, katalogu lub innej usługi referencyjnej o zaprzestanie umieszczania odnośników do adresów internetowych umożliwiających publiczny dostęp do takich usług komunikacji online.</w:t>
      </w:r>
    </w:p>
    <w:p w14:paraId="39A0A984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393F64E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Organ administracyjny aktualizuje wykaz usług łączności online, o których mowa w ustępie pierwszym niniejszego artykułu, będących przedmiotem wniosku o zablokowanie dostępu zgodnie z tym samym ustępem pierwszym, jak również adresów internetowych udostępniających takie usługi, oraz udostępnia ten wykaz reklamodawcom, ich przedstawicielom i służbom, o których mowa w art. 299 ust. II akapit 2 KP.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Usługi te zostają włączone do tego wykazu na pozostały okres obowiązywania środków zarządzonych przez organ sądowy.</w:t>
      </w:r>
    </w:p>
    <w:p w14:paraId="3E5D07DF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203C151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W przypadku gdy takie usługi nie zostały zablokowane lub wstrzymane zgodnie z niniejszym artykułem, prezes sądu, orzekając zgodnie z procedurą przyspieszoną co do istoty sprawy, może zarządzić każdy środek mający na celu zakończenie dostępu do treści tych usług”.</w:t>
      </w:r>
      <w:r>
        <w:rPr>
          <w:sz w:val="21"/>
          <w:rFonts w:ascii="Times-Roman" w:hAnsi="Times-Roman"/>
        </w:rPr>
        <w:t xml:space="preserve"> </w:t>
      </w:r>
    </w:p>
    <w:p w14:paraId="351C08F5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14:paraId="0F907241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1"/>
          <w:szCs w:val="21"/>
        </w:rPr>
      </w:pPr>
    </w:p>
    <w:p w14:paraId="337BD386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1"/>
          <w:szCs w:val="21"/>
          <w:rFonts w:ascii="Times-BoldItalic" w:hAnsi="Times-BoldItalic" w:cs="Times-BoldItalic"/>
        </w:rPr>
      </w:pPr>
      <w:r>
        <w:rPr>
          <w:b/>
          <w:sz w:val="21"/>
          <w:rFonts w:ascii="Times-Bold" w:hAnsi="Times-Bold"/>
        </w:rPr>
        <w:t xml:space="preserve">Artykuł 19</w:t>
      </w:r>
      <w:r>
        <w:rPr>
          <w:b/>
          <w:sz w:val="21"/>
          <w:i/>
          <w:rFonts w:ascii="Times-BoldItalic" w:hAnsi="Times-BoldItalic"/>
        </w:rPr>
        <w:t xml:space="preserve">a (nowy)</w:t>
      </w:r>
    </w:p>
    <w:p w14:paraId="306E8017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A34C5FA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I. – W tytule I rozdział II ustawy nr 2004-575 z dnia 21 czerwca 2004 r. o zaufaniu do gospodarki cyfrowej wprowadza się następujące zmiany:</w:t>
      </w:r>
    </w:p>
    <w:p w14:paraId="759BD691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6837534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1.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W art. 6 ust. I pkt 7 ppkt 4 wprowadza się następujące zmiany:</w:t>
      </w:r>
    </w:p>
    <w:p w14:paraId="2C3447E6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1"/>
          <w:szCs w:val="21"/>
        </w:rPr>
      </w:pPr>
    </w:p>
    <w:p w14:paraId="6CB70DB5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a)</w:t>
      </w:r>
      <w:r>
        <w:rPr>
          <w:sz w:val="21"/>
        </w:rPr>
        <w:t xml:space="preserve"> </w:t>
      </w:r>
      <w:r>
        <w:rPr>
          <w:sz w:val="21"/>
          <w:rFonts w:ascii="Times-Roman" w:hAnsi="Times-Roman"/>
        </w:rPr>
        <w:t xml:space="preserve">zdanie pierwsze uzupełnia się słowami: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„i podać do wiadomości publicznej środki przeznaczone na walkę z nielegalną działalnością, o której mowa w trzecim akapicie pkt. 7”;</w:t>
      </w:r>
    </w:p>
    <w:p w14:paraId="4595B9B6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1"/>
          <w:szCs w:val="21"/>
        </w:rPr>
      </w:pPr>
    </w:p>
    <w:p w14:paraId="1C0256C2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b)</w:t>
      </w:r>
      <w:r>
        <w:rPr>
          <w:sz w:val="21"/>
        </w:rPr>
        <w:t xml:space="preserve"> </w:t>
      </w:r>
      <w:r>
        <w:rPr>
          <w:sz w:val="21"/>
          <w:rFonts w:ascii="Times-Roman" w:hAnsi="Times-Roman"/>
        </w:rPr>
        <w:t xml:space="preserve">po tym samym zdaniu pierwszym dodaje się zdanie w brzmieniu: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„Obowiązki te nie mają zastosowania do podmiotów, o których mowa w art. 6-5 akapit pierwszy, w celu zwalczania rozpowszechniania treści, o których mowa w tym samym akapicie pierwszym.”;</w:t>
      </w:r>
      <w:r>
        <w:rPr>
          <w:sz w:val="21"/>
          <w:rFonts w:ascii="Times-Roman" w:hAnsi="Times-Roman"/>
        </w:rPr>
        <w:t xml:space="preserve"> </w:t>
      </w:r>
    </w:p>
    <w:p w14:paraId="20C7099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EC70F9E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c)</w:t>
      </w:r>
      <w:r>
        <w:rPr>
          <w:sz w:val="21"/>
        </w:rPr>
        <w:t xml:space="preserve"> W drugim zdaniu wprowadza się następujące zmiany:</w:t>
      </w:r>
    </w:p>
    <w:p w14:paraId="05AED141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E9E6E9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– na początku wyraz: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„Oni” zastępuje się wyrazami: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„Osoby, o których mowa w pkt 1 i 2”;</w:t>
      </w:r>
    </w:p>
    <w:p w14:paraId="3F04CD9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64F67E1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–</w:t>
      </w:r>
      <w:r>
        <w:rPr>
          <w:sz w:val="21"/>
        </w:rPr>
        <w:t xml:space="preserve"> skreśla się wyrazy: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„z jednej strony”;</w:t>
      </w:r>
    </w:p>
    <w:p w14:paraId="1F50F6A9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01375A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– wyrazy: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„z poprzedniego akapitu” zastępuje się wyrazami: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„w tym samym akapicie trzecim”;</w:t>
      </w:r>
    </w:p>
    <w:p w14:paraId="059573B8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51850A7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– po wyrazie: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„usługi”, skreśla się pozostałą część zdania;</w:t>
      </w:r>
    </w:p>
    <w:p w14:paraId="77EFA707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FE7B4D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2.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Po art. 6-2 w brzmieniu wynikającym z ww. ustawy nr 2020-1266 z dnia 19 października 2020 r. dodaje się art. 6-5 w brzmieniu:</w:t>
      </w:r>
    </w:p>
    <w:p w14:paraId="3710D11A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B32B31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„Artykuł 6-5.</w:t>
      </w:r>
      <w:r>
        <w:rPr>
          <w:sz w:val="21"/>
          <w:i/>
          <w:rFonts w:ascii="Times-Italic" w:hAnsi="Times-Italic"/>
        </w:rPr>
        <w:t xml:space="preserve"> </w:t>
      </w:r>
      <w:r>
        <w:rPr>
          <w:sz w:val="21"/>
          <w:rFonts w:ascii="Times-Roman" w:hAnsi="Times-Roman"/>
        </w:rPr>
        <w:t xml:space="preserve">– Operatorzy platform internetowych określonych w art. L111-7 kodeksu konsumenta, którzy oferują publicznie usługę komunikacyjną online opartą na klasyfikacji, odsyłaniu lub udostępnianiu treści umieszczonych w internecie przez osoby trzecie, których działalność na terytorium Francji przekracza próg liczby połączeń określonej w dekrecie, niezależnie od tego, czy mają siedzibę na terytorium Francji, przyczyniają się do zwalczania publicznego rozpowszechniania treści sprzecznych z przepisami art. 6 ust. I pkt 7 ppkt 3 niniejszej ustawy oraz art. 24</w:t>
      </w:r>
      <w:r>
        <w:rPr>
          <w:sz w:val="21"/>
          <w:i/>
          <w:iCs/>
        </w:rPr>
        <w:t xml:space="preserve">a</w:t>
      </w:r>
      <w:r>
        <w:rPr>
          <w:sz w:val="21"/>
          <w:rFonts w:ascii="Times-Roman" w:hAnsi="Times-Roman"/>
        </w:rPr>
        <w:t xml:space="preserve"> oraz art. 33 akapity trzeci i czwarty ustawy z dnia 29 lipca 1881 r. o wolności prasy.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W związku z tym:</w:t>
      </w:r>
    </w:p>
    <w:p w14:paraId="030DD26D" w14:textId="77777777" w:rsidR="00F54ECB" w:rsidRDefault="00F54ECB" w:rsidP="00196BE6">
      <w:pPr>
        <w:spacing w:after="0"/>
        <w:jc w:val="both"/>
        <w:rPr>
          <w:rFonts w:ascii="Times-Roman" w:hAnsi="Times-Roman" w:cs="Times-Roman"/>
          <w:sz w:val="21"/>
          <w:szCs w:val="21"/>
        </w:rPr>
      </w:pPr>
    </w:p>
    <w:p w14:paraId="444E5B3E" w14:textId="77777777" w:rsidR="00317039" w:rsidRDefault="00317039" w:rsidP="00196BE6">
      <w:pPr>
        <w:spacing w:after="0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1.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Wdrażają odpowiednie procedury oraz zasoby ludzkie i technologiczne, które umożliwią im:</w:t>
      </w:r>
    </w:p>
    <w:p w14:paraId="0D0F237C" w14:textId="77777777" w:rsidR="001048BC" w:rsidRDefault="001048BC" w:rsidP="00196BE6">
      <w:pPr>
        <w:spacing w:after="0"/>
        <w:jc w:val="both"/>
        <w:rPr>
          <w:rFonts w:ascii="Times-Roman" w:hAnsi="Times-Roman" w:cs="Times-Roman"/>
          <w:sz w:val="21"/>
          <w:szCs w:val="21"/>
        </w:rPr>
      </w:pPr>
    </w:p>
    <w:p w14:paraId="18D0FAE1" w14:textId="77777777" w:rsidR="00317039" w:rsidRPr="004E021A" w:rsidRDefault="001048BC" w:rsidP="00196BE6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Roman" w:hAnsi="Times-Roman"/>
        </w:rPr>
        <w:t xml:space="preserve">a)</w:t>
      </w:r>
      <w:r>
        <w:rPr>
          <w:sz w:val="21"/>
          <w:rFonts w:ascii="Times-Roman" w:hAnsi="Times-Roman"/>
        </w:rPr>
        <w:t xml:space="preserve"> jak najszybsze poinformowanie organów sądowych lub administracyjnych o działaniach podjętych w wyniku nakazów wydanych przez te organy dotyczących treści, o których mowa w pierwszym akapicie niniejszego artykułu;</w:t>
      </w:r>
    </w:p>
    <w:p w14:paraId="2435515F" w14:textId="77777777" w:rsidR="004E021A" w:rsidRPr="004E021A" w:rsidRDefault="004E021A" w:rsidP="00196BE6">
      <w:pPr>
        <w:spacing w:after="0"/>
        <w:jc w:val="both"/>
        <w:rPr>
          <w:rFonts w:ascii="Times-Roman" w:hAnsi="Times-Roman" w:cs="Times-Roman"/>
          <w:sz w:val="21"/>
          <w:szCs w:val="21"/>
        </w:rPr>
      </w:pPr>
    </w:p>
    <w:p w14:paraId="2C7F75DD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iCs/>
        </w:rPr>
        <w:t xml:space="preserve">b)</w:t>
      </w:r>
      <w:r>
        <w:rPr>
          <w:sz w:val="21"/>
        </w:rPr>
        <w:t xml:space="preserve"> </w:t>
      </w:r>
      <w:r>
        <w:rPr>
          <w:sz w:val="21"/>
          <w:rFonts w:ascii="Times-Roman" w:hAnsi="Times-Roman"/>
        </w:rPr>
        <w:t xml:space="preserve">niezwłoczne potwierdzenie bezpiecznego otrzymania wniosków od organów sądowych lub administracyjnych o przekazanie danych, którymi dysponują, w celu umożliwienia identyfikacji użytkowników, którzy udostępnili treści, o których mowa w tym samym akapicie pierwszym, oraz jak najszybsze poinformowanie tych organów o działaniach podjętych w następstwie takich wniosków</w:t>
      </w:r>
      <w:r>
        <w:rPr>
          <w:sz w:val="21"/>
        </w:rPr>
        <w:t xml:space="preserve">;</w:t>
      </w:r>
    </w:p>
    <w:p w14:paraId="30D97CA6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228FAC3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c) </w:t>
      </w:r>
      <w:r>
        <w:rPr>
          <w:sz w:val="21"/>
          <w:rFonts w:ascii="Times-Roman" w:hAnsi="Times-Roman"/>
        </w:rPr>
        <w:t xml:space="preserve">tymczasowe wstrzymanie treści, które zostały im zgłoszone jako sprzeczne z przepisami, o których mowa w akapicie pierwszym i które wycofały lub stały się niedostępne, w celu udostępnienia ich organom prawnym do celów dochodzenia, identyfikacji i ścigania przestępstw;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czas trwania i warunki zachowania tej treści określa się w drodze dekretu Rady Stanu, po uzyskaniu opinii</w:t>
      </w:r>
    </w:p>
    <w:p w14:paraId="7CCEB7D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Krajowej Komisji ds. Technologii Informatycznych i Wolności;</w:t>
      </w:r>
    </w:p>
    <w:p w14:paraId="217052C2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D239C3D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2.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Wyznaczają pojedynczy punkt kontaktowy – osobę fizyczną odpowiedzialną za komunikowanie się z władzami publicznymi w celu wykonania przepisów niniejszego artykułu, do której w szczególności można kierować wszelkie wnioski złożone przez Wysoka Radę Do Spraw Audiowizualnych zgodnie z art. 62 ustawy nr 86-1067 z dnia 30 września 1986 r. o swobodzie komunikacji drogą elektroniczną.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Ten pojedynczy punkt kontaktowy odpowiada w szczególności za przyjmowanie wniosków kierowanych do operatora przez organ sądowy zgodnie z procedurą określoną w art. 6 ust. II niniejszej ustawy, w celu zapewnienia ich szybkiego rozpatrzenia;</w:t>
      </w:r>
    </w:p>
    <w:p w14:paraId="0A2DC01B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82F8DAC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3.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Udostępniają ogółowi społeczeństwa w przystępny sposób ogólne warunki korzystania z oferowanej przez siebie usługi;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zamieszczają w nich przepisy zakazujące publikowania w internecie treści, o których mowa w akapicie pierwszym niniejszego artykułu;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w sposób jasny i precyzyjny opisują swoje rozwiązania z zakresu moderowania, które służą wykrywaniu oraz, w stosownych przypadkach, identyfikacji i przetwarzaniu takich treści, z wyszczególnieniem procedur i wykorzystywanych w tym celu zasobów ludzkich lub zautomatyzowanych rozwiązań, a wdrażane przez nie środki wpływają na dostępność, widoczność i możliwość dotarcia do takich treści;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wskazują środki stosowane wobec użytkowników, którzy udostępnili te treści w internecie, a także krajowe i prawne środki odwoławcze dostępne dla takich użytkowników;</w:t>
      </w:r>
    </w:p>
    <w:p w14:paraId="735ACC5C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D5ECD32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4.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Informują opinię publiczną o stosowanych środkach i działaniach przyjętych w celu zwalczania rozpowszechniania wśród użytkowników znajdujących się na terytorium Francji treści, o których mowa w akapicie pierwszym, poprzez publikację, zgodnie z procedurami i w odstępach czasu ustalonych przez Wysoką Radę ds. Audiowizualnych, informacji i wskaźników ilościowych, określonych przez te ostatnie, odnoszących się w szczególności do rozpatrywania nakazów lub wniosków o udzielenie informacji pochodzących od organów sądowych lub administracyjnych, otrzymanych powiadomień i wyboru środków odwoławczych, jak również, w stosownym przypadku, kryteriów wyboru zaufanych stron trzecich, których powiadomienia są traktowane priorytetowo, oraz warunków współpracy z tymi stronami trzecimi;</w:t>
      </w:r>
    </w:p>
    <w:p w14:paraId="38F2E708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5995FF16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5.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Wprowadzają łatwo dostępną i łatwą w użyciu procedurę, która umożliwi każdej osobie zgłaszanie drogą elektroniczną, wszelkich treści uznanych za sprzeczne z przepisami wymienionymi w akapicie pierwszym, wyraźne określenie jej lokalizacji i powodów, dla których uważa się, że treści te powinny być uznane za niezgodne z prawem, oraz dostarczenie informacji umożliwiających kontakt i poinformowanie o karach grożących w przypadku nieprawidłowego powiadomienia;</w:t>
      </w:r>
    </w:p>
    <w:p w14:paraId="6A67DF62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2DF19E20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6.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Wdrażają proporcjonalne ludzkie i technologiczne procedury i środki umożliwiające im:</w:t>
      </w:r>
    </w:p>
    <w:p w14:paraId="294BFE34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363DCC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‘</w:t>
      </w:r>
      <w:r>
        <w:rPr>
          <w:sz w:val="21"/>
          <w:i/>
          <w:rFonts w:ascii="Times-Italic" w:hAnsi="Times-Italic"/>
        </w:rPr>
        <w:t xml:space="preserve">a) </w:t>
      </w:r>
      <w:r>
        <w:rPr>
          <w:sz w:val="21"/>
          <w:rFonts w:ascii="Times-Roman" w:hAnsi="Times-Roman"/>
        </w:rPr>
        <w:t xml:space="preserve">niezwłoczne potwierdzenie bezpiecznego otrzymania powiadomień dotyczących treści, o których mowa w akapicie pierwszym, z zastrzeżeniem informacji niezbędnych do skontaktowania się z autorem;</w:t>
      </w:r>
    </w:p>
    <w:p w14:paraId="091A31AA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CEFF90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‘</w:t>
      </w:r>
      <w:r>
        <w:rPr>
          <w:sz w:val="21"/>
          <w:i/>
          <w:rFonts w:ascii="Times-Italic" w:hAnsi="Times-Italic"/>
        </w:rPr>
        <w:t xml:space="preserve">b) </w:t>
      </w:r>
      <w:r>
        <w:rPr>
          <w:sz w:val="21"/>
          <w:rFonts w:ascii="Times-Roman" w:hAnsi="Times-Roman"/>
        </w:rPr>
        <w:t xml:space="preserve">zapewnienie odpowiedniej analizy tych powiadomień w odpowiednim czasie;</w:t>
      </w:r>
    </w:p>
    <w:p w14:paraId="2D31A38A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45BB3B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'</w:t>
      </w:r>
      <w:r>
        <w:rPr>
          <w:sz w:val="21"/>
          <w:i/>
          <w:rFonts w:ascii="Times-Italic" w:hAnsi="Times-Italic"/>
        </w:rPr>
        <w:t xml:space="preserve">c) </w:t>
      </w:r>
      <w:r>
        <w:rPr>
          <w:sz w:val="21"/>
          <w:rFonts w:ascii="Times-Roman" w:hAnsi="Times-Roman"/>
        </w:rPr>
        <w:t xml:space="preserve">powiadomienie autora o podjętych działaniach oraz o dostępnych krajowych i prawnych środkach odwoławczych, z zastrzeżeniem posiadania niezbędnych informacji, aby się z nimi skontaktować;</w:t>
      </w:r>
    </w:p>
    <w:p w14:paraId="2D0AFB87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96047C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‘</w:t>
      </w:r>
      <w:r>
        <w:rPr>
          <w:sz w:val="21"/>
          <w:i/>
          <w:rFonts w:ascii="Times-Italic" w:hAnsi="Times-Italic"/>
        </w:rPr>
        <w:t xml:space="preserve">d) </w:t>
      </w:r>
      <w:r>
        <w:rPr>
          <w:sz w:val="21"/>
          <w:rFonts w:ascii="Times-Roman" w:hAnsi="Times-Roman"/>
        </w:rPr>
        <w:t xml:space="preserve">poinformowanie użytkownika o pochodzeniu publikacji, pod warunkiem posiadania niezbędnych informacji umożliwiających skontaktowanie się z nim, jeżeli zostanie podjęta decyzja o usunięciu treści lub uniemożliwieniu dostępu do nich ze względu na nieprzestrzeganie postanowień, o których mowa w akapicie pierwszym, przy czym należy:</w:t>
      </w:r>
    </w:p>
    <w:p w14:paraId="1DAE800D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A7335A2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– wskazać przyczyny takiej decyzji;</w:t>
      </w:r>
    </w:p>
    <w:p w14:paraId="40DD698F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9276766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– określić, czy decyzja ta została podjęta za pomocą zautomatyzowanego narzędzia;</w:t>
      </w:r>
    </w:p>
    <w:p w14:paraId="47B65C5E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A02515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– poinformować o dostępnych krajowych środkach odwoławczych;</w:t>
      </w:r>
    </w:p>
    <w:p w14:paraId="05F79CF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74CD30C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– oraz poinformować, że za publikację treści niezgodnych z prawem grożą sankcje cywilne i karne;</w:t>
      </w:r>
    </w:p>
    <w:p w14:paraId="294932C0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82CBCD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7.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Wdrażają wewnętrzne środki zaradcze umożliwiające:</w:t>
      </w:r>
    </w:p>
    <w:p w14:paraId="6755CD8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1B9FE05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a) </w:t>
      </w:r>
      <w:r>
        <w:rPr>
          <w:sz w:val="21"/>
          <w:rFonts w:ascii="Times-Roman" w:hAnsi="Times-Roman"/>
        </w:rPr>
        <w:t xml:space="preserve"> zaskarżenie przez autora powiadomienia o treści, o której mowa w akapicie pierwszym, decyzji podjętej przez operatora w odpowiedzi na otrzymane powiadomienie;</w:t>
      </w:r>
    </w:p>
    <w:p w14:paraId="3752E114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1919F40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</w:rPr>
        <w:t xml:space="preserve">b) </w:t>
      </w:r>
      <w:r>
        <w:rPr>
          <w:sz w:val="21"/>
          <w:rFonts w:ascii="Times-Roman" w:hAnsi="Times-Roman"/>
        </w:rPr>
        <w:t xml:space="preserve">zaskarżenie decyzji przez użytkownika, który jest autorem opublikowanych treści będących przedmiotem decyzji, o której mowa w pkt 6 lit. d)</w:t>
      </w:r>
      <w:r>
        <w:rPr>
          <w:sz w:val="21"/>
        </w:rPr>
        <w:t xml:space="preserve">;</w:t>
      </w:r>
    </w:p>
    <w:p w14:paraId="4A970BB4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FA8CDBD" w14:textId="77777777" w:rsidR="00317039" w:rsidRPr="004E021A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1"/>
          <w:szCs w:val="21"/>
          <w:rFonts w:ascii="Times-Italic" w:hAnsi="Times-Italic" w:cs="Times-Italic"/>
        </w:rPr>
      </w:pPr>
      <w:r>
        <w:rPr>
          <w:sz w:val="21"/>
          <w:rFonts w:ascii="Times-Roman" w:hAnsi="Times-Roman"/>
        </w:rPr>
        <w:t xml:space="preserve">'</w:t>
      </w:r>
      <w:r>
        <w:rPr>
          <w:sz w:val="21"/>
          <w:i/>
          <w:rFonts w:ascii="Times-Italic" w:hAnsi="Times-Italic"/>
        </w:rPr>
        <w:t xml:space="preserve">c) </w:t>
      </w:r>
      <w:r>
        <w:rPr>
          <w:sz w:val="21"/>
          <w:rFonts w:ascii="Times-Roman" w:hAnsi="Times-Roman"/>
        </w:rPr>
        <w:t xml:space="preserve">zaskarżenie decyzji przez użytkownika, którego dotyczy decyzja określona w 8</w:t>
      </w:r>
      <w:r>
        <w:rPr>
          <w:sz w:val="21"/>
          <w:i/>
          <w:rFonts w:ascii="Times-Italic" w:hAnsi="Times-Italic"/>
        </w:rPr>
        <w:t xml:space="preserve">a)</w:t>
      </w:r>
      <w:r>
        <w:rPr>
          <w:sz w:val="21"/>
          <w:rFonts w:ascii="Times-Roman" w:hAnsi="Times-Roman"/>
        </w:rPr>
        <w:t xml:space="preserve"> lub </w:t>
      </w:r>
      <w:r>
        <w:rPr>
          <w:sz w:val="21"/>
          <w:i/>
          <w:rFonts w:ascii="Times-Italic" w:hAnsi="Times-Italic"/>
        </w:rPr>
        <w:t xml:space="preserve">b)</w:t>
      </w:r>
      <w:r>
        <w:rPr>
          <w:sz w:val="21"/>
          <w:rFonts w:ascii="Times-Roman" w:hAnsi="Times-Roman"/>
        </w:rPr>
        <w:t xml:space="preserve">.</w:t>
      </w:r>
    </w:p>
    <w:p w14:paraId="29E98655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ED326F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Zapewniają, aby systemy te były łatwo dostępne i łatwe w użyciu oraz aby umożliwiały właściwe i szybkie rozpatrywanie odwołań, które nie opierają się wyłącznie na wykorzystaniu zautomatyzowanych środków, bezzwłoczne informując użytkownika o podjętej decyzji i niezwłocznie uchylając środki odnoszące się do danej treści lub użytkownika wdrożone przez operatora, jeżeli w wyniku odwołania uzna on, że zaskarżona decyzja nie była uzasadniona;</w:t>
      </w:r>
    </w:p>
    <w:p w14:paraId="058AEBDD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D8722D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8.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Decydując się na wdrożenie takich procedur, określają w warunkach użytkowania, w sposób jasny i precyzyjny, procedury prowadzące do:</w:t>
      </w:r>
    </w:p>
    <w:p w14:paraId="044FD292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54DDD52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</w:rPr>
        <w:t xml:space="preserve">a) </w:t>
      </w:r>
      <w:r>
        <w:rPr>
          <w:sz w:val="21"/>
          <w:rFonts w:ascii="Times-Roman" w:hAnsi="Times-Roman"/>
        </w:rPr>
        <w:t xml:space="preserve">zawieszenia lub, w najpoważniejszych przypadkach, usunięcia kont użytkowników, którzy wielokrotnie zamieszczali treści niezgodne z przepisami, o których mowa w akapicie pierwszym niniejszego artykułu</w:t>
      </w:r>
      <w:r>
        <w:rPr>
          <w:sz w:val="21"/>
        </w:rPr>
        <w:t xml:space="preserve">;</w:t>
      </w:r>
    </w:p>
    <w:p w14:paraId="173041B2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1551844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  <w:rFonts w:ascii="Times-Italic" w:hAnsi="Times-Italic"/>
        </w:rPr>
        <w:t xml:space="preserve">b) </w:t>
      </w:r>
      <w:r>
        <w:rPr>
          <w:sz w:val="21"/>
          <w:rFonts w:ascii="Times-Roman" w:hAnsi="Times-Roman"/>
        </w:rPr>
        <w:t xml:space="preserve">zawieszenia dostępu do mechanizmu powiadamiania użytkowników, którzy wielokrotnie składali oczywiście nieuzasadnione powiadomienia dotyczące treści, o których mowa w tym samym akapicie pierwszym</w:t>
      </w:r>
      <w:r>
        <w:rPr>
          <w:sz w:val="21"/>
        </w:rPr>
        <w:t xml:space="preserve">.</w:t>
      </w:r>
    </w:p>
    <w:p w14:paraId="2890B0F0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51E09E8F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W przypadku gdy takie procedury są wdrażane, przeprowadza się analizę poszczególnych przypadków mającą na celu obiektywną charakterystykę zachowania, o którym mowa w lit. </w:t>
      </w:r>
      <w:r>
        <w:rPr>
          <w:sz w:val="21"/>
          <w:i/>
          <w:rFonts w:ascii="Times-Italic" w:hAnsi="Times-Italic"/>
        </w:rPr>
        <w:t xml:space="preserve">a) </w:t>
      </w:r>
      <w:r>
        <w:rPr>
          <w:sz w:val="21"/>
          <w:rFonts w:ascii="Times-Roman" w:hAnsi="Times-Roman"/>
        </w:rPr>
        <w:t xml:space="preserve">lub </w:t>
      </w:r>
      <w:r>
        <w:rPr>
          <w:sz w:val="21"/>
          <w:i/>
          <w:rFonts w:ascii="Times-Italic" w:hAnsi="Times-Italic"/>
        </w:rPr>
        <w:t xml:space="preserve">b) pkt. 8</w:t>
      </w:r>
      <w:r>
        <w:rPr>
          <w:sz w:val="21"/>
          <w:rFonts w:ascii="Times-Roman" w:hAnsi="Times-Roman"/>
        </w:rPr>
        <w:t xml:space="preserve">, biorąc pod uwagę w szczególności</w:t>
      </w:r>
      <w:r>
        <w:rPr>
          <w:sz w:val="21"/>
        </w:rPr>
        <w:t xml:space="preserve">:</w:t>
      </w:r>
    </w:p>
    <w:p w14:paraId="312FB6B5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E8100AB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– ilość nielegalnych treści, o których mowa w akapicie pierwszym niniejszego artykułu, lub liczbę oczywiście nieuzasadnionych powiadomień pochodzących od użytkownika w ubiegłym roku, zarówno w wartościach bezwzględnych, jak i proporcjonalnie do całkowitej ilości treści lub liczby powiadomień, za które był on odpowiedzialny;</w:t>
      </w:r>
    </w:p>
    <w:p w14:paraId="06035B78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9D8B8AD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– oraz powagę i konsekwencje tych nadużyć.</w:t>
      </w:r>
    </w:p>
    <w:p w14:paraId="1A319386" w14:textId="77777777" w:rsidR="004E021A" w:rsidRDefault="004E021A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AF54AE0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Procedury te przewidują, że środki, o których mowa w ust. 8 lit. a) i b), ze względu na ich charakter, są proporcjonalne do wagi danego postępowania oraz, w przypadku zawieszenia, że są one orzekane na rozsądny okres.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Użytkownik otrzymuje ostrzeżenie wraz z informacją na temat dostępnych krajowych i sądowych środków odwoławczych;</w:t>
      </w:r>
    </w:p>
    <w:p w14:paraId="2F46735B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CC426D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9.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Operatorzy, o których mowa w akapicie pierwszym niniejszego artykułu, prowadzący działalność na terytorium Francji, którzy przekraczają limit liczby połączeń określony dekretem i które są wyższe niż wymienione w tym samym akapicie pierwszym mają obowiązek:</w:t>
      </w:r>
    </w:p>
    <w:p w14:paraId="4C125268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5F02CE1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a) przeprowadzać raz w roku ocenę ryzyka systemowego związanego z funkcjonowaniem i korzystaniem z ich usług w odniesieniu do rozpowszechniania treści, o których mowa w akapicie pierwszym, oraz w odniesieniu do naruszeń praw podstawowych, w tym wolności wypowiedzi.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Ocena ta uwzględnia cechy charakterystyczne tych usług, w szczególności ich wpływ na wirusowe rozprzestrzenianie się lub masowe rozpowszechnianie wyżej wymienionych treści;</w:t>
      </w:r>
    </w:p>
    <w:p w14:paraId="19F6B06C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27DADC4E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b) wdrażać racjonalne, skuteczne i proporcjonalne środki, w szczególności w odniesieniu do cech ich usług oraz skali i stopnia ryzyka zidentyfikowanego na końcu oceny, o której mowa w pkt 9 lit. a), mające na celu złagodzenie ryzyka rozpowszechniania takich treści, które może w szczególności odnosić się do procedur oraz zasobów ludzkich i technologicznych wykorzystywanych do wykrywania, identyfikowania i przetwarzania takich treści, przy jednoczesnym zapobieganiu ryzyku nieuzasadnionej eliminacji na mocy obowiązującego prawa i korzystania z tych usług;</w:t>
      </w:r>
    </w:p>
    <w:p w14:paraId="1242513D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5334DC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c) podawać do publicznej wiadomości, zgodnie z procedurami i w odstępach czasu ustalonych przez Wysoką Radę do Spraw Audiowizualnych, ocenę tych zagrożeń systemowych oraz wdrożonych środków ograniczających ryzyko;</w:t>
      </w:r>
    </w:p>
    <w:p w14:paraId="6C3BA31B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6ED3E84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10.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Podmioty, o których mowa w akapicie pierwszym, składają Wysokiej Radzie ds. Audiowizualnych sprawozdania dotyczące procedur i środków stosowanych w celu wdrożenia niniejszego artykułu, na warunkach określonych w art. 62 ustawy nr 86-1067 z dnia 30 września 1986 r., o której mowa powyżej.</w:t>
      </w:r>
      <w:r>
        <w:rPr>
          <w:sz w:val="21"/>
          <w:rFonts w:ascii="Times-Roman" w:hAnsi="Times-Roman"/>
        </w:rPr>
        <w:t xml:space="preserve"> </w:t>
      </w:r>
    </w:p>
    <w:p w14:paraId="16842399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6566FA8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— W ustawie nr 86-1067 z dnia 30 września 1986 r. o wolności komunikacji społecznej wprowadza się następujące zmiany:</w:t>
      </w:r>
    </w:p>
    <w:p w14:paraId="1D068063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D780F36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1.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W art. 19 ust. I pkt 1 akapit trzeci wyrazy: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„a także platformy udostępniania plików wideo” zastępuje się wyrazami: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„platformy udostępniania plików wideo, jak również operatorzy platform internetowych, o których mowa w art. 62”;</w:t>
      </w:r>
    </w:p>
    <w:p w14:paraId="21EC5BC4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3893D2E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2.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W art. 42-7 w akapicie pierwszym odniesienie: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„i 48-3” zastępuje się odniesieniami: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„, 48-3 i 62”;</w:t>
      </w:r>
    </w:p>
    <w:p w14:paraId="42FCD26C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7821425C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3.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Tytuł IV uzupełnia się rozdziałem III, który otrzymuje brzmienie:</w:t>
      </w:r>
    </w:p>
    <w:p w14:paraId="2EFBCE6A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D2A9041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1"/>
          <w:szCs w:val="21"/>
          <w:rFonts w:ascii="Times-Italic" w:hAnsi="Times-Italic" w:cs="Times-Italic"/>
        </w:rPr>
      </w:pPr>
      <w:r>
        <w:rPr>
          <w:i/>
          <w:rFonts w:ascii="Times-Italic" w:hAnsi="Times-Italic"/>
        </w:rPr>
        <w:t xml:space="preserve">„ROZDZIAŁ III</w:t>
      </w:r>
    </w:p>
    <w:p w14:paraId="34ECB5A0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1"/>
          <w:szCs w:val="21"/>
        </w:rPr>
      </w:pPr>
    </w:p>
    <w:p w14:paraId="780094D0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1"/>
          <w:szCs w:val="21"/>
          <w:rFonts w:ascii="Times-BoldItalic" w:hAnsi="Times-BoldItalic" w:cs="Times-BoldItalic"/>
        </w:rPr>
      </w:pPr>
      <w:r>
        <w:rPr>
          <w:b/>
          <w:i/>
          <w:sz w:val="21"/>
          <w:rFonts w:ascii="Times-BoldItalic" w:hAnsi="Times-BoldItalic"/>
        </w:rPr>
        <w:t xml:space="preserve">Przepisy mające zastosowanie do platform internetowych w celu zwalczania treści nawołujących do nienawiści</w:t>
      </w:r>
    </w:p>
    <w:p w14:paraId="4959D9A9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7000A07" w14:textId="77777777" w:rsidR="00317039" w:rsidRDefault="00317039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i/>
        </w:rPr>
        <w:t xml:space="preserve">„</w:t>
      </w:r>
      <w:r>
        <w:rPr>
          <w:sz w:val="21"/>
          <w:i/>
        </w:rPr>
        <w:t xml:space="preserve">Art. 62.</w:t>
      </w:r>
      <w:r>
        <w:rPr>
          <w:sz w:val="21"/>
          <w:i/>
          <w:rFonts w:ascii="Times-Italic" w:hAnsi="Times-Italic"/>
        </w:rPr>
        <w:t xml:space="preserve"> </w:t>
      </w:r>
      <w:r>
        <w:rPr>
          <w:sz w:val="21"/>
          <w:rFonts w:ascii="Times-Roman" w:hAnsi="Times-Roman"/>
        </w:rPr>
        <w:t xml:space="preserve">- I. - Wysoka Rada do Spraw Audiowizualnych czuwa nad tym, by operatorzy platform internetowych, o których mowa w art. 6-5 w akapicie pierwszym ustawy nr 2004-575 z dnia 21 czerwca 2004 r. o zaufaniu społecznym do gospodarki cyfrowej, przestrzegali przepisów tegoż art. 6-5, uwzględniając w odniesieniu do każdej oferowanej przez nich usługi cechy charakterystyczne usługi i adekwatność środków stosowanych przez operatora w odniesieniu do, w szczególności, zakresu i stopnia ryzyka rozpowszechniania na niej treści, o których mowa w pierwszym akapicie artykułu 6-5, oraz ryzyka nieuzasadnionej eliminacji na mocy obowiązującego prawa i warunków użytkowania.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Dostarcza tym operatorom platform wytyczne dotyczące stosowania tego samego art. 6-5.</w:t>
      </w:r>
    </w:p>
    <w:p w14:paraId="778D7C04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09DB9E9E" w14:textId="77777777" w:rsidR="00317039" w:rsidRDefault="00317039" w:rsidP="00F02A14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Zbiera od takich podmiotów, na warunkach określonych w art. 19 niniejszej ustawy, informacje niezbędne do monitorowania ich zobowiązań.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W związku z tym podmioty, o których mowa w art. 6-5 ust. 9 powyższej ustawy nr 2004-575 z dnia 21 czerwca 2004 r., zapewniają dostęp do zasad działania zautomatyzowanych narzędzi stosowanych w celu wypełnienia tych zobowiązań, do parametrów wykorzystywanych przez te narzędzia, do metod i danych wykorzystywanych do oceny i poprawy ich działania, a także do wszelkich innych informacji lub danych umożliwiających ocenę ich skuteczności, zgodnie z przepisami dotyczącymi ochrony danych osobowych.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Zgodnie z tymi przepisami Wysoka Rada ds. Audiowizualnych może przekazywać proporcjonalne wnioski o dostęp do wszelkich danych istotnych dla oceny ich skuteczności za pośrednictwem specjalnych interfejsów programowych.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Zgodnie z tymi przepisami i w tych samych celach Wysoka Rada ds. Audiowizualnych może wdrożyć proporcjonalne metody automatycznego gromadzenia publicznie dostępnych danych w celu uzyskania dostępu do niezbędnych danych.</w:t>
      </w:r>
    </w:p>
    <w:p w14:paraId="4960BBEF" w14:textId="77777777" w:rsidR="00317039" w:rsidRPr="00196BE6" w:rsidRDefault="00317039" w:rsidP="00196BE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F16A3EE" w14:textId="77777777" w:rsidR="006522CF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Określa informacje i wskaźniki ilościowe, które podmioty te mają obowiązek publikować zgodnie z art. 6-5 ust. 4, jak również zasady i częstotliwość takiej publikacji.</w:t>
      </w:r>
    </w:p>
    <w:p w14:paraId="429BAEB6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98A605E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Publikuje corocznie przegląd stosowania przepisów art. 6-5.</w:t>
      </w:r>
    </w:p>
    <w:p w14:paraId="7C9FF7B2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FEE6A0B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— Wysoka Rada ds. Audiowizualnych może wezwać operatorów do przestrzegania przepisów art. 6-5 ustawy nr 2004-575 z dnia 21 czerwca 2004 r., o której mowa powyżej, poprzez złożenie formalnego zawiadomienia i w terminie przez nią wyznaczonym.</w:t>
      </w:r>
    </w:p>
    <w:p w14:paraId="1866DD93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3D4EFF02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W przypadku gdy operator nie zastosuje się do otrzymanego zawiadomienia, Wysoka Rada ds. Audiowizualnych może, na warunkach określonych w art. 42-7 niniejszej ustawy, nałożyć grzywnę, której wysokość uwzględnia wagę naruszenia oraz, w stosownych przypadkach, jego powtarzający się charakter, nieprzekraczającą 20 mln EUR lub 6 % całkowitego rocznego obrotu uzyskanego w poprzednim roku, w zależności od tego, która z tych kwot jest wyższa.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Jeżeli za to samo przewinienie w innym państwie nałożono karę finansową obliczoną na tej samej podstawie, kwotę tej kary uwzględnia się przy ustalaniu kary nałożonej na mocy niniejszego ustępu.</w:t>
      </w:r>
    </w:p>
    <w:p w14:paraId="1A99C8D2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8B9D2A5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W drodze odstępstwa od akapitu drugiego niniejszego punktu II, w przypadku odmowy ujawnienia informacji wymaganych przez organ regulacyjny na mocy akapitu drugiego pkt I lub w przypadku przekazania nieprawdziwych lub wprowadzających w błąd informacji, wysokość nałożonej kary nie może przekroczyć 1% całkowitego rocznego światowego obrotu z poprzedniego roku budżetowego.</w:t>
      </w:r>
    </w:p>
    <w:p w14:paraId="2BD2B9D1" w14:textId="77777777" w:rsidR="00F54ECB" w:rsidRDefault="00F54ECB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4E2F5167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Wysoka Rada do Spraw Audiowizualnych może podawać do wiadomości publicznej informacje o zawiadomieniach i nałożonych sankcjach.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W swojej decyzji określa ona szczegóły takiej publikacji, które są proporcjonalne do wagi przewinienia.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Może również nakazać zamieszczenie informacji o swojej decyzji w wyznaczonych publikacjach, gazetach i środkach masowego przekazu na koszt podmiotów podlegających formalnemu wezwaniu lub sankcjom.</w:t>
      </w:r>
    </w:p>
    <w:p w14:paraId="0852CB64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6B516F2D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Grzywny są pobierane jako zobowiązania nieopodatkowane i niemajątkowe należności wobec państwa.</w:t>
      </w:r>
      <w:r>
        <w:rPr>
          <w:sz w:val="21"/>
          <w:rFonts w:ascii="Times-Roman" w:hAnsi="Times-Roman"/>
        </w:rPr>
        <w:t xml:space="preserve"> </w:t>
      </w:r>
    </w:p>
    <w:p w14:paraId="2E2305DD" w14:textId="77777777" w:rsidR="001048BC" w:rsidRDefault="001048BC" w:rsidP="00F54E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10A4B426" w14:textId="77777777" w:rsidR="006522CF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4° Art. 108 akapit pierwszy po wyrazie: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„wynikający” otrzymuje brzmienie:</w:t>
      </w:r>
      <w:r>
        <w:rPr>
          <w:sz w:val="21"/>
          <w:rFonts w:ascii="Times-Roman" w:hAnsi="Times-Roman"/>
        </w:rPr>
        <w:t xml:space="preserve"> </w:t>
      </w:r>
      <w:r>
        <w:rPr>
          <w:sz w:val="21"/>
          <w:rFonts w:ascii="Times-Roman" w:hAnsi="Times-Roman"/>
        </w:rPr>
        <w:t xml:space="preserve">„z ustawy nr... z dnia... o wzmocnieniu poszanowania zasad Republiki”.</w:t>
      </w:r>
      <w:r>
        <w:rPr>
          <w:sz w:val="21"/>
          <w:rFonts w:ascii="Times-Roman" w:hAnsi="Times-Roman"/>
        </w:rPr>
        <w:t xml:space="preserve"> </w:t>
      </w:r>
    </w:p>
    <w:p w14:paraId="199FC683" w14:textId="77777777" w:rsidR="00317039" w:rsidRPr="00196BE6" w:rsidRDefault="00317039" w:rsidP="00196BE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14:paraId="218F459E" w14:textId="77777777" w:rsidR="006522CF" w:rsidRPr="00F54ECB" w:rsidRDefault="006522CF" w:rsidP="00F54ECB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  <w:rFonts w:ascii="Times-Roman" w:hAnsi="Times-Roman" w:cs="Times-Roman"/>
        </w:rPr>
      </w:pPr>
      <w:r>
        <w:rPr>
          <w:sz w:val="21"/>
          <w:rFonts w:ascii="Times-Roman" w:hAnsi="Times-Roman"/>
        </w:rPr>
        <w:t xml:space="preserve">III. Przepisy niniejszego artykułu stosuje się do dnia 31 grudnia 2023 r.</w:t>
      </w:r>
    </w:p>
    <w:sectPr w:rsidR="006522CF" w:rsidRPr="00F5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F1FF0"/>
    <w:multiLevelType w:val="hybridMultilevel"/>
    <w:tmpl w:val="70DE856A"/>
    <w:lvl w:ilvl="0" w:tplc="73F84A00">
      <w:start w:val="1"/>
      <w:numFmt w:val="lowerLetter"/>
      <w:lvlText w:val="%1)"/>
      <w:lvlJc w:val="left"/>
      <w:pPr>
        <w:ind w:left="720" w:hanging="360"/>
      </w:pPr>
      <w:rPr>
        <w:rFonts w:ascii="Times-Italic" w:hAnsi="Times-Italic" w:cs="Times-Italic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8D"/>
    <w:rsid w:val="00013979"/>
    <w:rsid w:val="0005174C"/>
    <w:rsid w:val="001048BC"/>
    <w:rsid w:val="00134B73"/>
    <w:rsid w:val="00196BE6"/>
    <w:rsid w:val="00317039"/>
    <w:rsid w:val="00485A93"/>
    <w:rsid w:val="004E021A"/>
    <w:rsid w:val="006522CF"/>
    <w:rsid w:val="00694BF3"/>
    <w:rsid w:val="00742738"/>
    <w:rsid w:val="00994AE4"/>
    <w:rsid w:val="009C128D"/>
    <w:rsid w:val="00EB212A"/>
    <w:rsid w:val="00F02A14"/>
    <w:rsid w:val="00F54ECB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D280"/>
  <w15:chartTrackingRefBased/>
  <w15:docId w15:val="{D7122478-4E01-4C1D-9BE7-99AC4826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2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1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2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 Chantal</dc:creator>
  <cp:keywords/>
  <dc:description/>
  <cp:lastModifiedBy>Dimitris Dimitriadis</cp:lastModifiedBy>
  <cp:revision>3</cp:revision>
  <dcterms:created xsi:type="dcterms:W3CDTF">2021-05-21T16:07:00Z</dcterms:created>
  <dcterms:modified xsi:type="dcterms:W3CDTF">2021-05-25T08:09:00Z</dcterms:modified>
</cp:coreProperties>
</file>