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4AD1" w14:textId="77777777" w:rsidR="00694BF3" w:rsidRDefault="00694BF3" w:rsidP="00F54ECB">
      <w:pPr>
        <w:jc w:val="both"/>
      </w:pPr>
    </w:p>
    <w:p w14:paraId="3A200FF0" w14:textId="77777777" w:rsidR="009C128D" w:rsidRDefault="009C128D" w:rsidP="00F54ECB">
      <w:pPr>
        <w:jc w:val="both"/>
      </w:pPr>
    </w:p>
    <w:p w14:paraId="7B10461F" w14:textId="77777777" w:rsidR="009C128D" w:rsidRDefault="009C128D" w:rsidP="00F54ECB">
      <w:pPr>
        <w:jc w:val="both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Návrh zákona, ktorým sa posilňuje súlad so zásadami republiky</w:t>
      </w:r>
    </w:p>
    <w:p w14:paraId="3A5F0E98" w14:textId="77777777" w:rsidR="009C128D" w:rsidRDefault="009C128D" w:rsidP="00F54ECB">
      <w:pPr>
        <w:jc w:val="both"/>
        <w:rPr>
          <w:rFonts w:ascii="Arial" w:hAnsi="Arial" w:cs="Arial"/>
          <w:color w:val="000000"/>
        </w:rPr>
      </w:pPr>
    </w:p>
    <w:p w14:paraId="6BBFB675" w14:textId="77777777" w:rsidR="009C128D" w:rsidRDefault="009C128D" w:rsidP="00F54ECB">
      <w:pPr>
        <w:jc w:val="both"/>
        <w:rPr>
          <w:rFonts w:ascii="Arial" w:hAnsi="Arial" w:cs="Arial"/>
          <w:color w:val="000000"/>
        </w:rPr>
      </w:pPr>
    </w:p>
    <w:p w14:paraId="34C78D28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1"/>
          <w:szCs w:val="21"/>
          <w:rFonts w:ascii="Times-Bold" w:hAnsi="Times-Bold" w:cs="Times-Bold"/>
        </w:rPr>
      </w:pPr>
      <w:r>
        <w:rPr>
          <w:b/>
          <w:sz w:val="21"/>
          <w:rFonts w:ascii="Times-Bold" w:hAnsi="Times-Bold"/>
        </w:rPr>
        <w:t xml:space="preserve">Článok 19</w:t>
      </w:r>
    </w:p>
    <w:p w14:paraId="667F0BAC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2EFC503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Kapitola II hlavy I zákona č. 2004-575 z 21. júna 2004 o dôvere v digitálne hospodárstvo sa mení takto:</w:t>
      </w:r>
    </w:p>
    <w:p w14:paraId="3365E3C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6DFFB0B" w14:textId="77777777" w:rsidR="001048BC" w:rsidRDefault="0001397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na začiatku článku 6 ods. I bodu 8 sa slová: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„Súdny orgán môže ako predbežné opatrenie alebo na žiadosť nariadiť osobe uvedenej v bode 2 alebo, ak to nie je možné, akejkoľvek osobe uvedenej v bode 1“ nahrádzajú takto: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„Predseda súdu môže v rámci skráteného konania vo veci samej nariadiť každej osobe, ktorá môže prispieť k tomuto konaniu“;</w:t>
      </w:r>
      <w:r>
        <w:rPr>
          <w:sz w:val="21"/>
          <w:rFonts w:ascii="Times-Roman" w:hAnsi="Times-Roman"/>
        </w:rPr>
        <w:t xml:space="preserve"> </w:t>
      </w:r>
    </w:p>
    <w:p w14:paraId="39AEC637" w14:textId="77777777" w:rsidR="00742738" w:rsidRDefault="00742738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0F6F112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za článok 6-2, v znení zmien zákona č. 2020-1266 z 19. októbra 2020 zameraného na reguláciu komerčného využívania obrazu detí mladších ako šestnásť rokov na online platformách sa vkladajú články 6-3 a 6-4 takto:</w:t>
      </w:r>
    </w:p>
    <w:p w14:paraId="1C8ADEC9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691950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rFonts w:ascii="Times-Italic" w:hAnsi="Times-Italic"/>
        </w:rPr>
        <w:t xml:space="preserve">Článok 6-4.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  <w:rFonts w:ascii="Times-Roman" w:hAnsi="Times-Roman"/>
        </w:rPr>
        <w:t xml:space="preserve">– Ak sa vo vykonateľnom súdnom rozhodnutí nariadilo akékoľvek opatrenie na zabránenie prístupu k online verejnej komunikačnej službe, ktorej obsah patrí medzi trestné činy stanovené v článku 6 ods. I bode 7, správny orgán môže v prípade, že ho vyzve akákoľvek dotknutá osoba, požiadať akúkoľvek osobu, ktorá by mohla k tomu prispieť, a to počas obdobia nepresahujúceho obdobie, ktoré zostáva, aby pokračovala v prijímaní opatrení nariadených týmto súdnym rozhodnutím, aby zabránila prístupu k akejkoľvek online verejnej komunikačnej službe obsahujúcej obsah stránky v plnom rozsahu alebo podstatným spôsobom.</w:t>
      </w:r>
    </w:p>
    <w:p w14:paraId="6A0FAC09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647C01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„Za rovnakých podmienok môže správny orgán požiadať ktoréhokoľvek prevádzkovateľa internetového vyhľadávača, adresára alebo inej referenčnej služby, aby ukončil vytváranie odkazov na webové adresy poskytujúce prístup k takýmto online komunikačným službám verejnosti.</w:t>
      </w:r>
    </w:p>
    <w:p w14:paraId="39A0A984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393F64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„Správny orgán aktualizuje zoznam online komunikačných služieb uvedených v prvom odseku tohto článku, ktoré boli predmetom žiadosti o zablokovanie prístupu podľa toho istého prvého odseku, ako aj webových adries, ktoré umožňujú prístup k takýmto službám, a sprístupní tento zoznam inzerentom, ich zástupcom a službám uvedeným v článku 299 ods. II bodu 2 všeobecného daňového zákonníka.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Tieto služby sa zahrnú do tohto zoznamu po zvyšok trvania opatrení, ktoré nariadil súdny orgán.</w:t>
      </w:r>
    </w:p>
    <w:p w14:paraId="3E5D07DF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203C15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„Ak takéto služby neboli zablokované alebo vyradené z ponuky v súlade s týmto článkom, predseda súdu môže v skrátenom konaní vo veci samej nariadiť akékoľvek opatrenie, ktorého cieľom je ukončiť prístup k obsahu týchto služieb.“</w:t>
      </w:r>
      <w:r>
        <w:rPr>
          <w:sz w:val="21"/>
          <w:rFonts w:ascii="Times-Roman" w:hAnsi="Times-Roman"/>
        </w:rPr>
        <w:t xml:space="preserve"> </w:t>
      </w:r>
    </w:p>
    <w:p w14:paraId="351C08F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0F90724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337BD38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1"/>
          <w:szCs w:val="21"/>
          <w:rFonts w:ascii="Times-BoldItalic" w:hAnsi="Times-BoldItalic" w:cs="Times-BoldItalic"/>
        </w:rPr>
      </w:pPr>
      <w:r>
        <w:rPr>
          <w:b/>
          <w:sz w:val="21"/>
          <w:rFonts w:ascii="Times-Bold" w:hAnsi="Times-Bold"/>
        </w:rPr>
        <w:t xml:space="preserve">Článok 19</w:t>
      </w:r>
      <w:r>
        <w:rPr>
          <w:b/>
          <w:sz w:val="21"/>
          <w:i/>
          <w:rFonts w:ascii="Times-BoldItalic" w:hAnsi="Times-BoldItalic"/>
        </w:rPr>
        <w:t xml:space="preserve">a (nový)</w:t>
      </w:r>
    </w:p>
    <w:p w14:paraId="306E8017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A34C5FA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I. – Kapitola II hlavy I zákona č. 2004-575 z 21. júna 2004 o dôvere v digitálne hospodárstvo sa mení takto:</w:t>
      </w:r>
    </w:p>
    <w:p w14:paraId="759BD69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683753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článok 6 ods. I pododsek 7 bod 4 sa mení takto:</w:t>
      </w:r>
    </w:p>
    <w:p w14:paraId="2C3447E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6CB70DB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a)</w:t>
      </w:r>
      <w:r>
        <w:rPr>
          <w:sz w:val="21"/>
        </w:rPr>
        <w:t xml:space="preserve"> p</w:t>
      </w:r>
      <w:r>
        <w:rPr>
          <w:sz w:val="21"/>
          <w:rFonts w:ascii="Times-Roman" w:hAnsi="Times-Roman"/>
        </w:rPr>
        <w:t xml:space="preserve">rvá veta sa dopĺňa slovami: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„a zverejniť prostriedky, ktoré venujú na boj proti nezákonným činnostiam uvedeným v treťom bode tohto pododseku 7“;</w:t>
      </w:r>
    </w:p>
    <w:p w14:paraId="4595B9B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1C0256C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b)</w:t>
      </w:r>
      <w:r>
        <w:rPr>
          <w:sz w:val="21"/>
        </w:rPr>
        <w:t xml:space="preserve"> </w:t>
      </w:r>
      <w:r>
        <w:rPr>
          <w:sz w:val="21"/>
          <w:rFonts w:ascii="Times-Roman" w:hAnsi="Times-Roman"/>
        </w:rPr>
        <w:t xml:space="preserve">za tú istú prvú vetu sa vkladá táto veta: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„Tieto povinnosti sa nevzťahujú na prevádzkovateľov uvedených v prvom odseku článku 6-5 s cieľom bojovať proti šíreniu obsahu uvedeného v tom istom prvom odseku.“;</w:t>
      </w:r>
      <w:r>
        <w:rPr>
          <w:sz w:val="21"/>
          <w:rFonts w:ascii="Times-Roman" w:hAnsi="Times-Roman"/>
        </w:rPr>
        <w:t xml:space="preserve"> </w:t>
      </w:r>
    </w:p>
    <w:p w14:paraId="20C709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EC70F9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c)</w:t>
      </w:r>
      <w:r>
        <w:rPr>
          <w:sz w:val="21"/>
        </w:rPr>
        <w:t xml:space="preserve"> druhá veta sa mení takto:</w:t>
      </w:r>
    </w:p>
    <w:p w14:paraId="05AED14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E9E6E9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na začiatku sa slovo: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„Oni“ nahrádza slovami: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„Osoby uvedené v bodoch 1 a 2“;</w:t>
      </w:r>
    </w:p>
    <w:p w14:paraId="3F04CD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64F67E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– slová: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„na jednej strane“ sa vypúšťajú;</w:t>
      </w:r>
    </w:p>
    <w:p w14:paraId="1F50F6A9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01375A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slová: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„predchádzajúceho pododseku“ sa nahrádzajú slovami: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„v tom istom treťom pododseku“;</w:t>
      </w:r>
    </w:p>
    <w:p w14:paraId="059573B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1850A7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za slovom: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„služby“ sa vypúšťa koniec;</w:t>
      </w:r>
    </w:p>
    <w:p w14:paraId="77EFA707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FE7B4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za článok 6-2, zmenený uvedeným zákonom č. 2020-1266 z 19. októbra 2020, sa vkladá tento článok 6-5:</w:t>
      </w:r>
    </w:p>
    <w:p w14:paraId="3710D11A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B32B31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rFonts w:ascii="Times-Italic" w:hAnsi="Times-Italic"/>
        </w:rPr>
        <w:t xml:space="preserve">Článok 6-5.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</w:rPr>
        <w:t xml:space="preserve">– Prevádzkovatelia online platforiem vymedzených v článku L. 111-7 spotrebiteľského zákonníka, ktoré ponúkajú verejnosti online komunikačnú službu na základe klasifikácie, vytvárania odkazov alebo zdieľania obsahu umiestneného na internete tretími osobami a ktorých činnosť na francúzskom území presahuje hranicu počtu pripojení určených vyhláškou, bez ohľadu na to, či sú alebo nie sú usadené na francúzskom území, prispievajú k boju proti verejnému šíreniu obsahu, ktorý je v rozpore s ustanoveniami uvedenými v článku 6 ods. I pododseku 7 bode 3 tohto zákona, ako aj v treťom a štvrtom pododseku článku 33 zákona z 29. júla 1881 o slobode tlače.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V tejto súvislosti:</w:t>
      </w:r>
    </w:p>
    <w:p w14:paraId="030DD26D" w14:textId="77777777" w:rsidR="00F54ECB" w:rsidRDefault="00F54ECB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444E5B3E" w14:textId="77777777" w:rsidR="00317039" w:rsidRDefault="00317039" w:rsidP="00196BE6">
      <w:pPr>
        <w:spacing w:after="0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Uplatňujú primerané ľudské a technologické postupy a prostriedky, ktoré im umožnia:</w:t>
      </w:r>
    </w:p>
    <w:p w14:paraId="0D0F237C" w14:textId="77777777" w:rsidR="001048BC" w:rsidRDefault="001048BC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18D0FAE1" w14:textId="77777777" w:rsidR="00317039" w:rsidRPr="004E021A" w:rsidRDefault="001048BC" w:rsidP="00196BE6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</w:t>
      </w:r>
      <w:r>
        <w:rPr>
          <w:sz w:val="21"/>
          <w:i/>
          <w:iCs/>
          <w:rFonts w:ascii="Times-Roman" w:hAnsi="Times-Roman"/>
        </w:rPr>
        <w:t xml:space="preserve">a)</w:t>
      </w:r>
      <w:r>
        <w:rPr>
          <w:sz w:val="21"/>
          <w:rFonts w:ascii="Times-Roman" w:hAnsi="Times-Roman"/>
        </w:rPr>
        <w:t xml:space="preserve"> čo najskôr informovať súdne alebo správne orgány o opatreniach, ktoré prijali v dôsledku súdnych príkazov vydaných týmito orgánmi týkajúcich sa obsahu uvedeného v prvom pododseku tohto článku;</w:t>
      </w:r>
    </w:p>
    <w:p w14:paraId="2435515F" w14:textId="77777777" w:rsidR="004E021A" w:rsidRPr="004E021A" w:rsidRDefault="004E021A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2C7F75D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iCs/>
        </w:rPr>
        <w:t xml:space="preserve">b)</w:t>
      </w:r>
      <w:r>
        <w:rPr>
          <w:sz w:val="21"/>
        </w:rPr>
        <w:t xml:space="preserve"> urýchlene potvrdiť bezpečné prijatie žiadostí od súdnych alebo správnych orgánov o oznamovanie údajov, ktoré majú k dispozícii, s cieľom umožniť identifikáciu používateľov, ktorí nahrali obsah uvedený v tom istom prvom odseku, a čo najskôr informovať tieto orgány o následných opatreniach v súvislosti s takýmito žiadosťami;</w:t>
      </w:r>
    </w:p>
    <w:p w14:paraId="30D97CA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28FAC3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iCs/>
        </w:rPr>
        <w:t xml:space="preserve">c)</w:t>
      </w:r>
      <w:r>
        <w:rPr>
          <w:sz w:val="21"/>
        </w:rPr>
        <w:t xml:space="preserve"> dočasne ponechať obsah, ktorý im bol oznámený v rozpore s ustanoveniami uvedenými v prvom pododseku a ktorý zrušili alebo ktorý sa stal neprístupným, s cieľom sprístupniť ho súdnym orgánom na účely vyšetrovania, zisťovania a stíhania trestných činov;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trvanie a podmienky uchovávania tohto obsahu sú vymedzené vyhláškou Štátnej rady na základe stanoviska</w:t>
      </w:r>
    </w:p>
    <w:p w14:paraId="7CCEB7D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Národnej komisie pre informačné technológie a slobody;</w:t>
      </w:r>
    </w:p>
    <w:p w14:paraId="217052C2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D239C3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Určia jedno kontaktné miesto, fyzickú osobu zodpovednú za komunikáciu s orgánmi verejnej moci na účely vykonávania ustanovení tohto článku, ktorej sa môžu elektronicky zasielať najmä všetky žiadosti predložené Najvyššou radou pre audiovizuálne záležitosti podľa článku 62 zákona č. 86-1067 z 30. septembra 1986 o slobode komunikácie.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Toto jednotné kontaktné miesto je zodpovedné najmä za prijímanie žiadostí adresovaných prevádzkovateľovi súdnym orgánom v súlade s postupom ustanoveným v článku 6 ods. II tohto zákona s cieľom zabezpečiť ich rýchle spracovanie;</w:t>
      </w:r>
    </w:p>
    <w:p w14:paraId="0A2DC01B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82F8DA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„3.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Sprístupnia verejnosti ľahko dostupným spôsobom všeobecné podmienky používania služby, ktorú ponúkajú;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zahrnú do nich ustanovenia zakazujúce online uverejňovanie obsahu uvedeného v prvom pododseku tohto článku;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jasne a presne opíšu svoje zmierňujúce opatrenia zamerané na zistenie, ak je to vhodné, identifikáciu a spracovanie takéhoto obsahu, s uvedením údajov o postupoch a ľudských alebo automatizovaných prostriedkoch použitých na tento účel a o opatreniach, ktoré vykonávajú, a ktoré majú vplyv na dostupnosť, viditeľnosť a prístupnosť takéhoto obsahu;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uvedú opatrenia, ktoré vykonávajú, pokiaľ ide o používateľov, ktorí sprístupnili tento obsah online, ako aj vnútroštátne a súdne opravné prostriedky dostupné takýmto používateľom;</w:t>
      </w:r>
    </w:p>
    <w:p w14:paraId="735ACC5C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D5ECD3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„4.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Informujú verejnosť o použitých prostriedkoch a opatreniach prijatých na boj proti šíreniu obsahu uvedeného v prvom odseku medzi používateľmi nachádzajúcimi sa na francúzskom území prostredníctvom uverejnenia, a to v súlade s postupmi a v intervaloch stanovených Najvyššou radou pre audiovizuálne záležitosti, o informáciách a kvantifikovaných ukazovateľoch, ktoré vymedzila Najvyššia rada a ktoré sa týkajú najmä spracúvania súdnych príkazov alebo žiadostí o informácie od súdnych alebo správnych orgánov, prijatých oznámení a výberu interných opravných prostriedkov, ako aj prípadne kritérií pre výber dôveryhodných tretích strán, ktorých oznámenia majú prednostné zaobchádzanie, a podmienok spolupráce s týmito tretími stranami;</w:t>
      </w:r>
    </w:p>
    <w:p w14:paraId="38F2E708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995FF1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„5.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Uplatňujú ľahko dostupný a ľahko použiteľný postup, ktorý každej osobe umožní elektronickými prostriedkami oznamovať akýkoľvek obsah, ktorý je v rozpore s ustanoveniami uvedenými v prvom odseku, s cieľom jasne špecifikovať jeho umiestnenie a dôvody, pre ktoré sa predpokladá, že tento obsah by sa mal považovať za nezákonný, a poskytnúť informácie umožňujúce kontakt a oznamovanie sankcií vzniknutých v prípade nesprávneho oznámenia;</w:t>
      </w:r>
    </w:p>
    <w:p w14:paraId="6A67DF62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DF19E2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„6.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Uplatňujú primerané ľudské a technologické postupy a prostriedky, ktoré im umožnia:</w:t>
      </w:r>
    </w:p>
    <w:p w14:paraId="294BFE3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363DCC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iCs/>
        </w:rPr>
        <w:t xml:space="preserve">a)</w:t>
      </w:r>
      <w:r>
        <w:rPr>
          <w:sz w:val="21"/>
        </w:rPr>
        <w:t xml:space="preserve"> urýchlene potvrdiť bezpečné prijatie oznámení týkajúcich sa obsahu uvedeného v prvom odseku, s výhradou informácií potrebných na kontaktovanie autora;</w:t>
      </w:r>
    </w:p>
    <w:p w14:paraId="091A31AA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CEFF90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iCs/>
        </w:rPr>
        <w:t xml:space="preserve">b)</w:t>
      </w:r>
      <w:r>
        <w:rPr>
          <w:sz w:val="21"/>
        </w:rPr>
        <w:t xml:space="preserve"> zabezpečiť včasnú primeranú analýzu týchto oznámení;</w:t>
      </w:r>
    </w:p>
    <w:p w14:paraId="2D31A38A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45BB3B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iCs/>
        </w:rPr>
        <w:t xml:space="preserve">c)</w:t>
      </w:r>
      <w:r>
        <w:rPr>
          <w:sz w:val="21"/>
        </w:rPr>
        <w:t xml:space="preserve"> informovať autora o opatreniach, ktoré sa v tejto súvislosti prijali, a o dostupných vnútroštátnych a zákonných opravných prostriedkoch pod podmienkou, že budú k dispozícii potrebné informácie na jeho kontaktovanie;</w:t>
      </w:r>
    </w:p>
    <w:p w14:paraId="2D0AFB87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96047C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iCs/>
        </w:rPr>
        <w:t xml:space="preserve">d)</w:t>
      </w:r>
      <w:r>
        <w:rPr>
          <w:sz w:val="21"/>
        </w:rPr>
        <w:t xml:space="preserve"> ak sa rozhodlo o odstránení obsahu alebo o jeho nedostupnosti z dôvodu nerešpektovania ustanovení uvedených v prvom odseku, informovať používateľa pri pôvode jeho uverejnenia pod podmienkou, že budú k dispozícii potrebné informácie na jeho kontaktovanie:</w:t>
      </w:r>
    </w:p>
    <w:p w14:paraId="1DAE800D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A7335A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„– s uvedením dôvodov rozhodnutia;</w:t>
      </w:r>
    </w:p>
    <w:p w14:paraId="40DD698F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927676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„– s uvedením, či sa toto rozhodnutie prijalo prostredníctvom automatizovaného nástroja;</w:t>
      </w:r>
    </w:p>
    <w:p w14:paraId="47B65C5E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A02515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„– s informovaním o vnútroštátnych a zákonných opravných prostriedkoch, ktoré má k dispozícii;</w:t>
      </w:r>
    </w:p>
    <w:p w14:paraId="05F79CF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74CD30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„– a s oznámením, že za zverejnenie nezákonného obsahu sa ukladajú občianske a trestné sankcie;</w:t>
      </w:r>
    </w:p>
    <w:p w14:paraId="294932C0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82CBCD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„7.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Uplatňujú vnútorné opravné prostriedky, ktoré umožňujú:</w:t>
      </w:r>
    </w:p>
    <w:p w14:paraId="6755CD8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1B9FE0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iCs/>
        </w:rPr>
        <w:t xml:space="preserve">a)</w:t>
      </w:r>
      <w:r>
        <w:rPr>
          <w:sz w:val="21"/>
        </w:rPr>
        <w:t xml:space="preserve"> autorovi oznámenia o obsahu uvedenom v prvom odseku napadnúť rozhodnutie prevádzkovateľa v reakcii na toto oznámenie;</w:t>
      </w:r>
    </w:p>
    <w:p w14:paraId="3752E11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1919F4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iCs/>
        </w:rPr>
        <w:t xml:space="preserve">b)</w:t>
      </w:r>
      <w:r>
        <w:rPr>
          <w:sz w:val="21"/>
        </w:rPr>
        <w:t xml:space="preserve"> používateľovi, ktorý je pôvodcom uverejneného obsahu, ktorý bol predmetom rozhodnutia uvedeného v bode 6 písm. d), napadnúť toto rozhodnutie;</w:t>
      </w:r>
    </w:p>
    <w:p w14:paraId="4A970BB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A8CDBD" w14:textId="77777777" w:rsidR="00317039" w:rsidRPr="004E021A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1"/>
          <w:szCs w:val="21"/>
          <w:rFonts w:ascii="Times-Italic" w:hAnsi="Times-Italic" w:cs="Times-Italic"/>
        </w:rPr>
      </w:pPr>
      <w:r>
        <w:rPr>
          <w:sz w:val="21"/>
        </w:rPr>
        <w:t xml:space="preserve">„</w:t>
      </w:r>
      <w:r>
        <w:rPr>
          <w:sz w:val="21"/>
          <w:i/>
          <w:iCs/>
        </w:rPr>
        <w:t xml:space="preserve">c)</w:t>
      </w:r>
      <w:r>
        <w:rPr>
          <w:sz w:val="21"/>
        </w:rPr>
        <w:t xml:space="preserve"> používateľovi, na ktorého sa vzťahuje rozhodnutie uvedené v bode 8 písm. a) alebo b), napadnúť toto rozhodnutie.</w:t>
      </w:r>
    </w:p>
    <w:p w14:paraId="29E98655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ED326F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Zabezpečujú, aby tieto systémy boli ľahko dostupné a ľahko použiteľné a aby umožňovali primerané a rýchle spracovanie odvolaní, ktoré nie je založené výlučne na používaní automatizovaných prostriedkov, pričom bezodkladne informujú používateľa o prijatom rozhodnutí a bezodkladne zrušia opatrenia týkajúce sa príslušného obsahu alebo používateľa zavedeného prevádzkovateľom v prípade, že výsledkom odvolania je záver, že napadnuté rozhodnutie nebolo dôvodné;</w:t>
      </w:r>
    </w:p>
    <w:p w14:paraId="058AEBDD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D8722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„8.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Pri rozhodovaní o vykonávaní takýchto postupov jasne a presne stanovujú vo svojich podmienkach používania postupy, výsledkom ktorých je:</w:t>
      </w:r>
    </w:p>
    <w:p w14:paraId="044FD292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54DDD5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iCs/>
        </w:rPr>
        <w:t xml:space="preserve">a)</w:t>
      </w:r>
      <w:r>
        <w:rPr>
          <w:sz w:val="21"/>
        </w:rPr>
        <w:t xml:space="preserve"> pozastavenie alebo v najzávažnejších prípadoch ukončenie účtu používateľov, ktorí opakovane nahrali obsah v rozpore s ustanoveniami uvedenými v prvom odseku tohto článku;</w:t>
      </w:r>
    </w:p>
    <w:p w14:paraId="173041B2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155184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</w:t>
      </w:r>
      <w:r>
        <w:rPr>
          <w:sz w:val="21"/>
          <w:i/>
          <w:iCs/>
        </w:rPr>
        <w:t xml:space="preserve">b)</w:t>
      </w:r>
      <w:r>
        <w:rPr>
          <w:sz w:val="21"/>
        </w:rPr>
        <w:t xml:space="preserve"> pozastavenie prístupu k mechanizmu oznamovania používateľom, ktorí opakovane predložili zjavne neopodstatnené oznámenia týkajúce sa obsahu uvedeného v tom istom prvom pododseku.</w:t>
      </w:r>
    </w:p>
    <w:p w14:paraId="2890B0F0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1E09E8F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„Pri vykonávaní takýchto postupov sa vykoná analýza jednotlivých prípadov zameraná na objektívnu charakterizáciu existencie správania uvedeného v písm. a) alebo b) bodu 8 a zohľadní sa najmä:</w:t>
      </w:r>
    </w:p>
    <w:p w14:paraId="312FB6B5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E8100A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„– množstvo nezákonného obsahu uvedeného v prvom odseku tohto článku alebo počet zjavne neopodstatnených oznámení pochádzajúcich od používateľa v minulom roku, a to v absolútnom vyjadrení, ako aj v pomere k celkovému množstvu obsahu alebo počtu oznámení, za ktoré bol zodpovedný;</w:t>
      </w:r>
    </w:p>
    <w:p w14:paraId="06035B7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9D8B8A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„– a závažnosť a dôsledky tohto zneužívania.</w:t>
      </w:r>
    </w:p>
    <w:p w14:paraId="1A31938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AF54AE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„Pri vykonávaní týchto postupov sa stanovuje, že opatrenia uvedené v bode 8 písm. a) a b) musia byť svojou povahou primerané závažnosti príslušného správania a v prípade pozastavenia musia byť vyhlásené na primerané časové obdobie.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Používateľovi sa poskytne varovanie a informácie o dostupných vnútroštátnych a súdnych opravných prostriedkoch;</w:t>
      </w:r>
    </w:p>
    <w:p w14:paraId="2F46735B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CC426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„9.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Prevádzkovatelia uvedení v prvom odseku tohto článku, ktorí vykonávajú činnosti na francúzskom území, ktoré presahujú limit počtu spojení stanovený vyhláškou a ktoré sú vyššie ako tie, ktoré sú uvedené v tom istom prvom odseku:</w:t>
      </w:r>
    </w:p>
    <w:p w14:paraId="4C12526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5F02CE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„a) každoročne vykonávajú posúdenie systémových rizík spojených s prevádzkou a využívaním ich služieb, pokiaľ ide o šírenie obsahu uvedeného v prvom odseku a v súvislosti s porušovaním základných práv vrátane slobody prejavu.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V tomto posúdení sa zohľadňujú charakteristiky týchto služieb, najmä ich účinky na šírenie vírusu alebo hromadné šírenie vyššie uvedeného obsahu;</w:t>
      </w:r>
    </w:p>
    <w:p w14:paraId="19F6B06C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7DADC4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„b) vykonávajú odôvodnené, účinné a primerané opatrenia, najmä pokiaľ ide o charakteristiky ich služieb a rozsah a závažnosť rizík zistených na konci posúdenia uvedeného v bode 9 písm. a), zamerané na zmiernenie rizík šírenia takéhoto obsahu, ktoré môžu súvisieť najmä s postupmi a ľudskými a technologickými prostriedkami používanými na odhaľovanie, identifikáciu a zaobchádzanie s týmto obsahom, pričom sa zabráni rizikám neoprávneného odstránenia podľa platného práva a podmienok ich používania;</w:t>
      </w:r>
    </w:p>
    <w:p w14:paraId="1242513D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5334DC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</w:t>
      </w:r>
      <w:r>
        <w:rPr>
          <w:sz w:val="21"/>
          <w:i/>
          <w:iCs/>
          <w:i/>
          <w:iCs/>
          <w:rFonts w:ascii="Times-Roman" w:hAnsi="Times-Roman"/>
        </w:rPr>
        <w:t xml:space="preserve">c)</w:t>
      </w:r>
      <w:r>
        <w:rPr>
          <w:sz w:val="21"/>
          <w:rFonts w:ascii="Times-Roman" w:hAnsi="Times-Roman"/>
        </w:rPr>
        <w:t xml:space="preserve"> v súlade s postupmi a intervalmi stanovenými Najvyššou radou pre audiovizuálne záležitosti podávajú verejnosti správy o posudzovaní týchto systémových rizík a zavedených opatreniach na zmiernenie rizík;</w:t>
      </w:r>
    </w:p>
    <w:p w14:paraId="6C3BA31B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6ED3E8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„10.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Prevádzkovatelia uvedení v prvom odseku podajú Najvyššej rade pre audiovizuálne záležitosti správu o postupoch a prostriedkoch použitých na uplatňovanie tohto článku za podmienok stanovených v článku 62 vyššie uvedeného zákona č. 86-1067 z 30. septembra 1986.“</w:t>
      </w:r>
      <w:r>
        <w:rPr>
          <w:sz w:val="21"/>
          <w:rFonts w:ascii="Times-Roman" w:hAnsi="Times-Roman"/>
        </w:rPr>
        <w:t xml:space="preserve"> </w:t>
      </w:r>
    </w:p>
    <w:p w14:paraId="1684239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6566FA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II. – Zákon č. 86-1067 z 30. septembra 1986 o slobode komunikácie sa mení takto:</w:t>
      </w:r>
    </w:p>
    <w:p w14:paraId="1D06806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D780F3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v treťom pododseku článku 19 ods. I pododseku 1 sa slová: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„ako aj platformy na zdieľanie videí“ nahrádzajú slovami: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„, platformy na zdieľanie videí, ako aj prevádzkovatelia online platforiem uvedení v článku 62“;</w:t>
      </w:r>
    </w:p>
    <w:p w14:paraId="21EC5BC4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3893D2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v prvom odseku článku 42-7 sa odkaz: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„a 48-3“ nahrádza odkazmi: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„, 48-3 a 62“;</w:t>
      </w:r>
    </w:p>
    <w:p w14:paraId="42FCD26C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821425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3.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hlava IV sa dopĺňa kapitolou III, ktorá znie takto:</w:t>
      </w:r>
    </w:p>
    <w:p w14:paraId="2EFBCE6A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D2A904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1"/>
          <w:szCs w:val="21"/>
          <w:rFonts w:ascii="Times-Italic" w:hAnsi="Times-Italic" w:cs="Times-Italic"/>
        </w:rPr>
      </w:pPr>
      <w:r>
        <w:rPr>
          <w:i/>
          <w:rFonts w:ascii="Times-Italic" w:hAnsi="Times-Italic"/>
        </w:rPr>
        <w:t xml:space="preserve">„KAPITOLA III</w:t>
      </w:r>
    </w:p>
    <w:p w14:paraId="34ECB5A0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780094D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1"/>
          <w:szCs w:val="21"/>
          <w:rFonts w:ascii="Times-BoldItalic" w:hAnsi="Times-BoldItalic" w:cs="Times-BoldItalic"/>
        </w:rPr>
      </w:pPr>
      <w:r>
        <w:rPr>
          <w:b/>
          <w:i/>
          <w:sz w:val="21"/>
          <w:rFonts w:ascii="Times-BoldItalic" w:hAnsi="Times-BoldItalic"/>
        </w:rPr>
        <w:t xml:space="preserve">„Ustanovenia platné pre online platformy na boj proti nenávistnému obsahu</w:t>
      </w:r>
    </w:p>
    <w:p w14:paraId="4959D9A9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7000A07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</w:rPr>
        <w:t xml:space="preserve">„Článok 62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  <w:rFonts w:ascii="Times-Roman" w:hAnsi="Times-Roman"/>
        </w:rPr>
        <w:t xml:space="preserve">– I. – Najvyššia rada pre audiovizuálne záležitosti zabezpečuje, aby prevádzkovatelia online platforiem uvedení v článku 6-5 v prvom odseku zákona č. 2004-575 z 21. júna 2004 o dôvere v digitálne hospodárstvo dodržiavali ustanovenia toho istého článku 6-5, berúc do úvahy, pokiaľ ide o každú z služieb, ktoré poskytujú, charakteristiky služby a primeranosť prostriedkov používaných prevádzkovateľom, najmä pokiaľ ide o rozsah a závažnosť rizík šírenia obsahu uvedeného v prvom odseku uvedeného článku 6-5 a rizík neoprávneného vylúčenia podľa platných právnych predpisov a podmienok ich používania.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Týmto prevádzkovateľom platforiem poskytne usmernenia na uplatňovanie toho istého článku 6-5.</w:t>
      </w:r>
    </w:p>
    <w:p w14:paraId="778D7C04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9DB9E9E" w14:textId="77777777" w:rsidR="00317039" w:rsidRDefault="00317039" w:rsidP="00F02A14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„Za podmienok stanovených v článku 19 tohto zákona zhromažďuje od týchto prevádzkovateľov informácie potrebné na kontrolu ich povinností.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Prevádzkovatelia uvedení v článku 6-5 ods. 9 zákona č. 2004-575 z 21. júna 2004 poskytujú prístup k zásadám fungovania automatizovaných nástrojov používaných na plnenie týchto povinností, k parametrom, ktoré tieto nástroje používajú, metódam a údajom použitým na hodnotenie a zlepšenie ich výkonnosti, ako aj k akýmkoľvek iným informáciám alebo údajom, ktoré jej umožňujú vyhodnotiť ich účinnosť v súlade s ustanoveniami týkajúcimi sa ochrany osobných údajov.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V súlade s týmito ustanoveniami môže Najvyššia rada pre audiovizuálne záležitosti zasielať primerané žiadosti o prístup ku všetkým údajom relevantným na posúdenie ich účinnosti, a to prostredníctvom špecializovaných programových rozhraní.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V súlade s týmito ustanoveniami a na tie isté účely môže Najvyššia rada pre audiovizuálne záležitosti zaviesť primerané metódy automatizovaného zhromažďovania verejne dostupných údajov s cieľom získať prístup k potrebným údajom.</w:t>
      </w:r>
    </w:p>
    <w:p w14:paraId="4960BBEF" w14:textId="77777777" w:rsidR="00317039" w:rsidRPr="00196BE6" w:rsidRDefault="00317039" w:rsidP="00196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16A3EE" w14:textId="77777777" w:rsidR="006522CF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„Vymedzuje informácie a kvantifikované ukazovatele, ktoré sú títo prevádzkovatelia povinní uverejňovať v súlade s článkom 6-5 ods. 4, ako aj modality a intervaly tohto uverejnenia.</w:t>
      </w:r>
    </w:p>
    <w:p w14:paraId="429BAEB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98A605E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„Každoročne uverejňuje preskúmanie uplatňovania ustanovení článku 6-5.</w:t>
      </w:r>
    </w:p>
    <w:p w14:paraId="7C9FF7B2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EE6A0B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„II. – Najvyššia rada pre audiovizuálne záležitosti môže prevádzkovateľov vyzvať, aby prostredníctvom predloženia formálnej výzvy a v lehote stanovenej vyššie splnili ustanovenia článku 6-5 uvedeného zákona č. 2004-575 z 21. júna 2004.</w:t>
      </w:r>
    </w:p>
    <w:p w14:paraId="1866DD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D4EFF02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„V prípade, že prevádzkovateľ nedodrží prijaté oznámenie, Najvyššia rada pre audiovizuálne záležitosti môže za podmienok stanovených v článku 42-7 tohto zákona uložiť pokutu, ktorej výškou sa zohľadní závažnosť nesúladu a prípadne jeho opakovaný charakter, ktorá nepresahuje 20 miliónov EUR alebo 6 % z celkového ročného obratu za predchádzajúci rok, podľa toho, ktorá suma je vyššia.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V prípade, že rovnaké porušenie podlieha v inom štáte peňažnej sankcii vypočítanej na rovnakom základe, pri určovaní sankcie uloženej podľa tohto odseku sa zohľadní výška tejto sankcie.</w:t>
      </w:r>
    </w:p>
    <w:p w14:paraId="1A99C8D2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8B9D2A5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„Odchylne od druhého odseku tohto bodu II v prípade odmietnutia zverejniť informácie požadované regulačným orgánom podľa druhého odseku bodu I alebo v prípade oznámenia nepravdivých alebo zavádzajúcich informácií nesmie výška uloženej sankcie prekročiť 1 % z celkového ročného celosvetového obratu za predchádzajúci rozpočtový rok.</w:t>
      </w:r>
    </w:p>
    <w:p w14:paraId="2BD2B9D1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E2F5167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„Najvyššia rada pre audiovizuálne záležitosti môže zverejňovať uložené oznámenia a sankcie.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Vo svojom rozhodnutí určí podrobnosti takéhoto uverejnenia, ktoré musia byť primerané závažnosti porušenia.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Môže tiež nariadiť vloženie svojho rozhodnutia do určených publikácií, novín a médií na náklady prevádzkovateľov, na ktorých sa vzťahuje formálne oznámenie alebo sankcia.</w:t>
      </w:r>
    </w:p>
    <w:p w14:paraId="0852CB6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B516F2D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„Pokuty sa vyberajú ako nedaňové a nemajetkové dlhy voči štátu.“;</w:t>
      </w:r>
      <w:r>
        <w:rPr>
          <w:sz w:val="21"/>
          <w:rFonts w:ascii="Times-Roman" w:hAnsi="Times-Roman"/>
        </w:rPr>
        <w:t xml:space="preserve"> </w:t>
      </w:r>
    </w:p>
    <w:p w14:paraId="2E2305DD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0A4B426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4. za slovom: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„výsledný“ má koniec prvého pododseku článku 108 toto znenie: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„zo zákona č.     z     , ktorým sa posilňuje súlad so zásadami republiky.“</w:t>
      </w:r>
      <w:r>
        <w:rPr>
          <w:sz w:val="21"/>
          <w:rFonts w:ascii="Times-Roman" w:hAnsi="Times-Roman"/>
        </w:rPr>
        <w:t xml:space="preserve"> </w:t>
      </w:r>
    </w:p>
    <w:p w14:paraId="199FC683" w14:textId="77777777" w:rsidR="00317039" w:rsidRPr="00196BE6" w:rsidRDefault="00317039" w:rsidP="00196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18F459E" w14:textId="77777777" w:rsidR="006522CF" w:rsidRPr="00F54ECB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III. – Ustanovenia tohto článku sa uplatňujú do 31. decembra 2023.</w:t>
      </w:r>
    </w:p>
    <w:sectPr w:rsidR="006522CF" w:rsidRPr="00F5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F1FF0"/>
    <w:multiLevelType w:val="hybridMultilevel"/>
    <w:tmpl w:val="70DE856A"/>
    <w:lvl w:ilvl="0" w:tplc="73F84A00">
      <w:start w:val="1"/>
      <w:numFmt w:val="lowerLetter"/>
      <w:lvlText w:val="%1)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8D"/>
    <w:rsid w:val="00013979"/>
    <w:rsid w:val="0005174C"/>
    <w:rsid w:val="001048BC"/>
    <w:rsid w:val="00134B73"/>
    <w:rsid w:val="00196BE6"/>
    <w:rsid w:val="00317039"/>
    <w:rsid w:val="00485A93"/>
    <w:rsid w:val="004E021A"/>
    <w:rsid w:val="006522CF"/>
    <w:rsid w:val="00694BF3"/>
    <w:rsid w:val="00742738"/>
    <w:rsid w:val="00994AE4"/>
    <w:rsid w:val="009C128D"/>
    <w:rsid w:val="00EB212A"/>
    <w:rsid w:val="00F02A14"/>
    <w:rsid w:val="00F54ECB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D280"/>
  <w15:chartTrackingRefBased/>
  <w15:docId w15:val="{D7122478-4E01-4C1D-9BE7-99AC4826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2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2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 Chantal</dc:creator>
  <cp:keywords/>
  <dc:description/>
  <cp:lastModifiedBy>Dimitris Dimitriadis</cp:lastModifiedBy>
  <cp:revision>3</cp:revision>
  <dcterms:created xsi:type="dcterms:W3CDTF">2021-05-21T16:07:00Z</dcterms:created>
  <dcterms:modified xsi:type="dcterms:W3CDTF">2021-05-25T08:09:00Z</dcterms:modified>
</cp:coreProperties>
</file>