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Utkast till lag om att befästa respekten för Republikens principer</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Artikel 19</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Avdelning I kapitel II i lag nr. 2004-575 av den 21 juni 2004 om förtroende för den digitala ekonomin ska ändras på följande sätt:</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 början av artikel 6(I)(8) ska orden:</w:t>
      </w:r>
      <w:r>
        <w:rPr>
          <w:sz w:val="21"/>
          <w:rFonts w:ascii="Times-Roman" w:hAnsi="Times-Roman"/>
        </w:rPr>
        <w:t xml:space="preserve"> </w:t>
      </w:r>
      <w:r>
        <w:rPr>
          <w:sz w:val="21"/>
          <w:rFonts w:ascii="Times-Roman" w:hAnsi="Times-Roman"/>
        </w:rPr>
        <w:t xml:space="preserve">”Den rättsliga myndigheten får som en interimistisk åtgärd eller på begäran föreskriva en person som avses i 2 eller, om detta inte är möjligt, till någon av de personer som nämns i 1,” ersättas med följande:</w:t>
      </w:r>
      <w:r>
        <w:rPr>
          <w:sz w:val="21"/>
          <w:rFonts w:ascii="Times-Roman" w:hAnsi="Times-Roman"/>
        </w:rPr>
        <w:t xml:space="preserve"> </w:t>
      </w:r>
      <w:r>
        <w:rPr>
          <w:sz w:val="21"/>
          <w:rFonts w:ascii="Times-Roman" w:hAnsi="Times-Roman"/>
        </w:rPr>
        <w:t xml:space="preserve">”Domstolens ordförande får, i enlighet med skyndsam handläggning i sak, föreskriva varje person som kan bidra till den”;</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Efter artikel 6-2 i dess lydelse enligt lag nr. 2020-1266 av den 19 oktober 2020 vars syfte är att reglera det kommersiella utnyttjandet av bilder på barn under sexton år på olika plattformar online, ska artiklarna 6-3 och 6-4 införas enligt följande:</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Artikel 6-4.</w:t>
      </w:r>
      <w:r>
        <w:rPr>
          <w:sz w:val="21"/>
          <w:i/>
          <w:rFonts w:ascii="Times-Italic" w:hAnsi="Times-Italic"/>
        </w:rPr>
        <w:t xml:space="preserve"> </w:t>
      </w:r>
      <w:r>
        <w:rPr>
          <w:sz w:val="21"/>
          <w:rFonts w:ascii="Times-Roman" w:hAnsi="Times-Roman"/>
        </w:rPr>
        <w:t xml:space="preserve">- Om verkställbart rättsligt beslut har fastställt någon åtgärd i syfte att förhindra tillgången till en offentlig kommunikationstjänst online därför att tjänstens innehåll omfattas av de överträdelser som avses i artikel 6(I)(7), får den administrativa myndigheten, om en berörd person menar att det finns behov för detta, hindrar allmänhetens tillgång till en kommunikationstjänst på nätet vars innehåll är identisk eller helt likvärdig med innehållet i nämnda tjänster, under en period som inte överstiger den återstående tiden för det rättsliga beslutets fastställda åtgärder.</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På samma villkor får den administrativa myndigheten också begära att alla operatörer av en sökmotor, katalog eller någon annan referenstjänst upphör med att hänvisa till webbadresser som ger allmänheten tillgång till sådana kommunikationstjänster online.</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administrativa myndigheten ska hålla en uppdaterad förteckning över de kommunikationstjänster online som avses i första stycket i denna artikel och som varit föremål för en begäran om blockering enligt samma artikels första stycke samt över webbadresser som håller sådana tjänster tillgängliga. Förteckningen ska göras tillgänglig för annonsörer, deras ombud och de tjänster som avses i artikel 299(II)(2) i den allmänna skattelagen.</w:t>
      </w:r>
      <w:r>
        <w:rPr>
          <w:sz w:val="21"/>
          <w:rFonts w:ascii="Times-Roman" w:hAnsi="Times-Roman"/>
        </w:rPr>
        <w:t xml:space="preserve"> </w:t>
      </w:r>
      <w:r>
        <w:rPr>
          <w:sz w:val="21"/>
          <w:rFonts w:ascii="Times-Roman" w:hAnsi="Times-Roman"/>
        </w:rPr>
        <w:t xml:space="preserve">Tjänsterna ska inkluderas i denna förteckning under återstoden av tiden som den rättsliga myndigheten beslutat om.</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Om dessa tjänster inte blockeras eller om hänvisningar till dessa tjänster inte tas bort i enlighet med denna artikel, får domstolens ordförande, i enlighet med skyndsam handläggning, besluta om åtgärder i syfte att stoppa tillgången till innehållet i dessa tjänster.</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Artikel 19 </w:t>
      </w:r>
      <w:r>
        <w:rPr>
          <w:b/>
          <w:sz w:val="21"/>
          <w:i/>
          <w:rFonts w:ascii="Times-BoldItalic" w:hAnsi="Times-BoldItalic"/>
        </w:rPr>
        <w:t xml:space="preserve">a (ny)</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 Avdelning I kapitel II i lag nr. 2004-575 av den 21 juni 2004 om förtroende för den digitala ekonomin ska ändras på följande sätt:</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Artikel 6(I)(7)(4) ska ändras på följande sätt:</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Första meningen ska kompletteras med följande:</w:t>
      </w:r>
      <w:r>
        <w:rPr>
          <w:sz w:val="21"/>
          <w:rFonts w:ascii="Times-Roman" w:hAnsi="Times-Roman"/>
        </w:rPr>
        <w:t xml:space="preserve"> </w:t>
      </w:r>
      <w:r>
        <w:rPr>
          <w:sz w:val="21"/>
          <w:rFonts w:ascii="Times-Roman" w:hAnsi="Times-Roman"/>
        </w:rPr>
        <w:t xml:space="preserve">”och offentliggöra de medel som de använder i kampen mot de olagliga verksamheter som avses i 7, tredje stycket”;</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efter denna första mening, ska följande mening införas:</w:t>
      </w:r>
      <w:r>
        <w:rPr>
          <w:sz w:val="21"/>
          <w:rFonts w:ascii="Times-Roman" w:hAnsi="Times-Roman"/>
        </w:rPr>
        <w:t xml:space="preserve"> </w:t>
      </w:r>
      <w:r>
        <w:rPr>
          <w:sz w:val="21"/>
          <w:rFonts w:ascii="Times-Roman" w:hAnsi="Times-Roman"/>
        </w:rPr>
        <w:t xml:space="preserve">”Dessa skyldigheter ska inte gälla de aktörer som avses i artikel 6-5 första stycket i syfte att bekämpa spridningen av det innehåll som avses i samma första stycke.”;</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 Andra meningen ska ändras på följande sätt:</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 början, ska ordet:</w:t>
      </w:r>
      <w:r>
        <w:rPr>
          <w:sz w:val="21"/>
          <w:rFonts w:ascii="Times-Roman" w:hAnsi="Times-Roman"/>
        </w:rPr>
        <w:t xml:space="preserve"> </w:t>
      </w:r>
      <w:r>
        <w:rPr>
          <w:sz w:val="21"/>
          <w:rFonts w:ascii="Times-Roman" w:hAnsi="Times-Roman"/>
        </w:rPr>
        <w:t xml:space="preserve">”De” ersättas med följande:</w:t>
      </w:r>
      <w:r>
        <w:rPr>
          <w:sz w:val="21"/>
          <w:rFonts w:ascii="Times-Roman" w:hAnsi="Times-Roman"/>
        </w:rPr>
        <w:t xml:space="preserve"> </w:t>
      </w:r>
      <w:r>
        <w:rPr>
          <w:sz w:val="21"/>
          <w:rFonts w:ascii="Times-Roman" w:hAnsi="Times-Roman"/>
        </w:rPr>
        <w:t xml:space="preserve">”De personer som avses i 1 och 2”;</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 </w:t>
      </w:r>
      <w:r>
        <w:rPr>
          <w:sz w:val="21"/>
          <w:rFonts w:ascii="Times-Roman" w:hAnsi="Times-Roman"/>
        </w:rPr>
        <w:t xml:space="preserve">orden:</w:t>
      </w:r>
      <w:r>
        <w:rPr>
          <w:sz w:val="21"/>
          <w:rFonts w:ascii="Times-Roman" w:hAnsi="Times-Roman"/>
        </w:rPr>
        <w:t xml:space="preserve"> </w:t>
      </w:r>
      <w:r>
        <w:rPr>
          <w:sz w:val="21"/>
          <w:rFonts w:ascii="Times-Roman" w:hAnsi="Times-Roman"/>
        </w:rPr>
        <w:t xml:space="preserve">”, å ena sidan,” ska utgå;</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orden:</w:t>
      </w:r>
      <w:r>
        <w:rPr>
          <w:sz w:val="21"/>
          <w:rFonts w:ascii="Times-Roman" w:hAnsi="Times-Roman"/>
        </w:rPr>
        <w:t xml:space="preserve"> </w:t>
      </w:r>
      <w:r>
        <w:rPr>
          <w:sz w:val="21"/>
          <w:rFonts w:ascii="Times-Roman" w:hAnsi="Times-Roman"/>
        </w:rPr>
        <w:t xml:space="preserve">”i föregående stycke” ska ersättas med:</w:t>
      </w:r>
      <w:r>
        <w:rPr>
          <w:sz w:val="21"/>
          <w:rFonts w:ascii="Times-Roman" w:hAnsi="Times-Roman"/>
        </w:rPr>
        <w:t xml:space="preserve"> </w:t>
      </w:r>
      <w:r>
        <w:rPr>
          <w:sz w:val="21"/>
          <w:rFonts w:ascii="Times-Roman" w:hAnsi="Times-Roman"/>
        </w:rPr>
        <w:t xml:space="preserve">”i samma tredje stycke”;</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efter ordet:</w:t>
      </w:r>
      <w:r>
        <w:rPr>
          <w:sz w:val="21"/>
          <w:rFonts w:ascii="Times-Roman" w:hAnsi="Times-Roman"/>
        </w:rPr>
        <w:t xml:space="preserve"> </w:t>
      </w:r>
      <w:r>
        <w:rPr>
          <w:sz w:val="21"/>
          <w:rFonts w:ascii="Times-Roman" w:hAnsi="Times-Roman"/>
        </w:rPr>
        <w:t xml:space="preserve">”tjänster” ska slutet utgå;</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Efter ordalydelsen i artikel 6-2 följande ovan nämnda lag nr. 2020-1266 av den 19 oktober 2020 ska artikel 6-5 införas enligt följande:</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Artikel 6-5.</w:t>
      </w:r>
      <w:r>
        <w:rPr>
          <w:sz w:val="21"/>
          <w:i/>
          <w:rFonts w:ascii="Times-Italic" w:hAnsi="Times-Italic"/>
        </w:rPr>
        <w:t xml:space="preserve"> </w:t>
      </w:r>
      <w:r>
        <w:rPr>
          <w:sz w:val="21"/>
          <w:rFonts w:ascii="Times-Roman" w:hAnsi="Times-Roman"/>
        </w:rPr>
        <w:t xml:space="preserve">- Operatörer av online-plattformar så som de definieras i artikel L111-7 i Konsumentlagen och som erbjuder allmänheten en kommunikationstjänst online baserad på klassificering, hänvisning eller delning av innehåll som publicerats online av tredje parter och vars verksamhet på det franska territoriet överstiger tröskelvärdet för antal förbindelser som fastställts i dekretet, oavsett om de är etablerade på franskt territorium eller inte, ska delta i kampen mot offentlig spridning av innehåll som strider mot de bestämmelser som anges i artikel 6(I)(7)(3) i denna lag samt artikel 24 </w:t>
      </w:r>
      <w:r>
        <w:rPr>
          <w:sz w:val="21"/>
          <w:i/>
          <w:rFonts w:ascii="Times-Italic" w:hAnsi="Times-Italic"/>
        </w:rPr>
        <w:t xml:space="preserve">bis </w:t>
      </w:r>
      <w:r>
        <w:rPr>
          <w:sz w:val="21"/>
          <w:rFonts w:ascii="Times-Roman" w:hAnsi="Times-Roman"/>
        </w:rPr>
        <w:t xml:space="preserve">och artikel 33 tredje och fjärde stycket i lagen av den 29 juli 1881 om pressfriheten.</w:t>
      </w:r>
      <w:r>
        <w:rPr>
          <w:sz w:val="21"/>
          <w:rFonts w:ascii="Times-Roman" w:hAnsi="Times-Roman"/>
        </w:rPr>
        <w:t xml:space="preserve"> </w:t>
      </w:r>
      <w:r>
        <w:rPr>
          <w:sz w:val="21"/>
          <w:rFonts w:ascii="Times-Roman" w:hAnsi="Times-Roman"/>
        </w:rPr>
        <w:t xml:space="preserve">I detta avseende gäller följande:</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De ska realisera proportionerliga mänskliga och tekniska förfaranden och medel som gör det möjligt för dem att:</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rFonts w:ascii="Times-Roman" w:hAnsi="Times-Roman"/>
        </w:rPr>
        <w:t xml:space="preserve">a)</w:t>
      </w:r>
      <w:r>
        <w:rPr>
          <w:sz w:val="21"/>
          <w:rFonts w:ascii="Times-Roman" w:hAnsi="Times-Roman"/>
        </w:rPr>
        <w:t xml:space="preserve"> Snarast möjligt informera de rättsliga eller administrativa myndigheterna om de åtgärder som har vidtagits följande föreläggandena som har utfärdats av dessa myndigheter beträffande sådant innehåll som avses i första stycket i denna artikel;</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Utan dröjsmål bekräfta ett säkert mottagande av en begäran från rättsliga eller administrativa myndigheter gällande överföring av uppgifter som de förfogar över för att möjliggöra identifiering av de användare som har laddat upp innehåll som avses i samma första stycke och så snart som möjligt informera dessa myndigheter om uppföljningen av en sådan begäran;</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Tillfälligt behålla det innehåll som har anmälts till dem på grund av att det anses strida mot de bestämmelser som avses i första stycket, och som de har återkallat eller gjort oåtkomligt, så att innehållet kan göras tillgängligt för de rättsliga myndigheterna för utredning, identifiering och lagföring av brott;</w:t>
      </w:r>
      <w:r>
        <w:rPr>
          <w:sz w:val="21"/>
          <w:rFonts w:ascii="Times-Roman" w:hAnsi="Times-Roman"/>
        </w:rPr>
        <w:t xml:space="preserve"> </w:t>
      </w:r>
      <w:r>
        <w:rPr>
          <w:sz w:val="21"/>
          <w:rFonts w:ascii="Times-Roman" w:hAnsi="Times-Roman"/>
        </w:rPr>
        <w:t xml:space="preserve">varaktigheten och metoderna för att bevara detta innehåll fastställs i ett dekret av Högsta Förvaltningsdomstolen (Conseil d’État), efter yttrande från</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nationella kommissionen för information, teknik och frihet;</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De ska utse en kontaktperson, en enda fysisk person som ansvarar för kommunikationen med de offentliga myndigheterna för genomförandet av bestämmelserna i denna artikel, till vilken i synnerhet alla ansökningar som lämnas in av det höga rådet för audiovisuella frågor i enlighet med artikel 62 i lag nr 86-1067 av den 30 september 1986 om kommunikationsfrihet, kan sändas på elektronisk väg.</w:t>
      </w:r>
      <w:r>
        <w:rPr>
          <w:sz w:val="21"/>
          <w:rFonts w:ascii="Times-Roman" w:hAnsi="Times-Roman"/>
        </w:rPr>
        <w:t xml:space="preserve"> </w:t>
      </w:r>
      <w:r>
        <w:rPr>
          <w:sz w:val="21"/>
          <w:rFonts w:ascii="Times-Roman" w:hAnsi="Times-Roman"/>
        </w:rPr>
        <w:t xml:space="preserve">Denna enda kontaktperson ska särskilt ansvara för mottagandet av ansökningar som den rättsliga myndigheten adresserar aktören i enlighet med förfarandet i artikel 6(II) i denna lag, i syfte att säkerställa dess omedelbara behandling;</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De ska på ett lättillgängligt sätt göra de allmänna användarvillkoren för den tjänst de erbjuder tillgängliga för allmänheten;</w:t>
      </w:r>
      <w:r>
        <w:rPr>
          <w:sz w:val="21"/>
          <w:rFonts w:ascii="Times-Roman" w:hAnsi="Times-Roman"/>
        </w:rPr>
        <w:t xml:space="preserve"> </w:t>
      </w:r>
      <w:r>
        <w:rPr>
          <w:sz w:val="21"/>
          <w:rFonts w:ascii="Times-Roman" w:hAnsi="Times-Roman"/>
        </w:rPr>
        <w:t xml:space="preserve">dessa ska innehålla bestämmelser som förbjuder online-publicering av sådant innehåll som avses i första stycket i denna artikel;</w:t>
      </w:r>
      <w:r>
        <w:rPr>
          <w:sz w:val="21"/>
          <w:rFonts w:ascii="Times-Roman" w:hAnsi="Times-Roman"/>
        </w:rPr>
        <w:t xml:space="preserve"> </w:t>
      </w:r>
      <w:r>
        <w:rPr>
          <w:sz w:val="21"/>
          <w:rFonts w:ascii="Times-Roman" w:hAnsi="Times-Roman"/>
        </w:rPr>
        <w:t xml:space="preserve">de ska i tydliga och exakta ordalag beskriva sina försiktighetsåtgärder i syfte att upptäcka, och vid behov, identifiera och bearbeta sådant innehåll, detaljerat beskriva de förfaranden och de mänskliga eller automatiserade metoder som används för detta ändamål och vilka åtgärder de vidtar för att påverka åtkomsten, synligheten och tillgängligheten för sådant innehåll;</w:t>
      </w:r>
      <w:r>
        <w:rPr>
          <w:sz w:val="21"/>
          <w:rFonts w:ascii="Times-Roman" w:hAnsi="Times-Roman"/>
        </w:rPr>
        <w:t xml:space="preserve"> </w:t>
      </w:r>
      <w:r>
        <w:rPr>
          <w:sz w:val="21"/>
          <w:rFonts w:ascii="Times-Roman" w:hAnsi="Times-Roman"/>
        </w:rPr>
        <w:t xml:space="preserve">de ska ange vilka åtgärder de vidtar för de användare som har gjort sådant innehåll tillgängligt online, samt vilka nationella och rättsliga åtgärder som finns tillgängliga för dessa användare;</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De ska informera allmänheten om de medel som används och om de åtgärder som vidtagits för att bekämpa spridning till användare på franskt territorium gällande sådant innehåll som avses i första stycket, i enlighet med de förfaranden och med de intervall som fastställts av det höga rådet för audiovisuella frågor. Detta sker genom publicering av information och kvantifierade indikatorer som definieras av ovan nämnda höga råd, särskilt gällande behandling av ålägganden eller begäran om information från rättsliga eller administrativa myndigheter, mottagna anmälningarna och urvalet av interna rättsmedel, samt, när det är tillämpligt, de kriterier som tillämpas när tillförlitliga tredje parter väljs ut vars anmälningar ges prioritet, samt samarbetsvillkoren med dessa tredje parter;</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De ska genomföra ett tillvägagångssätt som är lättåtkomligt och lätt att använda och som gör det möjligt för var och en att på elektronisk väg rapportera allt innehåll som anses strida mot bestämmelserna i första stycket, där det tydligt kan anges var innehållet finns lokaliserat och skälen till varför detta innehåll anses vara olagligt, det ska även ges möjlighet att dela med sig av kontaktinformation samt information om de påföljder som kan utdömas vid en felaktig anmälan;</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De ska genomföra välavvägda mänskliga och tekniska förfaranden och medel som gör det möjligt för dem att:</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Utan dröjsmål bekräfta ett säkert mottagande av anmälningar beträffande det innehåll som avses i första stycket, förutsatt att de har de uppgifter som krävs för att kontakta upphovsmannen;</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Säkerställa att analysen av dessa anmälningar är lämplig och utförs i god tid;</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Informera upphovsmannen om de åtgärder som vidtagits och om de nationella och rättsliga medel som finns tillgängliga, förutsatt att de har de uppgifter som krävs för att kontakt dem;</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d) </w:t>
      </w:r>
      <w:r>
        <w:rPr>
          <w:sz w:val="21"/>
          <w:rFonts w:ascii="Times-Roman" w:hAnsi="Times-Roman"/>
        </w:rPr>
        <w:t xml:space="preserve">Om det beslutas att innehåll ska tas bort eller göras oåtkomligt på grund av förbiseende av de bestämmelser som avses i första stycket, ska användaren som har gjort publikationen informeras och om de har de uppgifter som krävs för att kontakta dem:</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ange skälen till beslutet;</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ange om detta beslut har fattats med hjälp av ett automatiserat verktyg;</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informera om de nationella och rättsliga medel som står till deras förfogande;</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och rapportera om att det utdöms civilrättsliga och straffrättsliga påföljder för offentliggörande av olagligt innehåll;</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De ska vidta interna åtgärder som gör det möjligt för:</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den aktör som gör en anmälan gällande det innehåll som avses i första stycket, att bestrida det beslut som operatören tar i form av respons på anmälan;</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den användare som är upphovsman till ett offentliggörande av innehåll som varit föremål för ett beslut enligt punkt 6(d) att överklaga beslutet;</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rFonts w:ascii="Times-Italic" w:hAnsi="Times-Italic"/>
        </w:rPr>
        <w:t xml:space="preserve">c) </w:t>
      </w:r>
      <w:r>
        <w:rPr>
          <w:sz w:val="21"/>
          <w:rFonts w:ascii="Times-Roman" w:hAnsi="Times-Roman"/>
        </w:rPr>
        <w:t xml:space="preserve">den användare som har varit föremål för ett beslut som avses i 8</w:t>
      </w:r>
      <w:r>
        <w:rPr>
          <w:sz w:val="21"/>
          <w:i/>
          <w:rFonts w:ascii="Times-Italic" w:hAnsi="Times-Italic"/>
        </w:rPr>
        <w:t xml:space="preserve"> (a) </w:t>
      </w:r>
      <w:r>
        <w:rPr>
          <w:sz w:val="21"/>
          <w:rFonts w:ascii="Times-Roman" w:hAnsi="Times-Roman"/>
        </w:rPr>
        <w:t xml:space="preserve">eller (</w:t>
      </w:r>
      <w:r>
        <w:rPr>
          <w:sz w:val="21"/>
          <w:i/>
          <w:rFonts w:ascii="Times-Italic" w:hAnsi="Times-Italic"/>
        </w:rPr>
        <w:t xml:space="preserve">b) </w:t>
      </w:r>
      <w:r>
        <w:rPr>
          <w:sz w:val="21"/>
        </w:rPr>
        <w:t xml:space="preserve">ska överklaga beslutet.</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 ska se till att dessa system är lätta att tillgå och lätta att använda och att de möjliggör en lämplig och snabb behandling av överklaganden, som inte enbart hanteras med automatiska medel, och att de utan dröjsmål informerar användaren om det antagna beslutet och omedelbart upphäver de åtgärder som operatören vidtagit i förhållande till innehållet eller användaren när överklagan leder till slutsatsen att det angripna beslutet inte varit motiverat;</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När beslut fattas om att genomföra sådana förfaranden ska användarvillkoren klart och tydligt ange de gärningar som leder till:</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Avstängning eller, i allvarligaste fall, inaktiverat konto för de användare som vid upprepade tillfällen har laddat upp innehåll som strider mot bestämmelserna i artikelns första stycke;</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Att åtkomsten till anmälningsmekanismen avstängs för de användare som vid upprepade tillfällen lämnat in uppenbart ogrundade anmälningar om det innehåll som avses i samma första stycke.</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När sådana förfaranden genomförs ska en fallstudie i syfte att objektivt beskriva förekomsten av det beteende som avses i </w:t>
      </w:r>
      <w:r>
        <w:rPr>
          <w:sz w:val="21"/>
          <w:i/>
          <w:rFonts w:ascii="Times-Italic" w:hAnsi="Times-Italic"/>
        </w:rPr>
        <w:t xml:space="preserve">a </w:t>
      </w:r>
      <w:r>
        <w:rPr>
          <w:sz w:val="21"/>
          <w:rFonts w:ascii="Times-Roman" w:hAnsi="Times-Roman"/>
        </w:rPr>
        <w:t xml:space="preserve">eller </w:t>
      </w:r>
      <w:r>
        <w:rPr>
          <w:sz w:val="21"/>
          <w:i/>
          <w:rFonts w:ascii="Times-Italic" w:hAnsi="Times-Italic"/>
        </w:rPr>
        <w:t xml:space="preserve">b </w:t>
      </w:r>
      <w:r>
        <w:rPr>
          <w:sz w:val="21"/>
          <w:rFonts w:ascii="Times-Roman" w:hAnsi="Times-Roman"/>
        </w:rPr>
        <w:t xml:space="preserve">i denna punkt 8 genomföras med särskilt beaktande för:</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det antal anmälningar om olagligt innehåll, som avses i första stycket i denna artikel, eller uppenbart ogrundade anmälningar som användaren gjort under det senaste året, både i absoluta tal och i proportion till det totala antalet i förhållande till publicerat innehåll eller gjorda anmälningar som han eller hon varit ansvarig för, samt;</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allvaret och konsekvenserna av dessa övergrepp.</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När dessa förfaranden genomförs föreskrivs det att de åtgärder som avses i 8 (a) och (b) ska stå i proportion till hur allvarlig gärningen i fråga är och, när det gäller avstängning, att den ska gälla under en rimlig tid.</w:t>
      </w:r>
      <w:r>
        <w:rPr>
          <w:sz w:val="21"/>
          <w:rFonts w:ascii="Times-Roman" w:hAnsi="Times-Roman"/>
        </w:rPr>
        <w:t xml:space="preserve"> </w:t>
      </w:r>
      <w:r>
        <w:rPr>
          <w:sz w:val="21"/>
          <w:rFonts w:ascii="Times-Roman" w:hAnsi="Times-Roman"/>
        </w:rPr>
        <w:t xml:space="preserve">Användaren ska få en varning och information om vilka nationella och rättsliga medel som finns att tillgå;</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De operatörer som nämns i första stycket i denna artikel och som är verksamma inom det franska territoriet med ett högre antal förbindelser än det som fastställs i dekret och högre än de som anges i samma första stycke, ska:</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Årligen utföra en bedömning av de systemrisker som förknippas med driften och användningen av deras tjänster i fråga om spridning av innehåll som avses i första stycket och i fråga om överträdelser av grundläggande rättigheter, inbegripet yttrandefrihet.</w:t>
      </w:r>
      <w:r>
        <w:rPr>
          <w:sz w:val="21"/>
          <w:rFonts w:ascii="Times-Roman" w:hAnsi="Times-Roman"/>
        </w:rPr>
        <w:t xml:space="preserve"> </w:t>
      </w:r>
      <w:r>
        <w:rPr>
          <w:sz w:val="21"/>
          <w:rFonts w:ascii="Times-Roman" w:hAnsi="Times-Roman"/>
        </w:rPr>
        <w:t xml:space="preserve">Vid denna bedömning ska hänsyn tas till dessa tjänsters egenskaper, särskilt deras effekter på spridning av virus eller mass-spridning av ovannämnda innehåll;</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Vidta rimliga, effektiva och väl avvägda åtgärder, särskilt med avseende på tjänsternas egenskaper och omfattningen och allvaret hos de risker som identifierats vid slutet av bedömningen enligt punkt 9(a) med ett syfte att minska riskerna för spridning av sådant innehåll, vilka i synnerhet kan relatera till de förfaranden och de mänskliga och tekniska medel som används för att upptäcka, identifiera och behandla sådant innehåll, samtidigt som risken för omotiverad eliminering enligt tillämplig lag och användarvillkor förhindras;</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I enlighet med de förfaranden och intervaller som fastställts av styrelsen för audiovisuella frågor, meddela allmänheten om bedömningen av dessa systemrisker och de genomförda riskreducerande åtgärderna;</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De operatörer som nämns i första stycket ska på de villkor som anges i artikel 62 i lag nr. 86-1067 av den 30 september 1986 rapportera till styrelsen för audiovisuella frågor om de förfaranden och de metoder som används för tillämpningen av denna artikel.</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Lag nr. 86-1067 av den 30 september 1986 om kommunikationsfrihet ändras på följande sätt:</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I artikel 19(I)(1) tredje stycket ska orden:</w:t>
      </w:r>
      <w:r>
        <w:rPr>
          <w:sz w:val="21"/>
          <w:rFonts w:ascii="Times-Roman" w:hAnsi="Times-Roman"/>
        </w:rPr>
        <w:t xml:space="preserve"> </w:t>
      </w:r>
      <w:r>
        <w:rPr>
          <w:sz w:val="21"/>
          <w:rFonts w:ascii="Times-Roman" w:hAnsi="Times-Roman"/>
        </w:rPr>
        <w:t xml:space="preserve">”och videodelningsplattformar” ersättas med:</w:t>
      </w:r>
      <w:r>
        <w:rPr>
          <w:sz w:val="21"/>
          <w:rFonts w:ascii="Times-Roman" w:hAnsi="Times-Roman"/>
        </w:rPr>
        <w:t xml:space="preserve"> </w:t>
      </w:r>
      <w:r>
        <w:rPr>
          <w:sz w:val="21"/>
          <w:rFonts w:ascii="Times-Roman" w:hAnsi="Times-Roman"/>
        </w:rPr>
        <w:t xml:space="preserve">”, videodelningsplattformar och nätplattformsoperatörer enligt artikel 62”;</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I artikel 42-7 första stycket ska hänvisningen:</w:t>
      </w:r>
      <w:r>
        <w:rPr>
          <w:sz w:val="21"/>
          <w:rFonts w:ascii="Times-Roman" w:hAnsi="Times-Roman"/>
        </w:rPr>
        <w:t xml:space="preserve"> </w:t>
      </w:r>
      <w:r>
        <w:rPr>
          <w:sz w:val="21"/>
          <w:rFonts w:ascii="Times-Roman" w:hAnsi="Times-Roman"/>
        </w:rPr>
        <w:t xml:space="preserve">”och 48-3” ersättas med följande hänvisningar:</w:t>
      </w:r>
      <w:r>
        <w:rPr>
          <w:sz w:val="21"/>
          <w:rFonts w:ascii="Times-Roman" w:hAnsi="Times-Roman"/>
        </w:rPr>
        <w:t xml:space="preserve"> </w:t>
      </w:r>
      <w:r>
        <w:rPr>
          <w:sz w:val="21"/>
          <w:rFonts w:ascii="Times-Roman" w:hAnsi="Times-Roman"/>
        </w:rPr>
        <w:t xml:space="preserve">”, 48-3 och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Avdelning IV ska kompletteras med ett kapitel III, med följande lydelse:</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KAPITEL III</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Bestämmelser för bekämpning av hatinnehåll på onlineplattformar</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Artikel 62.</w:t>
      </w:r>
      <w:r>
        <w:rPr>
          <w:sz w:val="21"/>
          <w:i/>
          <w:rFonts w:ascii="Times-Italic" w:hAnsi="Times-Italic"/>
        </w:rPr>
        <w:t xml:space="preserve"> </w:t>
      </w:r>
      <w:r>
        <w:rPr>
          <w:sz w:val="21"/>
          <w:rFonts w:ascii="Times-Roman" w:hAnsi="Times-Roman"/>
        </w:rPr>
        <w:t xml:space="preserve">- I. - Styrelsen för audiovisuella frågor ska i fråga om de plattformsoperatörer som avses i artikel 6-5 första stycket i lag nr. 2004-575 av den 21 juni 2004 om förtroende för den digitala ekonomin, se till så att dessa följer bestämmelserna i samma artikel 6-5, med beaktande av var och en av de tjänster som de erbjuder, dess egenskaper samt lämpligheten hos de medel som operatören använder i syfte att mäta i synnerhet omfattningen av och hur stora riskerna är för spridning av sådant innehåll som avses i första stycket i nämnda artikel 6-5 och risken för obefogad inaktivering eller avstängning under tillämplig lag och användarvillkoren.</w:t>
      </w:r>
      <w:r>
        <w:rPr>
          <w:sz w:val="21"/>
          <w:rFonts w:ascii="Times-Roman" w:hAnsi="Times-Roman"/>
        </w:rPr>
        <w:t xml:space="preserve"> </w:t>
      </w:r>
      <w:r>
        <w:rPr>
          <w:sz w:val="21"/>
          <w:rFonts w:ascii="Times-Roman" w:hAnsi="Times-Roman"/>
        </w:rPr>
        <w:t xml:space="preserve">Styrelsen ska förse dessa plattformsoperatörer med riktlinjer för tillämpningen av samma artikel 6-5.</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ska enligt de villkor som anges i artikel 19 i denna lag samla in den information som är nödvändig för att övervaka deras skyldigheter.</w:t>
      </w:r>
      <w:r>
        <w:rPr>
          <w:sz w:val="21"/>
          <w:rFonts w:ascii="Times-Roman" w:hAnsi="Times-Roman"/>
        </w:rPr>
        <w:t xml:space="preserve"> </w:t>
      </w:r>
      <w:r>
        <w:rPr>
          <w:sz w:val="21"/>
          <w:rFonts w:ascii="Times-Roman" w:hAnsi="Times-Roman"/>
        </w:rPr>
        <w:t xml:space="preserve">Vidare ska operatörerna som nämns i artikel 6-5(9). i lag nr. 2004-575 av den 21 juni 2004 ovan ge tillgång till principerna för driften av de automatiserade verktyg som används för att uppfylla dessa skyldigheter, de parametrar som används för dessa verktyg, de metoder och uppgifter som används för att utvärdera och förbättra deras prestanda och all annan information eller data som gör det möjligt att bedöma deras effektivitet i enlighet med bestämmelserna om skydd av personuppgifter.</w:t>
      </w:r>
      <w:r>
        <w:rPr>
          <w:sz w:val="21"/>
          <w:rFonts w:ascii="Times-Roman" w:hAnsi="Times-Roman"/>
        </w:rPr>
        <w:t xml:space="preserve"> </w:t>
      </w:r>
      <w:r>
        <w:rPr>
          <w:sz w:val="21"/>
          <w:rFonts w:ascii="Times-Roman" w:hAnsi="Times-Roman"/>
        </w:rPr>
        <w:t xml:space="preserve">I enlighet med dessa bestämmelser får styrelsen för audiovisuella frågor skicka en väl avvägd förfrågan om åtkomst, via särskilda gränssnitt för programplanering, för alla relevanta uppgifter som kan användas för bedömning om deras effektivitet.</w:t>
      </w:r>
      <w:r>
        <w:rPr>
          <w:sz w:val="21"/>
          <w:rFonts w:ascii="Times-Roman" w:hAnsi="Times-Roman"/>
        </w:rPr>
        <w:t xml:space="preserve"> </w:t>
      </w:r>
      <w:r>
        <w:rPr>
          <w:sz w:val="21"/>
          <w:rFonts w:ascii="Times-Roman" w:hAnsi="Times-Roman"/>
        </w:rPr>
        <w:t xml:space="preserve">I enlighet med dessa bestämmelser och för samma ändamål får styrelsen för audiovisuella frågor tillämpa väl avvägda metoder för automatisk insamling av offentligt tillgängliga uppgifter för att få tillgång till nödvändiga uppgifter.</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ska fastställa de uppgifter och de kvantifierade indikatorer som dessa operatörer är skyldiga att offentliggöra i enlighet med artikel 6-5(4) samt formerna och intervallerna för detta offentliggörande.</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Den ska varje år publicera en översikt över tillämpningen av bestämmelserna i artikel 6-5.</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 Styrelsen för audiovisuella frågor kan uppmana operatörerna, genom inlämning av en formell anmälan och inom den fastställda tidsfristen, att följa bestämmelserna i artikel 6-5 i lag nr. 2004-575 av den 21 juni 2004 ovan.</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Om operatören underlåter att följa den mottagna anmälan får styrelsen för audiovisuella frågor, enligt de villkor som anges i artikel 42-7 i denna lag, utfärda böter vars belopp ska bestämmas med hänsyn till hur allvarlig överträdelsen är och, i förekommande fall, dess upprepade karaktär, med högst 20 miljoner euro eller 6 % av det föregående årets totala årsomsättning, beroende på vilket som är högre.</w:t>
      </w:r>
      <w:r>
        <w:rPr>
          <w:sz w:val="21"/>
          <w:rFonts w:ascii="Times-Roman" w:hAnsi="Times-Roman"/>
        </w:rPr>
        <w:t xml:space="preserve"> </w:t>
      </w:r>
      <w:r>
        <w:rPr>
          <w:sz w:val="21"/>
          <w:rFonts w:ascii="Times-Roman" w:hAnsi="Times-Roman"/>
        </w:rPr>
        <w:t xml:space="preserve">Om samma överträdelse har varit föremål för vite, och beräknats på samma grundval, i en annan stat, ska beloppet av den tidigare påföljden beaktas vid fastställandet av den påföljd som utdöms enligt denna punkt.</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Med undantag från andra stycket i denna del II, får det påföljdsbelopp som utdöms inte överstiga 1 % av den totala globala omsättningen för föregående räkenskapsår, om den information som tillsynsmyndigheten begär enligt I andra stycket vägras att lämnas ut, eller om oriktiga eller vilseledande uppgifter har lämnats ut.</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Styrelsen för audiovisuella frågor kan offentliggöra anmälningar och sanktioner.</w:t>
      </w:r>
      <w:r>
        <w:rPr>
          <w:sz w:val="21"/>
          <w:rFonts w:ascii="Times-Roman" w:hAnsi="Times-Roman"/>
        </w:rPr>
        <w:t xml:space="preserve"> </w:t>
      </w:r>
      <w:r>
        <w:rPr>
          <w:sz w:val="21"/>
          <w:rFonts w:ascii="Times-Roman" w:hAnsi="Times-Roman"/>
        </w:rPr>
        <w:t xml:space="preserve">Den ska i sitt beslut fastställa detaljerna för detta offentliggörande, som ska stå i proportion till hur allvarlig överträdelsen är.</w:t>
      </w:r>
      <w:r>
        <w:rPr>
          <w:sz w:val="21"/>
          <w:rFonts w:ascii="Times-Roman" w:hAnsi="Times-Roman"/>
        </w:rPr>
        <w:t xml:space="preserve"> </w:t>
      </w:r>
      <w:r>
        <w:rPr>
          <w:sz w:val="21"/>
          <w:rFonts w:ascii="Times-Roman" w:hAnsi="Times-Roman"/>
        </w:rPr>
        <w:t xml:space="preserve">Den kan också besluta att deras beslut ska publiceras i utsedda publikationer, tidningar och medier på bekostnad av de operatörer åt vilka för den formella anmälan eller sanktionen riktas.</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Böter samlas in som icke-skattepliktig och icke-fastighetsskyldig skuld till staten;</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Efter ordet:</w:t>
      </w:r>
      <w:r>
        <w:rPr>
          <w:sz w:val="21"/>
          <w:rFonts w:ascii="Times-Roman" w:hAnsi="Times-Roman"/>
        </w:rPr>
        <w:t xml:space="preserve"> </w:t>
      </w:r>
      <w:r>
        <w:rPr>
          <w:sz w:val="21"/>
          <w:rFonts w:ascii="Times-Roman" w:hAnsi="Times-Roman"/>
        </w:rPr>
        <w:t xml:space="preserve">”resultatet” i slutet av artikel 108 första stycket kommer följande lydelse:</w:t>
      </w:r>
      <w:r>
        <w:rPr>
          <w:sz w:val="21"/>
          <w:rFonts w:ascii="Times-Roman" w:hAnsi="Times-Roman"/>
        </w:rPr>
        <w:t xml:space="preserve"> </w:t>
      </w:r>
      <w:r>
        <w:rPr>
          <w:sz w:val="21"/>
          <w:rFonts w:ascii="Times-Roman" w:hAnsi="Times-Roman"/>
        </w:rPr>
        <w:t xml:space="preserve">”i lag nr ... om att befästa respekten för Republikens principer.”</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 Bestämmelserna i denna artikel ska tillämpas till och med den 31 december 2023.</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