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7248C" w14:textId="77777777" w:rsidR="00A87D68" w:rsidRPr="00A87D68" w:rsidRDefault="00A87D68" w:rsidP="00A87D6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Decretul nr. 2020-1828 din 31 decembrie 2020 privind interzicerea anumitor produse din plastic de unică folosință</w:t>
      </w:r>
    </w:p>
    <w:p w14:paraId="6361B4B2" w14:textId="77777777" w:rsidR="00A87D68" w:rsidRPr="00A87D68" w:rsidRDefault="00A87D68" w:rsidP="00A87D6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Versiunea inițială:</w:t>
      </w:r>
      <w:r>
        <w:rPr>
          <w:b/>
          <w:sz w:val="24"/>
          <w:rFonts w:ascii="Times New Roman" w:hAnsi="Times New Roman"/>
        </w:rPr>
        <w:t xml:space="preserve"> </w:t>
      </w:r>
    </w:p>
    <w:p w14:paraId="365E0674"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Categorii de public vizate: </w:t>
      </w:r>
      <w:r>
        <w:rPr>
          <w:sz w:val="24"/>
          <w:rFonts w:ascii="Times New Roman" w:hAnsi="Times New Roman"/>
        </w:rPr>
        <w:t xml:space="preserve">persoane fizice sau juridice care livrează, utilizează, distribuie sau pun la dispoziție, cu titlu oneros sau gratuit, anumite produse din plastic de unică folosință, necesare pentru desfășurare activităților economice ale acestora.</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Obiect: </w:t>
      </w:r>
      <w:r>
        <w:rPr>
          <w:sz w:val="24"/>
          <w:rFonts w:ascii="Times New Roman" w:hAnsi="Times New Roman"/>
        </w:rPr>
        <w:t xml:space="preserve">condiții pentru aplicarea interdicției privind punerea la dispoziție a anumitor produse din plastic de unică folosință.</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Intrare în vigoare: </w:t>
      </w:r>
      <w:r>
        <w:rPr>
          <w:sz w:val="24"/>
          <w:rFonts w:ascii="Times New Roman" w:hAnsi="Times New Roman"/>
        </w:rPr>
        <w:t xml:space="preserve">decretul intră în vigoare în ziua următoare publicării sale, cu excepția anumitor dispoziții ale articolului 2 care va intra în vigoare la 3 iulie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Notă: </w:t>
      </w:r>
      <w:r>
        <w:rPr>
          <w:sz w:val="24"/>
          <w:rFonts w:ascii="Times New Roman" w:hAnsi="Times New Roman"/>
        </w:rPr>
        <w:t xml:space="preserve">decretul definește condițiile de aplicare a anumitor dispoziții prevăzute de Legea din 10 februarie 2020 privind combaterea risipei și economia circulară, care vizează interzicerea furnizării anumitor produse din plastic de unică folosință.</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Acesta clarifică interdicțiile privind anumite produse din plastic de unică folosință, în conformitate cu noile interdicții adoptate conform legii.</w:t>
      </w:r>
      <w:r>
        <w:rPr>
          <w:sz w:val="24"/>
          <w:rFonts w:ascii="Times New Roman" w:hAnsi="Times New Roman"/>
        </w:rPr>
        <w:t xml:space="preserve"> </w:t>
      </w:r>
      <w:r>
        <w:rPr>
          <w:sz w:val="24"/>
          <w:rFonts w:ascii="Times New Roman" w:hAnsi="Times New Roman"/>
        </w:rPr>
        <w:t xml:space="preserve">Punerea la dispoziție a produselor din plastic de unică folosință prevăzute de lege va fi interzisă gradual până la epuizarea stocurilor și până cel târziu la 1 iulie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Referințe: </w:t>
      </w:r>
      <w:r>
        <w:rPr>
          <w:sz w:val="24"/>
          <w:rFonts w:ascii="Times New Roman" w:hAnsi="Times New Roman"/>
        </w:rPr>
        <w:t xml:space="preserve">Codul mediului, modificat prin prezentul decret, poate fi consultat, în versiunea sa rezultată din această modificare, pe site-ul Légifrance (</w:t>
      </w:r>
      <w:r>
        <w:rPr>
          <w:sz w:val="24"/>
          <w:rFonts w:ascii="Times New Roman" w:hAnsi="Times New Roman"/>
        </w:rPr>
        <w:t xml:space="preserve">https://www.legifrance.gouv.fr</w:t>
      </w:r>
      <w:r>
        <w:rPr>
          <w:sz w:val="24"/>
          <w:rFonts w:ascii="Times New Roman" w:hAnsi="Times New Roman"/>
        </w:rPr>
        <w:t xml:space="preserve">).</w:t>
      </w:r>
      <w:r>
        <w:rPr>
          <w:sz w:val="24"/>
          <w:rFonts w:ascii="Times New Roman" w:hAnsi="Times New Roman"/>
        </w:rPr>
        <w:t xml:space="preserve"> </w:t>
      </w:r>
    </w:p>
    <w:p w14:paraId="7702FDAA"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Prim-ministrul,</w:t>
      </w:r>
    </w:p>
    <w:p w14:paraId="65FEAD9C"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pe baza raportului ministrului tranziției ecologice și solidare,</w:t>
      </w:r>
    </w:p>
    <w:p w14:paraId="03A62F73" w14:textId="66C8E04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Regulamentul (UE) 2017/745 al Parlamentului European și al Consiliului din 5 aprilie 2017 privind dispozitivele medicale, de modificare a Directivei 2001/83/CE, a Regulamentului (CE) nr. 178/2002 și a Regulamentului (CE) nr. 1223/2009 și de abrogare a Directivelor 90/385/CEE și 93/42/CEE ale Consiliului,</w:t>
      </w:r>
    </w:p>
    <w:p w14:paraId="3FAA5957" w14:textId="7A51292C"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90/385/CEE privind apropierea legislațiilor statelor membre referitoare la dispozitivele medicale active implantabile,</w:t>
      </w:r>
    </w:p>
    <w:p w14:paraId="5D6156F0" w14:textId="16A58415"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93/42/CEE privind dispozitivele medicale,</w:t>
      </w:r>
    </w:p>
    <w:p w14:paraId="7AA0FEDF" w14:textId="61DC5979"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94/62/CE a Parlamentului European și a Consiliului din 20 decembrie 1994 privind ambalajele și deșeurile de ambalaje, modificată prin Directiva 2004/12/CE a Parlamentului European și a Consiliului din 11 februarie 2004,</w:t>
      </w:r>
    </w:p>
    <w:p w14:paraId="47DD7FAF"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2008/98/CE a Parlamentului European și a Consiliului din 19 noiembrie 2008 privind deșeurile și de abrogare a anumitor directive, astfel cum a fost modificată ultima dată prin Directiva (UE) 2018/851 din 30 mai 2018;</w:t>
      </w:r>
    </w:p>
    <w:p w14:paraId="65EA85D0"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împreună cu notificarea nr. 2020/401/F transmisă Comisiei Europene la 26 iunie 2020;</w:t>
      </w:r>
    </w:p>
    <w:p w14:paraId="6B1E7B4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(UE) 2019/904 a Parlamentului European și a Consiliului din 5 iunie 2019 privind reducerea impactului anumitor produse din plastic asupra mediului,</w:t>
      </w:r>
    </w:p>
    <w:p w14:paraId="605A4402"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Codul mediului, în special articolul L541-15-10,</w:t>
      </w:r>
    </w:p>
    <w:p w14:paraId="4C7612C3"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Decretul nr. 2019-1451 din 24 decembrie 2019 privind interzicerea anumitor produse din plastic de unică folosință,</w:t>
      </w:r>
    </w:p>
    <w:p w14:paraId="4ECDA807" w14:textId="77777777" w:rsidR="00117739"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observațiile formulate cu ocazia consultării publice organizate în perioada </w:t>
      </w:r>
      <w:r>
        <w:rPr>
          <w:sz w:val="24"/>
          <w:rFonts w:ascii="Times New Roman" w:hAnsi="Times New Roman"/>
        </w:rPr>
        <w:t xml:space="preserve">22 iunie-13 iulie 2020</w:t>
      </w:r>
      <w:r>
        <w:rPr>
          <w:sz w:val="24"/>
          <w:rFonts w:ascii="Times New Roman" w:hAnsi="Times New Roman"/>
        </w:rPr>
        <w:t xml:space="preserve">, conform articolului L123-19-1 din Codul mediului,</w:t>
      </w:r>
    </w:p>
    <w:p w14:paraId="502A584C" w14:textId="5C1939DD" w:rsidR="00A87D68" w:rsidRPr="00A87D68" w:rsidRDefault="00A87D68" w:rsidP="00117739">
      <w:pPr>
        <w:spacing w:after="0" w:line="240" w:lineRule="auto"/>
        <w:rPr>
          <w:sz w:val="24"/>
          <w:szCs w:val="24"/>
          <w:rFonts w:ascii="Times New Roman" w:eastAsia="Times New Roman" w:hAnsi="Times New Roman" w:cs="Times New Roman"/>
        </w:rPr>
      </w:pPr>
      <w:r>
        <w:rPr>
          <w:sz w:val="24"/>
          <w:rFonts w:ascii="Times New Roman" w:hAnsi="Times New Roman"/>
        </w:rPr>
        <w:t xml:space="preserve">dispune:</w:t>
      </w:r>
    </w:p>
    <w:p w14:paraId="038A3261"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1</w:t>
      </w:r>
    </w:p>
    <w:p w14:paraId="34556B73"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În partea normativă din Codul mediului, cartea V titlul IV capitolul I secțiunea 10 subsecțiunea 3 se modifică după cum urmează:</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Articolul D541-330 punctul 1 se completează cu următorul text:</w:t>
      </w:r>
      <w:r>
        <w:rPr>
          <w:sz w:val="24"/>
          <w:rFonts w:ascii="Times New Roman" w:hAnsi="Times New Roman"/>
        </w:rPr>
        <w:t xml:space="preserve"> </w:t>
      </w:r>
      <w:r>
        <w:rPr>
          <w:sz w:val="24"/>
          <w:rFonts w:ascii="Times New Roman" w:hAnsi="Times New Roman"/>
        </w:rPr>
        <w:t xml:space="preserve">„și vopsele, cerneluri și adezivi”;</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Articolul D541-330 punctul 6 se înlocuiește cu următorul paragraf:</w:t>
      </w:r>
      <w:r>
        <w:rPr>
          <w:sz w:val="24"/>
          <w:rFonts w:ascii="Times New Roman" w:hAnsi="Times New Roman"/>
        </w:rPr>
        <w:br/>
      </w: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«materiale plastice oxodegradabile» înseamnă materiale plastice care conțin aditivi care, sub efectul oxidării, duc la fragmentarea materialului plastic în microfragmente sau la descompunere chimică;”</w:t>
      </w:r>
      <w:r>
        <w:rPr>
          <w:sz w:val="24"/>
          <w:rFonts w:ascii="Times New Roman" w:hAnsi="Times New Roman"/>
        </w:rPr>
        <w:br/>
      </w: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Articolul D541-330 punctul 7 se înlocuiește cu trei paragrafe, după cum urmează:</w:t>
      </w: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«cupe și pahare» înseamnă</w:t>
      </w:r>
      <w:r>
        <w:rPr>
          <w:sz w:val="24"/>
          <w:rFonts w:ascii="Times New Roman" w:hAnsi="Times New Roman"/>
        </w:rPr>
        <w:br/>
      </w:r>
      <w:r>
        <w:rPr>
          <w:sz w:val="24"/>
          <w:rFonts w:ascii="Times New Roman" w:hAnsi="Times New Roman"/>
        </w:rPr>
        <w:t xml:space="preserve">(a) cupe și pahare pentru băuturi fabricate integral sau parțial din polistiren expandat, inclusiv mijloacele de închidere și capacele acestora;</w:t>
      </w:r>
      <w:r>
        <w:rPr>
          <w:sz w:val="24"/>
          <w:rFonts w:ascii="Times New Roman" w:hAnsi="Times New Roman"/>
        </w:rPr>
        <w:br/>
      </w:r>
      <w:r>
        <w:rPr>
          <w:sz w:val="24"/>
          <w:rFonts w:ascii="Times New Roman" w:hAnsi="Times New Roman"/>
        </w:rPr>
        <w:t xml:space="preserve">(b) cupe și pahare, altele decât cele menționate la litera (a) și fabricate în întregime din plastic;</w:t>
      </w:r>
      <w:r>
        <w:rPr>
          <w:sz w:val="24"/>
          <w:rFonts w:ascii="Times New Roman" w:hAnsi="Times New Roman"/>
        </w:rPr>
        <w:br/>
      </w: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La articolul D541-330 punctul 8 se adaugă următoarea teză:</w:t>
      </w:r>
      <w:r>
        <w:rPr>
          <w:sz w:val="24"/>
          <w:rFonts w:ascii="Times New Roman" w:hAnsi="Times New Roman"/>
        </w:rPr>
        <w:t xml:space="preserve"> </w:t>
      </w:r>
      <w:r>
        <w:rPr>
          <w:sz w:val="24"/>
          <w:rFonts w:ascii="Times New Roman" w:hAnsi="Times New Roman"/>
        </w:rPr>
        <w:t xml:space="preserve">„și prin «alte farfurii» înseamnă farfurii fabricate parțial din plastic, inclusiv cu folie de plastic;”</w:t>
      </w:r>
      <w:r>
        <w:rPr>
          <w:sz w:val="24"/>
          <w:rFonts w:ascii="Times New Roman" w:hAnsi="Times New Roman"/>
        </w:rPr>
        <w:br/>
      </w: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La articolul D541-330, punctele 9-15 se înlocuiesc cu punctele 9-13, după cum urmează:</w:t>
      </w:r>
      <w:r>
        <w:rPr>
          <w:sz w:val="24"/>
          <w:rFonts w:ascii="Times New Roman" w:hAnsi="Times New Roman"/>
        </w:rPr>
        <w:br/>
      </w:r>
      <w:r>
        <w:rPr>
          <w:sz w:val="24"/>
          <w:rFonts w:ascii="Times New Roman" w:hAnsi="Times New Roman"/>
        </w:rPr>
        <w:t xml:space="preserve">„9.</w:t>
      </w:r>
      <w:r>
        <w:rPr>
          <w:sz w:val="24"/>
          <w:rFonts w:ascii="Times New Roman" w:hAnsi="Times New Roman"/>
        </w:rPr>
        <w:t xml:space="preserve"> </w:t>
      </w:r>
      <w:r>
        <w:rPr>
          <w:sz w:val="24"/>
          <w:rFonts w:ascii="Times New Roman" w:hAnsi="Times New Roman"/>
        </w:rPr>
        <w:t xml:space="preserve">«tacâmuri» înseamnă furculițe, cuțite, linguri, bețișoare și alte ustensile similare pentru masă utilizate pentru prelevarea, tăierea sau amestecul produselor alimentare, cu excepția tacâmurilor utilizate în penitenciare, în unități medicale și în transportul aerian, feroviar și maritim și a ustensilelor pentru dozarea produselor alimentare;</w:t>
      </w:r>
      <w:r>
        <w:rPr>
          <w:sz w:val="24"/>
          <w:rFonts w:ascii="Times New Roman" w:hAnsi="Times New Roman"/>
        </w:rPr>
        <w:br/>
      </w:r>
      <w:r>
        <w:rPr>
          <w:sz w:val="24"/>
          <w:rFonts w:ascii="Times New Roman" w:hAnsi="Times New Roman"/>
        </w:rPr>
        <w:t xml:space="preserve">10.</w:t>
      </w:r>
      <w:r>
        <w:rPr>
          <w:sz w:val="24"/>
          <w:rFonts w:ascii="Times New Roman" w:hAnsi="Times New Roman"/>
        </w:rPr>
        <w:t xml:space="preserve"> </w:t>
      </w:r>
      <w:r>
        <w:rPr>
          <w:sz w:val="24"/>
          <w:rFonts w:ascii="Times New Roman" w:hAnsi="Times New Roman"/>
        </w:rPr>
        <w:t xml:space="preserve">«cutii sau recipiente din polistiren expandat» înseamnă</w:t>
      </w:r>
      <w:r>
        <w:rPr>
          <w:sz w:val="24"/>
          <w:rFonts w:ascii="Times New Roman" w:hAnsi="Times New Roman"/>
        </w:rPr>
        <w:br/>
      </w:r>
      <w:r>
        <w:rPr>
          <w:sz w:val="24"/>
          <w:rFonts w:ascii="Times New Roman" w:hAnsi="Times New Roman"/>
        </w:rPr>
        <w:t xml:space="preserve">(a) recipiente din polistiren expandat destinate consumului imediat din recipient fie la fața locului, fie la pachet, cum ar fi caserolele, cu sau fără capac, utilizate pentru păstrarea produselor alimentare destinate consumului imediat, fie la fața locului, fie la pachet, consumate în general din recipient și gata de consum fără o altă preparare, cum ar fi coacere, fierbere sau reîncălzire, cu excepția recipientelor pentru băuturi, a farfuriilor, a plicurilor și a ambalajelor care conțin produse alimentare;</w:t>
      </w:r>
    </w:p>
    <w:p w14:paraId="3611C100" w14:textId="62260021"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 recipiente de băuturi din polistiren expandat, inclusiv dopurile și capacele acestora;</w:t>
      </w:r>
    </w:p>
    <w:p w14:paraId="2B76CB27" w14:textId="0E74E8C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«paie pentru băut cu excepția celor destinate a fi utilizate în scopuri medicale» înseamnă paiele pentru băut puse la dispoziție la locul de utilizare sau cele vândute la bucată sau la bax consumatorului final, cu excepția celor care se încadrează în domeniul de aplicare al Directivei 90/385/CEE sau al Directivei 93/42/CEE sau al Regulamentului (UE) 2017/745;</w:t>
      </w:r>
    </w:p>
    <w:p w14:paraId="09EEDEF2" w14:textId="77777777"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12.</w:t>
      </w:r>
      <w:r>
        <w:rPr>
          <w:sz w:val="24"/>
          <w:rFonts w:ascii="Times New Roman" w:hAnsi="Times New Roman"/>
        </w:rPr>
        <w:t xml:space="preserve"> </w:t>
      </w:r>
      <w:r>
        <w:rPr>
          <w:sz w:val="24"/>
          <w:rFonts w:ascii="Times New Roman" w:hAnsi="Times New Roman"/>
        </w:rPr>
        <w:t xml:space="preserve">«capace de sticlă de unică folosință» înseamnă capacele din sticlă sau cele pentru pahare de unică folosință pentru băuturi;</w:t>
      </w:r>
    </w:p>
    <w:p w14:paraId="74B9A58F" w14:textId="34646120" w:rsidR="000E6F07" w:rsidRDefault="00A87D68" w:rsidP="000E6F07">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13.</w:t>
      </w:r>
      <w:r>
        <w:rPr>
          <w:sz w:val="24"/>
          <w:rFonts w:ascii="Times New Roman" w:hAnsi="Times New Roman"/>
        </w:rPr>
        <w:t xml:space="preserve"> </w:t>
      </w:r>
      <w:r>
        <w:rPr>
          <w:sz w:val="24"/>
          <w:rFonts w:ascii="Times New Roman" w:hAnsi="Times New Roman"/>
        </w:rPr>
        <w:t xml:space="preserve">«confeti» înseamnă confeti destinate a fi utilizate în scopuri decorative sau festive;”</w:t>
      </w:r>
    </w:p>
    <w:p w14:paraId="1D5475A7" w14:textId="5C3C0670" w:rsidR="00A87D68" w:rsidRPr="00A87D68" w:rsidRDefault="00A87D68" w:rsidP="000967A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Articolul D541-331 se formulează după cum urmează:</w:t>
      </w:r>
      <w:r>
        <w:rPr>
          <w:sz w:val="24"/>
          <w:rFonts w:ascii="Times New Roman" w:hAnsi="Times New Roman"/>
        </w:rPr>
        <w:br/>
      </w:r>
      <w:r>
        <w:rPr>
          <w:sz w:val="24"/>
          <w:rFonts w:ascii="Times New Roman" w:hAnsi="Times New Roman"/>
        </w:rPr>
        <w:t xml:space="preserve">„Articolul D541-331.</w:t>
      </w:r>
      <w:r>
        <w:rPr>
          <w:sz w:val="24"/>
          <w:rFonts w:ascii="Times New Roman" w:hAnsi="Times New Roman"/>
        </w:rPr>
        <w:t xml:space="preserve"> </w:t>
      </w:r>
      <w:r>
        <w:rPr>
          <w:sz w:val="24"/>
          <w:rFonts w:ascii="Times New Roman" w:hAnsi="Times New Roman"/>
        </w:rPr>
        <w:t xml:space="preserve">– Interdicția privind punerea la dispoziție de produse din plastic de unică folosință menționate la articolul L. 541-15-10(III) punctele 1 și 2 nu se aplică produselor ambalate în sensul articolului R543-43 din Codul mediului.”</w:t>
      </w:r>
      <w:r>
        <w:rPr>
          <w:sz w:val="24"/>
          <w:rFonts w:ascii="Times New Roman" w:hAnsi="Times New Roman"/>
        </w:rPr>
        <w:t xml:space="preserve"> </w:t>
      </w:r>
    </w:p>
    <w:p w14:paraId="4C324688"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7.</w:t>
      </w:r>
      <w:r>
        <w:rPr>
          <w:sz w:val="24"/>
          <w:rFonts w:ascii="Times New Roman" w:hAnsi="Times New Roman"/>
        </w:rPr>
        <w:t xml:space="preserve"> </w:t>
      </w:r>
      <w:r>
        <w:rPr>
          <w:sz w:val="24"/>
          <w:rFonts w:ascii="Times New Roman" w:hAnsi="Times New Roman"/>
        </w:rPr>
        <w:t xml:space="preserve">Articolul D541-332 se modifică după cum urmează:</w:t>
      </w:r>
    </w:p>
    <w:p w14:paraId="3FC8B87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D541-332.</w:t>
      </w:r>
      <w:r>
        <w:rPr>
          <w:sz w:val="24"/>
          <w:rFonts w:ascii="Times New Roman" w:hAnsi="Times New Roman"/>
        </w:rPr>
        <w:t xml:space="preserve"> </w:t>
      </w:r>
      <w:r>
        <w:rPr>
          <w:sz w:val="24"/>
          <w:rFonts w:ascii="Times New Roman" w:hAnsi="Times New Roman"/>
        </w:rPr>
        <w:t xml:space="preserve">– Interdicția privind punerea la dispoziție de produse din plastic de unică folosință menționate la articolul L541-15-10(III) punctele 1 și 2 se aplică, de asemenea, produselor din plastic care prezintă caracteristici de durabilitate, de rezistență și de duritate comparabile cu cele ale produselor de unică folosință.</w:t>
      </w:r>
      <w:r>
        <w:rPr>
          <w:sz w:val="24"/>
          <w:rFonts w:ascii="Times New Roman" w:hAnsi="Times New Roman"/>
        </w:rPr>
        <w:t xml:space="preserve"> </w:t>
      </w:r>
      <w:r>
        <w:rPr>
          <w:sz w:val="24"/>
          <w:rFonts w:ascii="Times New Roman" w:hAnsi="Times New Roman"/>
        </w:rPr>
        <w:t xml:space="preserve">Produsele concepute, create și introduse pe piață pentru a fi returnate de mai multe ori, pe parcursul ciclului lor de viață, unui producător pentru a fi reumplute nu sunt vizate de această interdicție.”</w:t>
      </w:r>
      <w:r>
        <w:rPr>
          <w:sz w:val="24"/>
          <w:rFonts w:ascii="Times New Roman" w:hAnsi="Times New Roman"/>
        </w:rPr>
        <w:t xml:space="preserve"> </w:t>
      </w:r>
    </w:p>
    <w:p w14:paraId="12592D4F"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8.</w:t>
      </w:r>
      <w:r>
        <w:rPr>
          <w:sz w:val="24"/>
          <w:rFonts w:ascii="Times New Roman" w:hAnsi="Times New Roman"/>
        </w:rPr>
        <w:t xml:space="preserve"> </w:t>
      </w:r>
      <w:r>
        <w:rPr>
          <w:sz w:val="24"/>
          <w:rFonts w:ascii="Times New Roman" w:hAnsi="Times New Roman"/>
        </w:rPr>
        <w:t xml:space="preserve">Articolul D541-334 se abrogă.</w:t>
      </w:r>
    </w:p>
    <w:p w14:paraId="022BEA26"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2</w:t>
      </w:r>
    </w:p>
    <w:p w14:paraId="69C25AFD"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Articolul D541-330 se modifică după cum urmează:</w:t>
      </w:r>
      <w:r>
        <w:rPr>
          <w:sz w:val="24"/>
          <w:rFonts w:ascii="Times New Roman" w:hAnsi="Times New Roman"/>
        </w:rPr>
        <w:br/>
      </w:r>
      <w:r>
        <w:rPr>
          <w:sz w:val="24"/>
          <w:rFonts w:ascii="Times New Roman" w:hAnsi="Times New Roman"/>
        </w:rPr>
        <w:t xml:space="preserve">(a) La punctul 7 litera (b), după textul:</w:t>
      </w:r>
      <w:r>
        <w:rPr>
          <w:sz w:val="24"/>
          <w:rFonts w:ascii="Times New Roman" w:hAnsi="Times New Roman"/>
        </w:rPr>
        <w:t xml:space="preserve"> </w:t>
      </w:r>
      <w:r>
        <w:rPr>
          <w:sz w:val="24"/>
          <w:rFonts w:ascii="Times New Roman" w:hAnsi="Times New Roman"/>
        </w:rPr>
        <w:t xml:space="preserve">„fabricate în întregime din plastic”, se introduce textul:</w:t>
      </w:r>
      <w:r>
        <w:rPr>
          <w:sz w:val="24"/>
          <w:rFonts w:ascii="Times New Roman" w:hAnsi="Times New Roman"/>
        </w:rPr>
        <w:t xml:space="preserve"> </w:t>
      </w:r>
      <w:r>
        <w:rPr>
          <w:sz w:val="24"/>
          <w:rFonts w:ascii="Times New Roman" w:hAnsi="Times New Roman"/>
        </w:rPr>
        <w:t xml:space="preserve">„sau fabricate parțial din plastic, cu un conținut mai mare decât conținutul maxim stabilit printr-un decret care prevede conținutul maxim de plastic autorizat și condițiile în care conținutul de plastic este redus treptat pentru a tinde spre valoarea zero”; (b) La punctul 9, textul:</w:t>
      </w:r>
      <w:r>
        <w:rPr>
          <w:sz w:val="24"/>
          <w:rFonts w:ascii="Times New Roman" w:hAnsi="Times New Roman"/>
        </w:rPr>
        <w:t xml:space="preserve"> </w:t>
      </w:r>
      <w:r>
        <w:rPr>
          <w:sz w:val="24"/>
          <w:rFonts w:ascii="Times New Roman" w:hAnsi="Times New Roman"/>
        </w:rPr>
        <w:t xml:space="preserve">„tacâmurile utilizate în penitenciare, în unități medicale și în transportul aerian, feroviar și maritim și” se elimină;</w:t>
      </w:r>
      <w:r>
        <w:rPr>
          <w:sz w:val="24"/>
          <w:rFonts w:ascii="Times New Roman" w:hAnsi="Times New Roman"/>
        </w:rPr>
        <w:br/>
      </w:r>
      <w:r>
        <w:rPr>
          <w:sz w:val="24"/>
          <w:rFonts w:ascii="Times New Roman" w:hAnsi="Times New Roman"/>
        </w:rPr>
        <w:t xml:space="preserve">(c) La punctul 11, textul:</w:t>
      </w:r>
      <w:r>
        <w:rPr>
          <w:sz w:val="24"/>
          <w:rFonts w:ascii="Times New Roman" w:hAnsi="Times New Roman"/>
        </w:rPr>
        <w:t xml:space="preserve"> </w:t>
      </w:r>
      <w:r>
        <w:rPr>
          <w:sz w:val="24"/>
          <w:rFonts w:ascii="Times New Roman" w:hAnsi="Times New Roman"/>
        </w:rPr>
        <w:t xml:space="preserve">„puse la dispoziție la locul de utilizare sau cele vândute la bucată sau la bax consumatorului final” se înlocuiește cu următorul text:</w:t>
      </w:r>
      <w:r>
        <w:rPr>
          <w:sz w:val="24"/>
          <w:rFonts w:ascii="Times New Roman" w:hAnsi="Times New Roman"/>
        </w:rPr>
        <w:t xml:space="preserve"> </w:t>
      </w:r>
      <w:r>
        <w:rPr>
          <w:sz w:val="24"/>
          <w:rFonts w:ascii="Times New Roman" w:hAnsi="Times New Roman"/>
        </w:rPr>
        <w:t xml:space="preserve">„care sunt menționate în partea B din anexa la Directiva (UE) 2019/904”;</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La articolul D541-331, textul:</w:t>
      </w:r>
      <w:r>
        <w:rPr>
          <w:sz w:val="24"/>
          <w:rFonts w:ascii="Times New Roman" w:hAnsi="Times New Roman"/>
        </w:rPr>
        <w:t xml:space="preserve"> </w:t>
      </w:r>
      <w:r>
        <w:rPr>
          <w:sz w:val="24"/>
          <w:rFonts w:ascii="Times New Roman" w:hAnsi="Times New Roman"/>
        </w:rPr>
        <w:t xml:space="preserve">„nu se aplică” se înlocuiește cu următorul text:</w:t>
      </w:r>
      <w:r>
        <w:rPr>
          <w:sz w:val="24"/>
          <w:rFonts w:ascii="Times New Roman" w:hAnsi="Times New Roman"/>
        </w:rPr>
        <w:t xml:space="preserve"> </w:t>
      </w:r>
      <w:r>
        <w:rPr>
          <w:sz w:val="24"/>
          <w:rFonts w:ascii="Times New Roman" w:hAnsi="Times New Roman"/>
        </w:rPr>
        <w:t xml:space="preserve">„se aplică, de asemenea”.</w:t>
      </w:r>
    </w:p>
    <w:p w14:paraId="60299C0A"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3</w:t>
      </w:r>
    </w:p>
    <w:p w14:paraId="37540D57"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I. – Dispozițiile prezentului decret se aplică din ziua următoare datei publicării în Jurnalul Oficial, cu excepția articolului 2, care intră în vigoare la 3 iulie 2021.</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Produsele care fac obiectul interdicției de punere la dispoziție conform articolului L541-15-10 (III) punctul 2 beneficiază de o perioadă de grație până la 1 iulie 2021 pentru epuizarea stocurilor, dacă acestea au fost fabricate sau importate înainte de data de 1 ianuarie 2021, cu excepția produselor a căror interdicție de punere la dispoziție intră în vigoare la 3 iulie 2021 în temeiul prezentului articol și care nu beneficiază de o astfel de perioadă de grație.</w:t>
      </w:r>
    </w:p>
    <w:p w14:paraId="2E90970D"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4</w:t>
      </w:r>
    </w:p>
    <w:p w14:paraId="7BFF9C65"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3 din Decretul nr. 2019-1451 menționat mai sus din 24 decembrie 2019 se abrogă.</w:t>
      </w:r>
    </w:p>
    <w:p w14:paraId="181FC442" w14:textId="77777777" w:rsidR="00A87D68" w:rsidRPr="00A87D68" w:rsidRDefault="00A87D68" w:rsidP="00A87D6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5</w:t>
      </w:r>
    </w:p>
    <w:p w14:paraId="15B8CB4E" w14:textId="77777777" w:rsidR="00A87D68" w:rsidRPr="00A87D68" w:rsidRDefault="00A87D68" w:rsidP="00A87D6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tranziției ecologice și solidare și ministrul economiei și finanțelor sunt responsabili, fiecare în sfera sa de competență, cu punerea în aplicare a prezentului decret care va fi publicat în Jurnalul Oficial al Republicii Franceze.</w:t>
      </w:r>
    </w:p>
    <w:p w14:paraId="6D5C3312"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Datat 31 decembrie 2020.</w:t>
      </w:r>
    </w:p>
    <w:p w14:paraId="05201B2D"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De prim-ministru:</w:t>
      </w:r>
    </w:p>
    <w:p w14:paraId="3BBF34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Tranziției Ecologice,</w:t>
      </w:r>
      <w:r>
        <w:rPr>
          <w:sz w:val="24"/>
          <w:rFonts w:ascii="Times New Roman" w:hAnsi="Times New Roman"/>
        </w:rPr>
        <w:br/>
      </w:r>
      <w:r>
        <w:rPr>
          <w:sz w:val="24"/>
          <w:rFonts w:ascii="Times New Roman" w:hAnsi="Times New Roman"/>
        </w:rPr>
        <w:t xml:space="preserve">Barbara Pompili</w:t>
      </w:r>
    </w:p>
    <w:p w14:paraId="314F4589" w14:textId="77777777" w:rsidR="00A87D68" w:rsidRPr="00A87D68" w:rsidRDefault="00A87D68" w:rsidP="00A87D6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Economiei, Finanțelor și Recuperării,</w:t>
      </w:r>
      <w:r>
        <w:rPr>
          <w:sz w:val="24"/>
          <w:rFonts w:ascii="Times New Roman" w:hAnsi="Times New Roman"/>
        </w:rPr>
        <w:br/>
      </w:r>
      <w:r>
        <w:rPr>
          <w:sz w:val="24"/>
          <w:rFonts w:ascii="Times New Roman" w:hAnsi="Times New Roman"/>
        </w:rPr>
        <w:t xml:space="preserve">Bruno Le Maire</w:t>
      </w:r>
    </w:p>
    <w:p w14:paraId="492B6379" w14:textId="77777777" w:rsidR="00EB24C2" w:rsidRDefault="00EB24C2"/>
    <w:sectPr w:rsidR="00EB2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8"/>
    <w:rsid w:val="000967AB"/>
    <w:rsid w:val="000E6F07"/>
    <w:rsid w:val="00117739"/>
    <w:rsid w:val="004D4827"/>
    <w:rsid w:val="00A87D68"/>
    <w:rsid w:val="00EB2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2771"/>
  <w15:chartTrackingRefBased/>
  <w15:docId w15:val="{E6976E17-F039-45AD-A102-7EAF5DF2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915721">
      <w:bodyDiv w:val="1"/>
      <w:marLeft w:val="0"/>
      <w:marRight w:val="0"/>
      <w:marTop w:val="0"/>
      <w:marBottom w:val="0"/>
      <w:divBdr>
        <w:top w:val="none" w:sz="0" w:space="0" w:color="auto"/>
        <w:left w:val="none" w:sz="0" w:space="0" w:color="auto"/>
        <w:bottom w:val="none" w:sz="0" w:space="0" w:color="auto"/>
        <w:right w:val="none" w:sz="0" w:space="0" w:color="auto"/>
      </w:divBdr>
      <w:divsChild>
        <w:div w:id="46262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1398</Words>
  <Characters>7970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5</cp:revision>
  <dcterms:created xsi:type="dcterms:W3CDTF">2021-01-04T15:16:00Z</dcterms:created>
  <dcterms:modified xsi:type="dcterms:W3CDTF">2021-04-13T11:47:00Z</dcterms:modified>
</cp:coreProperties>
</file>