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8ED63" w14:textId="57221879" w:rsidR="00611481" w:rsidRPr="003C2BC2" w:rsidRDefault="00160EC6">
      <w:pPr>
        <w:pStyle w:val="Initiant"/>
      </w:pPr>
      <w:bookmarkStart w:id="0" w:name="ENORM_INITIANTEN"/>
      <w:bookmarkEnd w:id="0"/>
      <w:r w:rsidRPr="003C2BC2">
        <w:t>Draft Act of the Federal Government</w:t>
      </w:r>
    </w:p>
    <w:p w14:paraId="1DF7CD01" w14:textId="18AC5331" w:rsidR="00401A02" w:rsidRPr="003C2BC2" w:rsidRDefault="00C50C35" w:rsidP="00421126">
      <w:pPr>
        <w:pStyle w:val="VorblattBezeichnung"/>
      </w:pPr>
      <w:r w:rsidRPr="003C2BC2">
        <w:t>Act transposing Article 8(1) to (7) of Directive (EU) 2019/904 of the European Parliament and of the Council of 5 June 2019 on the reduction of the impact of certain plastic products on the environment</w:t>
      </w:r>
    </w:p>
    <w:p w14:paraId="46805144" w14:textId="77777777" w:rsidR="00611481" w:rsidRPr="003C2BC2" w:rsidRDefault="00611481" w:rsidP="00421126">
      <w:pPr>
        <w:pStyle w:val="VorblattTitelProblemundZiel"/>
      </w:pPr>
      <w:r w:rsidRPr="003C2BC2">
        <w:t>A. Problem and objective</w:t>
      </w:r>
    </w:p>
    <w:p w14:paraId="43BA767E" w14:textId="77777777" w:rsidR="00611481" w:rsidRPr="003C2BC2" w:rsidRDefault="00611481" w:rsidP="00611481">
      <w:pPr>
        <w:pStyle w:val="Text"/>
      </w:pPr>
      <w:r w:rsidRPr="003C2BC2">
        <w:t>The high functionality and relatively low cost of plastic means that this material is increasingly ubiquitous in everyday life. While plastic plays a useful role in the economy and provides essential applications in many sectors, its growing use in short-lived products, which are not designed for longer-term use or re-use, means that the related consumption patterns have become increasingly resource-inefficient. In addition, single-use plastic products that are improperly disposed of contribute particularly to environmental pollution and are responsible for a significant proportion of marine waste.</w:t>
      </w:r>
    </w:p>
    <w:p w14:paraId="6360A2FA" w14:textId="26002C22" w:rsidR="00611481" w:rsidRPr="003C2BC2" w:rsidRDefault="00611481" w:rsidP="00611481">
      <w:pPr>
        <w:pStyle w:val="Text"/>
      </w:pPr>
      <w:r w:rsidRPr="003C2BC2">
        <w:t>On the basis of its action plan for a circular economy (COM(2015) 614 final) and its strategy for plastics in the circular economy (COM(2018) 28 final), the European Union adopted, on 5 June 2019, Directive (EU) 2019/904 on the reduction of the impact of certain plastic products on the environment (OJ L 155, 12.6.2019, p. 1). This provides for numerous measures to reduce the consumption of certain single-use plastic products, limit littering in the environment and better manage plastic as a resource. In accordance with the requirements of the Directive, various statutory and non-statutory measures have already been implemented in Germany.</w:t>
      </w:r>
    </w:p>
    <w:p w14:paraId="0D593D8B" w14:textId="77777777" w:rsidR="00611481" w:rsidRPr="003C2BC2" w:rsidRDefault="00611481" w:rsidP="00611481">
      <w:pPr>
        <w:pStyle w:val="Text"/>
      </w:pPr>
      <w:r w:rsidRPr="003C2BC2">
        <w:t>This Act is intended to further transpose Article 8(1) to (7) and Article 14 of Directive (EU) 2019/904. Under said provisions, Member States are required to introduce extended producer responsibility schemes in line with the polluter pays principle, for certain single-use plastic products where suitable and more sustainable alternatives are not yet readily available. Producers of these single-use plastic products are to cover the necessary costs for waste management, litter clean-up and awareness-raising measures.</w:t>
      </w:r>
    </w:p>
    <w:p w14:paraId="339AC67A" w14:textId="7A2FA805" w:rsidR="007621CB" w:rsidRPr="003C2BC2" w:rsidDel="007621CB" w:rsidRDefault="00611481" w:rsidP="007621CB">
      <w:pPr>
        <w:pStyle w:val="Text"/>
      </w:pPr>
      <w:r w:rsidRPr="003C2BC2">
        <w:t>The aim of this Act is to transpose into German law the above-mentioned EU provisions on a one-to-one basis, building on the regulations concerning product responsibility laid down in Section 23 et seq. of the Circular Economy Act. In addition to the many other measures set out in Directive (EU) 2019/904, the obligation for producers to cover certain costs is intended to encourage more sustainable management of plastics along the value chain, to combat littering and to promote cleanliness of public spaces. This objective is fully in line with the coalition agreement for the 20th legislative period (‘We will promote the circular economy for the purpose of effective climate and resource protection, sustainable economic development and jobs. Our goal is to reduce primary raw material consumption and promote closed-loop material cycles. (…) We will improve waste prevention through statutory targets and ecologically beneficial re-use, return and deposit schemes as well as industry agreements’).</w:t>
      </w:r>
    </w:p>
    <w:p w14:paraId="53BD0D03" w14:textId="7188FE6F" w:rsidR="00611481" w:rsidRPr="003C2BC2" w:rsidRDefault="007621CB">
      <w:pPr>
        <w:pStyle w:val="Text"/>
      </w:pPr>
      <w:r w:rsidRPr="003C2BC2">
        <w:t>In addition, the decision of the Bundesrat (upper house of parliament) on reducing unnecessary plastic waste (Bundesrat document 343/19 (resolution)) is being taken up and account is being taken of the resolution passed at the 97th Conference of Environment Ministers on 26 November 2021 (agenda item 25) on the prompt implementation of extended producer responsibility in accordance with Directive (EU) 2019/904.</w:t>
      </w:r>
    </w:p>
    <w:p w14:paraId="16A90C00" w14:textId="77777777" w:rsidR="00611481" w:rsidRPr="003C2BC2" w:rsidRDefault="00611481" w:rsidP="00311BDB">
      <w:pPr>
        <w:pStyle w:val="VorblattTitelLsung"/>
      </w:pPr>
      <w:r w:rsidRPr="003C2BC2">
        <w:lastRenderedPageBreak/>
        <w:t>B. Solution</w:t>
      </w:r>
    </w:p>
    <w:p w14:paraId="6E3E22A8" w14:textId="0D04C6B5" w:rsidR="00611481" w:rsidRPr="003C2BC2" w:rsidRDefault="00611481" w:rsidP="00611481">
      <w:pPr>
        <w:pStyle w:val="Text"/>
      </w:pPr>
      <w:r w:rsidRPr="003C2BC2">
        <w:t>The Act lays down the legal basis for the Federal Environment Agency to impose a single-use plastics levy as a special levy with financing function. Depending on the quantity of single-use plastic products made available on the market for the first time or sold, the producers concerned shall pay this levy into a single-use plastics fund administered for this purpose by the Federal Environment Agency. The fund is shown in the federal budget.</w:t>
      </w:r>
    </w:p>
    <w:p w14:paraId="60C46BE2" w14:textId="114DC1BA" w:rsidR="00611481" w:rsidRPr="003C2BC2" w:rsidRDefault="00611481" w:rsidP="00611481">
      <w:pPr>
        <w:pStyle w:val="Text"/>
      </w:pPr>
      <w:r w:rsidRPr="003C2BC2">
        <w:t>From the single-use plastics fund, public waste management providers and other eligible beneficiaries that are legal entities under public law shall be compensated for the costs of the services they provide for the above-mentioned measures. The rates of the levy and disbursement criteria shall be established by Ordinance in accordance with principles set out in statute. In accordance with the requirements of European law, the principle of cost efficiency with respect to the provision of services and the need to recover costs shall be mandatory.</w:t>
      </w:r>
    </w:p>
    <w:p w14:paraId="6A6BA9D2" w14:textId="6B1F3D16" w:rsidR="00611481" w:rsidRPr="003C2BC2" w:rsidRDefault="00611481" w:rsidP="00611481">
      <w:pPr>
        <w:pStyle w:val="Text"/>
      </w:pPr>
      <w:r w:rsidRPr="003C2BC2">
        <w:t>The establishment of a single-use plastics commission to be composed of producers and beneficiaries as well as representatives of environmental and consumer associations is not only intended to comply with the transparency requirement laid down in Directive (EU) 2019/904, but also to provide decision-makers with a competent advisory body.</w:t>
      </w:r>
    </w:p>
    <w:p w14:paraId="3F5ECCA2" w14:textId="77777777" w:rsidR="00611481" w:rsidRPr="003C2BC2" w:rsidRDefault="00611481">
      <w:pPr>
        <w:pStyle w:val="VorblattTitelAlternativen"/>
      </w:pPr>
      <w:r w:rsidRPr="003C2BC2">
        <w:t>C. Alternatives</w:t>
      </w:r>
    </w:p>
    <w:p w14:paraId="28AC5A68" w14:textId="06169A48" w:rsidR="001642C0" w:rsidRPr="003C2BC2" w:rsidRDefault="00611481" w:rsidP="00B031F1">
      <w:pPr>
        <w:pStyle w:val="Text"/>
      </w:pPr>
      <w:r w:rsidRPr="003C2BC2">
        <w:t>None. Article 8(1) to (7) of Directive (EU) 2019/904 constitutes EU law that must be transposed. This means that there is no possibility for Member States to refrain from cost reimbursement by producers. As part of the drafting of this Act, the possible alternatives for implementation of the cost reimbursement obligation were examined in detail, with the involvement of all relevant groups of actors. These examinations have shown that the imposition of a special levy with financing function by the Federal Government is the only legally and practically feasible way to fulfil the above-mentioned EU transposition obligation.</w:t>
      </w:r>
    </w:p>
    <w:p w14:paraId="6BF56967" w14:textId="77777777" w:rsidR="00611481" w:rsidRPr="003C2BC2" w:rsidRDefault="00611481" w:rsidP="00B031F1">
      <w:pPr>
        <w:pStyle w:val="VorblattTitelHaushaltsausgabenohneErfllungsaufwand"/>
      </w:pPr>
      <w:r w:rsidRPr="003C2BC2">
        <w:t>D. Budgetary expenditure exclusive of compliance costs</w:t>
      </w:r>
    </w:p>
    <w:p w14:paraId="025A3709" w14:textId="7895D3A2" w:rsidR="00AC7D29" w:rsidRPr="003C2BC2" w:rsidRDefault="00CC66BC" w:rsidP="001D6D6E">
      <w:pPr>
        <w:pStyle w:val="NoSpacing"/>
        <w:spacing w:before="120" w:after="120"/>
      </w:pPr>
      <w:r w:rsidRPr="003C2BC2">
        <w:t>The federal budget (Federal Ministry for the Environment, Nature Conservation, Nuclear Safety and Consumer Protection and the Federal Environment Agency (BMUV)) will incur budgetary expenditure (personnel and material costs) of approx. EUR 3 487 000 in 2023, approx. EUR 4 105 000 in 2024, approx. EUR 3 662 000 in 2025, and approx. EUR 3 662 000 in 2026 and in the following years.</w:t>
      </w:r>
    </w:p>
    <w:p w14:paraId="73478A9D" w14:textId="223540D0" w:rsidR="00CC66BC" w:rsidRPr="003C2BC2" w:rsidRDefault="0004729E" w:rsidP="001D6D6E">
      <w:pPr>
        <w:pStyle w:val="NoSpacing"/>
        <w:spacing w:before="120" w:after="120"/>
      </w:pPr>
      <w:r w:rsidRPr="003C2BC2">
        <w:t>A large part of the budgetary expenditure is to be fully recovered over time by means of revenues from the single-use plastics levy (expenditure recoverable through the single-use plastics fund 2023: EUR 3 277 000, 2024: EUR 3 229 000, 2025 and subsequent years: EUR 2 786 000). The remaining budgetary expenditure is to be recovered by means of the fees and fines paid to the federal administration. In addition, non-recoverable amounts and, where appropriate, further budgetary expenditure arising from compliance costs that cannot be predicted at this stage are covered under the current budgetary and financial planning approaches of the BMUV. No budgetary expenditure exclusive of compliance costs will arise for the Länder (federal states) and municipalities.</w:t>
      </w:r>
    </w:p>
    <w:p w14:paraId="1A9D9C94" w14:textId="77777777" w:rsidR="00611481" w:rsidRPr="003C2BC2" w:rsidRDefault="00611481" w:rsidP="00311BDB">
      <w:pPr>
        <w:pStyle w:val="VorblattTitelErfllungsaufwand"/>
      </w:pPr>
      <w:r w:rsidRPr="003C2BC2">
        <w:lastRenderedPageBreak/>
        <w:t>E. Compliance costs</w:t>
      </w:r>
    </w:p>
    <w:p w14:paraId="2B8C90D7" w14:textId="77777777" w:rsidR="00611481" w:rsidRPr="003C2BC2" w:rsidRDefault="00A0233D" w:rsidP="00B031F1">
      <w:pPr>
        <w:pStyle w:val="VorblattTitelErfllungsaufwandBrgerinnenundBrger"/>
      </w:pPr>
      <w:r w:rsidRPr="003C2BC2">
        <w:t>E.1 Compliance costs for citizens</w:t>
      </w:r>
    </w:p>
    <w:p w14:paraId="4A9D4EFD" w14:textId="77777777" w:rsidR="00611481" w:rsidRPr="003C2BC2" w:rsidRDefault="00611481" w:rsidP="00B031F1">
      <w:pPr>
        <w:pStyle w:val="Text"/>
      </w:pPr>
      <w:r w:rsidRPr="003C2BC2">
        <w:t>There are no compliance costs for citizens.</w:t>
      </w:r>
    </w:p>
    <w:p w14:paraId="0FEC134F" w14:textId="77777777" w:rsidR="00611481" w:rsidRPr="003C2BC2" w:rsidRDefault="00A0233D" w:rsidP="00B031F1">
      <w:pPr>
        <w:pStyle w:val="VorblattTitelErfllungsaufwandWirtschaft"/>
      </w:pPr>
      <w:r w:rsidRPr="003C2BC2">
        <w:t>E.2 Compliance costs for businesses</w:t>
      </w:r>
    </w:p>
    <w:p w14:paraId="6EAD778B" w14:textId="3F916EBA" w:rsidR="00454394" w:rsidRPr="003C2BC2" w:rsidRDefault="00454394" w:rsidP="00454394">
      <w:pPr>
        <w:spacing w:after="0"/>
        <w:rPr>
          <w:rFonts w:eastAsia="Times New Roman"/>
          <w:color w:val="000000"/>
        </w:rPr>
      </w:pPr>
      <w:r w:rsidRPr="003C2BC2">
        <w:rPr>
          <w:color w:val="000000"/>
        </w:rPr>
        <w:t>The Act creates additional annual compliance costs for businesses of approx. EUR 1 143 000 and one-off conversion costs of approx. EUR 121 000, of which administrative costs arising from information obligations amounting to approx. EUR 120 000 (one-off conversion costs) or approx. EUR 1 118 000 (annual compliance costs).</w:t>
      </w:r>
    </w:p>
    <w:p w14:paraId="0FCFF208" w14:textId="70043657" w:rsidR="00454394" w:rsidRPr="003C2BC2" w:rsidRDefault="00454394" w:rsidP="00454394">
      <w:pPr>
        <w:spacing w:after="0"/>
        <w:rPr>
          <w:rFonts w:eastAsia="Times New Roman"/>
          <w:color w:val="000000"/>
        </w:rPr>
      </w:pPr>
      <w:r w:rsidRPr="003C2BC2">
        <w:rPr>
          <w:color w:val="000000"/>
        </w:rPr>
        <w:t>The draft Act transposes the EU provisions laid down in Article 8(1) to (7) and Article 14 of Directive (EU) 2019/904 on a one-to-one basis. There is therefore no justification for application of the ‘one-in, one-out’ rule for new legislative proposals by the Federal Government (see cabinet decision of 25 March 2015).</w:t>
      </w:r>
    </w:p>
    <w:p w14:paraId="3784CAFD" w14:textId="39959D37" w:rsidR="00611481" w:rsidRPr="003C2BC2" w:rsidRDefault="00A0233D" w:rsidP="00B031F1">
      <w:pPr>
        <w:pStyle w:val="VorblattTitelErfllungsaufwandVerwaltung"/>
      </w:pPr>
      <w:r w:rsidRPr="003C2BC2">
        <w:t>E.3 Compliance costs for the authorities</w:t>
      </w:r>
    </w:p>
    <w:p w14:paraId="7C6C1A95" w14:textId="28050FFB" w:rsidR="00454394" w:rsidRPr="003C2BC2" w:rsidRDefault="00454394" w:rsidP="00311BDB">
      <w:pPr>
        <w:pStyle w:val="Text"/>
        <w:rPr>
          <w:b/>
        </w:rPr>
      </w:pPr>
      <w:r w:rsidRPr="003C2BC2">
        <w:t>In addition to the costs already outlined under D., the Act creates additional annual compliance costs for Federal Government, the Länder and municipalities of approx. EUR 2 163 000 and one-off conversion costs of approx. EUR 69 000.</w:t>
      </w:r>
    </w:p>
    <w:p w14:paraId="5A44BBB1" w14:textId="77777777" w:rsidR="00611481" w:rsidRPr="003C2BC2" w:rsidRDefault="00611481" w:rsidP="00B031F1">
      <w:pPr>
        <w:pStyle w:val="VorblattTitelWeitereKosten"/>
      </w:pPr>
      <w:r w:rsidRPr="003C2BC2">
        <w:t>F. Additional costs</w:t>
      </w:r>
    </w:p>
    <w:p w14:paraId="19E14EFE" w14:textId="446ED338" w:rsidR="00611481" w:rsidRPr="003C2BC2" w:rsidRDefault="00611481" w:rsidP="00611481">
      <w:pPr>
        <w:pStyle w:val="Text"/>
      </w:pPr>
      <w:r w:rsidRPr="003C2BC2">
        <w:t>It cannot be ruled out that producers will pass on the additional costs caused by the single-use plastics levy on to consumers. However, this effect is likely to be a slight increase in product unit prices at most. Measurable effects on the overall consumer price level are therefore not expected. At the same time, the cost reimbursements to be made by producers should reduce the disposal fees to be borne by the general public in the medium term, and therefore there will be no additional burden overall on consumers.</w:t>
      </w:r>
    </w:p>
    <w:p w14:paraId="73A02A01" w14:textId="77777777" w:rsidR="00611481" w:rsidRPr="003C2BC2" w:rsidRDefault="00611481" w:rsidP="005B17F4">
      <w:pPr>
        <w:pStyle w:val="Text"/>
        <w:sectPr w:rsidR="00611481" w:rsidRPr="003C2BC2" w:rsidSect="002B3C19">
          <w:headerReference w:type="default" r:id="rId11"/>
          <w:headerReference w:type="first" r:id="rId12"/>
          <w:pgSz w:w="11907" w:h="16839"/>
          <w:pgMar w:top="1134" w:right="1417" w:bottom="1134" w:left="1701" w:header="709" w:footer="709" w:gutter="0"/>
          <w:pgNumType w:start="1"/>
          <w:cols w:space="708"/>
          <w:titlePg/>
          <w:docGrid w:linePitch="360"/>
        </w:sectPr>
      </w:pPr>
    </w:p>
    <w:p w14:paraId="417B46F9" w14:textId="5C7D1DF2" w:rsidR="00611481" w:rsidRPr="003C2BC2" w:rsidRDefault="00611481" w:rsidP="00B405E1">
      <w:pPr>
        <w:pStyle w:val="Dokumentstatus"/>
      </w:pPr>
      <w:bookmarkStart w:id="1" w:name="DQPErrorScopeD4EDD6A4BD590518B857BE09816"/>
      <w:bookmarkStart w:id="2" w:name="DQPErrorScope6AF1A984421AD76B4B869475B96"/>
      <w:r w:rsidRPr="003C2BC2">
        <w:lastRenderedPageBreak/>
        <w:t>Act transposing Article 8(1) to (7) of Directive (EU) 2019/904 of the European Parliament and of the Council of 5 June 2019 on the reduction of the impact of certain plastic products on the environment</w:t>
      </w:r>
      <w:bookmarkEnd w:id="1"/>
      <w:bookmarkEnd w:id="2"/>
      <w:r w:rsidR="009A153F" w:rsidRPr="003C2BC2">
        <w:rPr>
          <w:rStyle w:val="FootnoteReference"/>
        </w:rPr>
        <w:footnoteReference w:id="2"/>
      </w:r>
      <w:r w:rsidR="00C43B8E" w:rsidRPr="003C2BC2">
        <w:rPr>
          <w:rStyle w:val="FootnoteReference"/>
        </w:rPr>
        <w:t>)</w:t>
      </w:r>
      <w:r w:rsidRPr="003C2BC2">
        <w:t xml:space="preserve"> </w:t>
      </w:r>
      <w:r w:rsidRPr="003C2BC2">
        <w:rPr>
          <w:rStyle w:val="FootnoteReference"/>
        </w:rPr>
        <w:footnoteReference w:id="3"/>
      </w:r>
      <w:r w:rsidRPr="003C2BC2">
        <w:rPr>
          <w:rStyle w:val="FootnoteReference"/>
        </w:rPr>
        <w:t>)</w:t>
      </w:r>
    </w:p>
    <w:p w14:paraId="315E9839" w14:textId="77777777" w:rsidR="00611481" w:rsidRPr="003C2BC2" w:rsidRDefault="00611481">
      <w:pPr>
        <w:pStyle w:val="Ausfertigungsdatumnderungsdokument"/>
      </w:pPr>
      <w:r w:rsidRPr="003C2BC2">
        <w:t>Dated...</w:t>
      </w:r>
    </w:p>
    <w:p w14:paraId="15028D6A" w14:textId="77777777" w:rsidR="00611481" w:rsidRPr="003C2BC2" w:rsidRDefault="00611481">
      <w:pPr>
        <w:pStyle w:val="EingangsformelStandardnderungsdokument"/>
      </w:pPr>
      <w:r w:rsidRPr="003C2BC2">
        <w:t>The Bundestag has adopted the following Act:</w:t>
      </w:r>
    </w:p>
    <w:p w14:paraId="1DF7D2A8" w14:textId="0D682331" w:rsidR="00611481" w:rsidRPr="003C2BC2" w:rsidRDefault="00611481" w:rsidP="003C2BC2">
      <w:pPr>
        <w:pStyle w:val="ArtikelBezeichner"/>
      </w:pPr>
    </w:p>
    <w:p w14:paraId="475944E2" w14:textId="77777777" w:rsidR="00611481" w:rsidRPr="003C2BC2" w:rsidRDefault="00B031F1" w:rsidP="00611481">
      <w:pPr>
        <w:pStyle w:val="BezeichnungStammdokument"/>
      </w:pPr>
      <w:r w:rsidRPr="003C2BC2">
        <w:t>Single-Use Plastics Fund Act</w:t>
      </w:r>
    </w:p>
    <w:p w14:paraId="46B46160" w14:textId="77777777" w:rsidR="00611481" w:rsidRPr="003C2BC2" w:rsidRDefault="00611481" w:rsidP="00611481">
      <w:pPr>
        <w:pStyle w:val="Kurzbezeichnung-AbkrzungStammdokument"/>
      </w:pPr>
      <w:r w:rsidRPr="003C2BC2">
        <w:t>(</w:t>
      </w:r>
      <w:proofErr w:type="spellStart"/>
      <w:r w:rsidRPr="003C2BC2">
        <w:t>Einwegkunststofffondsgesetz</w:t>
      </w:r>
      <w:proofErr w:type="spellEnd"/>
      <w:r w:rsidRPr="003C2BC2">
        <w:t xml:space="preserve"> – </w:t>
      </w:r>
      <w:proofErr w:type="spellStart"/>
      <w:r w:rsidRPr="003C2BC2">
        <w:t>EWKFondsG</w:t>
      </w:r>
      <w:proofErr w:type="spellEnd"/>
      <w:r w:rsidRPr="003C2BC2">
        <w:t>)</w:t>
      </w:r>
    </w:p>
    <w:p w14:paraId="11088076" w14:textId="67689844" w:rsidR="00B031F1" w:rsidRPr="003C2BC2" w:rsidRDefault="00B031F1" w:rsidP="003C2BC2">
      <w:pPr>
        <w:pStyle w:val="TeilBezeichner"/>
      </w:pPr>
    </w:p>
    <w:p w14:paraId="0E34E784" w14:textId="77777777" w:rsidR="00B031F1" w:rsidRPr="003C2BC2" w:rsidRDefault="00B031F1" w:rsidP="00205009">
      <w:pPr>
        <w:pStyle w:val="Teilberschrift"/>
        <w:numPr>
          <w:ilvl w:val="1"/>
          <w:numId w:val="4"/>
        </w:numPr>
      </w:pPr>
      <w:r w:rsidRPr="003C2BC2">
        <w:t>General provisions</w:t>
      </w:r>
    </w:p>
    <w:p w14:paraId="1EA272B8" w14:textId="44BBA73C" w:rsidR="00611481" w:rsidRPr="003C2BC2" w:rsidRDefault="00611481" w:rsidP="003C2BC2">
      <w:pPr>
        <w:pStyle w:val="ParagraphBezeichner"/>
      </w:pPr>
      <w:bookmarkStart w:id="3" w:name="DQCIGI10254AD807799C498E96A9227E1BA39D2A"/>
      <w:bookmarkEnd w:id="3"/>
    </w:p>
    <w:p w14:paraId="5917C66C" w14:textId="06703221" w:rsidR="00611481" w:rsidRPr="003C2BC2" w:rsidRDefault="00B031F1" w:rsidP="00DD4D49">
      <w:pPr>
        <w:pStyle w:val="Paragraphberschrift"/>
      </w:pPr>
      <w:r w:rsidRPr="003C2BC2">
        <w:t>Objective</w:t>
      </w:r>
    </w:p>
    <w:p w14:paraId="00240550" w14:textId="7FBBA150" w:rsidR="00DD4D49" w:rsidRPr="003C2BC2" w:rsidRDefault="00DD4D49" w:rsidP="00D04D43">
      <w:pPr>
        <w:pStyle w:val="JuristischerAbsatznichtnummeriert"/>
        <w:jc w:val="left"/>
      </w:pPr>
      <w:r w:rsidRPr="003C2BC2">
        <w:t>The objective of this Act is to prevent and reduce the impact of the single-use plastic products listed in Annex 1 on the environment, in particular the marine environment, and on human health, and to promote innovative and sustainable business models, products and materials. In order to achieve these waste management objectives, the Act is also intended to regulate the market behaviour of obligated entities.</w:t>
      </w:r>
    </w:p>
    <w:p w14:paraId="00EC8D02" w14:textId="77777777" w:rsidR="00DD4D49" w:rsidRPr="003C2BC2" w:rsidRDefault="00DD4D49" w:rsidP="00947B2F">
      <w:pPr>
        <w:pStyle w:val="ParagraphBezeichner"/>
      </w:pPr>
    </w:p>
    <w:p w14:paraId="0DEA2906" w14:textId="77777777" w:rsidR="00DD4D49" w:rsidRPr="003C2BC2" w:rsidRDefault="00DD4D49" w:rsidP="00DD4D49">
      <w:pPr>
        <w:pStyle w:val="Paragraphberschrift"/>
      </w:pPr>
      <w:r w:rsidRPr="003C2BC2">
        <w:t>Scope of application</w:t>
      </w:r>
    </w:p>
    <w:p w14:paraId="6B347BDE" w14:textId="545E8897" w:rsidR="00DD4D49" w:rsidRPr="003C2BC2" w:rsidRDefault="00DD4D49" w:rsidP="00BB52CE">
      <w:pPr>
        <w:pStyle w:val="JuristischerAbsatznummeriert"/>
        <w:tabs>
          <w:tab w:val="clear" w:pos="850"/>
          <w:tab w:val="num" w:pos="851"/>
        </w:tabs>
      </w:pPr>
      <w:bookmarkStart w:id="4" w:name="DQCITD0682CF7252A6CE4DA382859A367DAA9775"/>
      <w:r w:rsidRPr="003C2BC2">
        <w:t>This Act regulates product responsibility for producers of the single-use plastic products listed in Annex 1 within the meaning of Section 23(1) to (3) of the Circular Economy Act of 24 February 2012, Federal Law Gazette (Federal Law Gazette I, p. 212), as last amended by Article 20 of the Act of 10 August 2021 (Federal Law Gazette I, p. 3436), in its current version.</w:t>
      </w:r>
      <w:bookmarkEnd w:id="4"/>
    </w:p>
    <w:p w14:paraId="5780EB02" w14:textId="34E716B3" w:rsidR="00DF750D" w:rsidRPr="003C2BC2" w:rsidRDefault="00DF750D" w:rsidP="00BB52CE">
      <w:pPr>
        <w:pStyle w:val="JuristischerAbsatznummeriert"/>
        <w:tabs>
          <w:tab w:val="clear" w:pos="850"/>
          <w:tab w:val="num" w:pos="851"/>
          <w:tab w:val="num" w:pos="1134"/>
        </w:tabs>
      </w:pPr>
      <w:r w:rsidRPr="003C2BC2">
        <w:t xml:space="preserve">Unless this Act lays down provisions to the contrary, the Circular Economy Act and the ordinances adopted on the basis of the Circular Economy Act or the Circular Economy </w:t>
      </w:r>
      <w:r w:rsidRPr="003C2BC2">
        <w:lastRenderedPageBreak/>
        <w:t>and Waste Act in force until 31 May 2012 shall apply as amended. Section 62 of the Circular Economy Act shall apply, mutatis mutandis.</w:t>
      </w:r>
    </w:p>
    <w:p w14:paraId="07C49335" w14:textId="77777777" w:rsidR="00DD4D49" w:rsidRPr="003C2BC2" w:rsidRDefault="00DD4D49" w:rsidP="002C63C7">
      <w:pPr>
        <w:pStyle w:val="ParagraphBezeichner"/>
      </w:pPr>
    </w:p>
    <w:p w14:paraId="1B5005D0" w14:textId="77777777" w:rsidR="00DD4D49" w:rsidRPr="003C2BC2" w:rsidRDefault="00DD4D49" w:rsidP="00DD4D49">
      <w:pPr>
        <w:pStyle w:val="Paragraphberschrift"/>
      </w:pPr>
      <w:r w:rsidRPr="003C2BC2">
        <w:t>Definitions</w:t>
      </w:r>
    </w:p>
    <w:p w14:paraId="67FBC0D2" w14:textId="77777777" w:rsidR="00DD4D49" w:rsidRPr="003C2BC2" w:rsidRDefault="00DD4D49" w:rsidP="00DD4D49">
      <w:pPr>
        <w:pStyle w:val="JuristischerAbsatznichtnummeriert"/>
      </w:pPr>
      <w:r w:rsidRPr="003C2BC2">
        <w:t>The following definitions apply for the purposes of this Act:</w:t>
      </w:r>
    </w:p>
    <w:p w14:paraId="40212456" w14:textId="77777777" w:rsidR="00DD4D49" w:rsidRPr="003C2BC2" w:rsidRDefault="00DD4D49" w:rsidP="00DD4D49">
      <w:pPr>
        <w:pStyle w:val="NummerierungStufe1"/>
      </w:pPr>
      <w:r w:rsidRPr="003C2BC2">
        <w:t>‘single-use plastic product’ means a product that is made wholly or partly from plastic and that is not conceived, designed and placed on the market to accomplish, within its life span, multiple cycles by being returned to a producer or distributor for refill or re-used for the same purpose for which it was produced;</w:t>
      </w:r>
    </w:p>
    <w:p w14:paraId="527BCE3C" w14:textId="77777777" w:rsidR="00DD4D49" w:rsidRPr="003C2BC2" w:rsidRDefault="00DD4D49" w:rsidP="00DD4D49">
      <w:pPr>
        <w:pStyle w:val="NummerierungStufe1"/>
      </w:pPr>
      <w:bookmarkStart w:id="5" w:name="DQCITD068FE786C90EA24A748F776C47FC60B422"/>
      <w:r w:rsidRPr="003C2BC2">
        <w:t>‘plastic’ means a material consisting of a polymer as defined in point 5 of Article 3 of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 as last amended by Regulation (EU) 2020/507 (OJ L 110, 8.4.2020, p. 1), in its current version, to which additives or other substances may have been added, and which can function as the main structural component of final products; with the exception of materials made from natural polymers that have not been chemically modified;</w:t>
      </w:r>
      <w:bookmarkEnd w:id="5"/>
    </w:p>
    <w:p w14:paraId="72A3A936" w14:textId="77777777" w:rsidR="000C5E50" w:rsidRPr="003C2BC2" w:rsidRDefault="00153358" w:rsidP="000C5E50">
      <w:pPr>
        <w:pStyle w:val="NummerierungStufe1"/>
      </w:pPr>
      <w:r w:rsidRPr="003C2BC2">
        <w:t>‘producer’ means any natural or legal person or partnership with legal capacity which</w:t>
      </w:r>
    </w:p>
    <w:p w14:paraId="0B9F7F85" w14:textId="245FFB6A" w:rsidR="000C5E50" w:rsidRPr="003C2BC2" w:rsidRDefault="000C5E50" w:rsidP="000C5E50">
      <w:pPr>
        <w:pStyle w:val="NummerierungStufe2"/>
      </w:pPr>
      <w:r w:rsidRPr="003C2BC2">
        <w:t>is established within the territory where this Act applies and professionally makes available on the market for the first time, as a producer, filler, seller or importer, irrespective of the selling technique used, including by means of distance contracts as defined in Section 312c of the Civil Code, the single-use plastic products listed in Annex 1, or</w:t>
      </w:r>
    </w:p>
    <w:p w14:paraId="00EBD162" w14:textId="113CD4A6" w:rsidR="007E50EE" w:rsidRPr="003C2BC2" w:rsidRDefault="006E5B8A" w:rsidP="000C5E50">
      <w:pPr>
        <w:pStyle w:val="NummerierungStufe2"/>
      </w:pPr>
      <w:r w:rsidRPr="003C2BC2">
        <w:t>is not established within the territory where this Act applies and professionally sells, within the territory where this Act applies, the single-use plastic products listed in Annex 1 directly to private households or other users by means of distance communication as defined in of Section 312c(2) of the Civil Code;</w:t>
      </w:r>
    </w:p>
    <w:p w14:paraId="71CC5BB0" w14:textId="6C993304" w:rsidR="009D4FDC" w:rsidRPr="003C2BC2" w:rsidRDefault="009D4FDC" w:rsidP="005E42A7">
      <w:pPr>
        <w:pStyle w:val="NummerierungStufe1"/>
      </w:pPr>
      <w:r w:rsidRPr="003C2BC2">
        <w:t>‘making available on the market’ means any supply of a product for distribution, consumption or use on the market in the territory where this Act applies in the course of a commercial activity, whether in return for payment or free of charge;</w:t>
      </w:r>
    </w:p>
    <w:p w14:paraId="1740548B" w14:textId="77777777" w:rsidR="008D5D9C" w:rsidRPr="003C2BC2" w:rsidRDefault="008D5D9C" w:rsidP="008D5D9C">
      <w:pPr>
        <w:pStyle w:val="NummerierungStufe1"/>
      </w:pPr>
      <w:r w:rsidRPr="003C2BC2">
        <w:t>‘electronic marketplace’ means a website or any other tool by means of which information is provided online that allows producers or third parties who are not operators of the marketplace to offer or make available the single-use plastic products listed in Annex 1 in their own name within the territory where this Act applies;</w:t>
      </w:r>
    </w:p>
    <w:p w14:paraId="19F8248D" w14:textId="3612F135" w:rsidR="008D5D9C" w:rsidRPr="003C2BC2" w:rsidRDefault="008D5D9C" w:rsidP="008D5D9C">
      <w:pPr>
        <w:pStyle w:val="NummerierungStufe1"/>
      </w:pPr>
      <w:r w:rsidRPr="003C2BC2">
        <w:t>‘operator of an electronic marketplace’ means any natural or legal person or partnership with legal capacity that maintains an electronic marketplace and allows third parties to offer or make available the single-use plastic products listed in Annex 1 on this marketplace within the territory where this Act applies;</w:t>
      </w:r>
    </w:p>
    <w:p w14:paraId="47E66CE5" w14:textId="65B68E30" w:rsidR="00065B61" w:rsidRPr="003C2BC2" w:rsidRDefault="00081B40" w:rsidP="007735A1">
      <w:pPr>
        <w:pStyle w:val="NummerierungStufe1"/>
      </w:pPr>
      <w:r w:rsidRPr="003C2BC2">
        <w:lastRenderedPageBreak/>
        <w:t>‘offer’ means presenting or publicly making available the single-use plastic products listed in Annex 1 within the territory where this Act applies as part of professional activities aimed at concluding a sale agreement; offering also includes an invitation to submit a tender;</w:t>
      </w:r>
    </w:p>
    <w:p w14:paraId="6DEC593E" w14:textId="0FEB453E" w:rsidR="00065B61" w:rsidRPr="003C2BC2" w:rsidRDefault="00065B61" w:rsidP="00065B61">
      <w:pPr>
        <w:pStyle w:val="NummerierungStufe1"/>
      </w:pPr>
      <w:r w:rsidRPr="003C2BC2">
        <w:t>‘fulfilment service provider’ means any natural or legal person or partnership with legal capacity that offers at least two of the following services within the territory where this Act applies in the course of business activity: storage, packaging, addressing or dispatching of the single-use plastic products listed in Annex 1 in respect of which it has no right of ownership; postal, parcel delivery or other freight transport service providers are not considered to be fulfilment service providers;</w:t>
      </w:r>
    </w:p>
    <w:p w14:paraId="1F288760" w14:textId="55C3A388" w:rsidR="006651D9" w:rsidRPr="003C2BC2" w:rsidRDefault="006651D9" w:rsidP="005E42A7">
      <w:pPr>
        <w:pStyle w:val="NummerierungStufe1"/>
      </w:pPr>
      <w:r w:rsidRPr="003C2BC2">
        <w:t>‘authorised representative’ means any natural or legal person or partnership with legal capacity that is established within the territory where this Act applies and is appointed by a producer that is not established within the territory where this Act applies to carry out tasks in its own name in order to fulfil certain producer obligations under this Act;</w:t>
      </w:r>
    </w:p>
    <w:p w14:paraId="70DE3E6C" w14:textId="5C28CD10" w:rsidR="005E42A7" w:rsidRPr="003C2BC2" w:rsidRDefault="005E42A7" w:rsidP="005E42A7">
      <w:pPr>
        <w:pStyle w:val="NummerierungStufe1"/>
      </w:pPr>
      <w:r w:rsidRPr="003C2BC2">
        <w:t>‘Central Agency’ means the ‘Central Agency Packaging Register’ foundation established in accordance with Section 24(1) of the Packaging Act of 5 July 2017 (Federal Law Gazette I, p. 2234), as last amended by Article 2 of the Act of 22 September 2021 (Federal Law Gazette I, p. 4363), in its current version;</w:t>
      </w:r>
    </w:p>
    <w:p w14:paraId="199E8804" w14:textId="03436EE7" w:rsidR="00C25437" w:rsidRPr="003C2BC2" w:rsidRDefault="001D00CE" w:rsidP="00C25437">
      <w:pPr>
        <w:pStyle w:val="NummerierungStufe1"/>
      </w:pPr>
      <w:bookmarkStart w:id="6" w:name="DQCITD06F033127309684FAAABAC5577A6B4456C"/>
      <w:r w:rsidRPr="003C2BC2">
        <w:t>‘public collection system’ means a collection system set up in generally accessible places and operated by or on behalf of a public waste management provider or a legal entity under public law;</w:t>
      </w:r>
    </w:p>
    <w:p w14:paraId="190D9931" w14:textId="6A33A099" w:rsidR="005E42A7" w:rsidRPr="003C2BC2" w:rsidRDefault="005E42A7" w:rsidP="00025FAD">
      <w:pPr>
        <w:pStyle w:val="NummerierungStufe1"/>
      </w:pPr>
      <w:r w:rsidRPr="003C2BC2">
        <w:t>‘collection costs’ means the cost of collecting waste generated from the single-use plastic products listed in Annex 1 in public collection systems; collection costs include the costs of infrastructure, such as collection containers, and their operation, as well as the costs of transporting and disposing of waste; collection costs also include the cost of setting up specific infrastructures for the collection of waste from tobacco products with filters containing plastic, as well as filters marketed for use in combination with tobacco products, in common litter hotspots;</w:t>
      </w:r>
      <w:bookmarkEnd w:id="6"/>
    </w:p>
    <w:p w14:paraId="39BAAC44" w14:textId="1096CA55" w:rsidR="009F2911" w:rsidRPr="003C2BC2" w:rsidRDefault="009F2911" w:rsidP="009F2911">
      <w:pPr>
        <w:pStyle w:val="NummerierungStufe1"/>
      </w:pPr>
      <w:bookmarkStart w:id="7" w:name="DQCITD0600459F2EB24043B7B67D11BA0519088D"/>
      <w:r w:rsidRPr="003C2BC2">
        <w:t>‘cleaning costs’ means, to the respective extent, the costs of litter clean-up activities which are carried out by or on behalf of public waste management providers or legal entities under public law and are intended to remove from the environment waste generated from the single-use plastic products listed in Annex 1; cleaning costs include the cost of transporting and disposing of waste;</w:t>
      </w:r>
      <w:bookmarkEnd w:id="7"/>
    </w:p>
    <w:p w14:paraId="496F80C6" w14:textId="4B562985" w:rsidR="009F2911" w:rsidRPr="003C2BC2" w:rsidRDefault="009F2911" w:rsidP="009F2911">
      <w:pPr>
        <w:pStyle w:val="NummerierungStufe1"/>
      </w:pPr>
      <w:r w:rsidRPr="003C2BC2">
        <w:t>‘awareness-raising costs’ means, to the respective extent, the costs of the awareness-raising measures which are carried out by or on behalf of public waste management providers in the context of waste advice pursuant to Section 46(2) and (3), subparagraphs 2 and 3, of the Circular Economy Act and concern the single-use plastic products listed in Annex 1 or waste arising therefrom;</w:t>
      </w:r>
    </w:p>
    <w:p w14:paraId="55ABFE20" w14:textId="11A263E9" w:rsidR="009F2911" w:rsidRPr="003C2BC2" w:rsidRDefault="009F2911" w:rsidP="009F2911">
      <w:pPr>
        <w:pStyle w:val="NummerierungStufe1"/>
      </w:pPr>
      <w:r w:rsidRPr="003C2BC2">
        <w:t>‘data collection and transmission costs’ means the costs of collecting and transmitting data on the collection and disposal of waste arising from the single-use plastic products listed in Annex 1;</w:t>
      </w:r>
    </w:p>
    <w:p w14:paraId="4240F56E" w14:textId="28192347" w:rsidR="009F2911" w:rsidRPr="003C2BC2" w:rsidRDefault="009F2911" w:rsidP="009F2911">
      <w:pPr>
        <w:pStyle w:val="NummerierungStufe1"/>
      </w:pPr>
      <w:r w:rsidRPr="003C2BC2">
        <w:t>‘administration costs’ means the costs that are incurred by the Federal Environment Agency for carrying out the tasks under this Act and are eligible according to business principles, in particular personnel and material costs, calculation costs, costs for the establishment and operation of electronic data collection and processing systems, as well as fees for third-party services used.</w:t>
      </w:r>
    </w:p>
    <w:p w14:paraId="511454B4" w14:textId="77777777" w:rsidR="00051C4C" w:rsidRPr="003C2BC2" w:rsidRDefault="00051C4C" w:rsidP="00051C4C">
      <w:pPr>
        <w:pStyle w:val="TeilBezeichner"/>
      </w:pPr>
    </w:p>
    <w:p w14:paraId="14024BC5" w14:textId="77777777" w:rsidR="00051C4C" w:rsidRPr="003C2BC2" w:rsidRDefault="00051C4C" w:rsidP="00051C4C">
      <w:pPr>
        <w:pStyle w:val="Teilberschrift"/>
      </w:pPr>
      <w:r w:rsidRPr="003C2BC2">
        <w:t>Single-use plastics fund</w:t>
      </w:r>
    </w:p>
    <w:p w14:paraId="372177E5" w14:textId="77777777" w:rsidR="00051C4C" w:rsidRPr="003C2BC2" w:rsidRDefault="00051C4C" w:rsidP="00BB52CE">
      <w:pPr>
        <w:pStyle w:val="ParagraphBezeichner"/>
      </w:pPr>
    </w:p>
    <w:p w14:paraId="1A014FEE" w14:textId="77777777" w:rsidR="00051C4C" w:rsidRPr="003C2BC2" w:rsidRDefault="00507414" w:rsidP="00051C4C">
      <w:pPr>
        <w:pStyle w:val="Paragraphberschrift"/>
      </w:pPr>
      <w:r w:rsidRPr="003C2BC2">
        <w:t>Single-use plastics fund</w:t>
      </w:r>
    </w:p>
    <w:p w14:paraId="3F6418BB" w14:textId="5313E15F" w:rsidR="00051C4C" w:rsidRPr="003C2BC2" w:rsidRDefault="00051C4C" w:rsidP="00947B2F">
      <w:pPr>
        <w:pStyle w:val="JuristischerAbsatznummeriert"/>
        <w:tabs>
          <w:tab w:val="clear" w:pos="850"/>
          <w:tab w:val="num" w:pos="851"/>
        </w:tabs>
      </w:pPr>
      <w:r w:rsidRPr="003C2BC2">
        <w:t>The Federal Environment Agency will administer the single-use plastics fund. The single-use plastics fund will be used to handle the reimbursement of the costs referred to in Section 3, subparagraphs 12 to 16, by producers.</w:t>
      </w:r>
    </w:p>
    <w:p w14:paraId="7E158B68" w14:textId="77777777" w:rsidR="00051C4C" w:rsidRPr="003C2BC2" w:rsidRDefault="00051C4C" w:rsidP="00947B2F">
      <w:pPr>
        <w:pStyle w:val="JuristischerAbsatznummeriert"/>
        <w:tabs>
          <w:tab w:val="clear" w:pos="850"/>
          <w:tab w:val="num" w:pos="851"/>
        </w:tabs>
      </w:pPr>
      <w:r w:rsidRPr="003C2BC2">
        <w:t>The principles of cost-effectiveness and economy shall be observed in administering the single-use plastics fund.</w:t>
      </w:r>
    </w:p>
    <w:p w14:paraId="1B920DF1" w14:textId="77777777" w:rsidR="00051C4C" w:rsidRPr="003C2BC2" w:rsidRDefault="00051C4C" w:rsidP="00BB52CE">
      <w:pPr>
        <w:pStyle w:val="ParagraphBezeichner"/>
      </w:pPr>
    </w:p>
    <w:p w14:paraId="4D2DA573" w14:textId="77777777" w:rsidR="00051C4C" w:rsidRPr="003C2BC2" w:rsidRDefault="00507414" w:rsidP="00051C4C">
      <w:pPr>
        <w:pStyle w:val="Paragraphberschrift"/>
      </w:pPr>
      <w:r w:rsidRPr="003C2BC2">
        <w:t>Financing</w:t>
      </w:r>
    </w:p>
    <w:p w14:paraId="6B3110E1" w14:textId="2B5B4310" w:rsidR="00356610" w:rsidRPr="003C2BC2" w:rsidRDefault="00356610" w:rsidP="00947B2F">
      <w:pPr>
        <w:pStyle w:val="JuristischerAbsatznummeriert"/>
        <w:tabs>
          <w:tab w:val="clear" w:pos="850"/>
          <w:tab w:val="left" w:pos="851"/>
        </w:tabs>
        <w:ind w:firstLine="424"/>
      </w:pPr>
      <w:r w:rsidRPr="003C2BC2">
        <w:t>The administration costs will be financed from revenues to the single-use plastics fund, unless other reimbursement of costs is stipulated. The administration costs incurred by the Federal Environment Agency in the financial year 2023 will be reimbursed from the revenues to the single-use plastics fund from 2025 onwards, equally in the following five financial years.</w:t>
      </w:r>
    </w:p>
    <w:p w14:paraId="54617B5A" w14:textId="6728838B" w:rsidR="00356610" w:rsidRPr="003C2BC2" w:rsidRDefault="000D441E" w:rsidP="00947B2F">
      <w:pPr>
        <w:pStyle w:val="JuristischerAbsatznummeriert"/>
        <w:tabs>
          <w:tab w:val="clear" w:pos="850"/>
          <w:tab w:val="left" w:pos="851"/>
        </w:tabs>
        <w:ind w:firstLine="424"/>
      </w:pPr>
      <w:r w:rsidRPr="003C2BC2">
        <w:t>The revenues to the single-use plastics fund may also be used for expenditure beyond the respective financial year in accordance with the budgetary rules</w:t>
      </w:r>
    </w:p>
    <w:p w14:paraId="3AC61006" w14:textId="0166155E" w:rsidR="0022267E" w:rsidRPr="003C2BC2" w:rsidRDefault="0022267E" w:rsidP="00947B2F">
      <w:pPr>
        <w:pStyle w:val="NummerierungStufe1"/>
        <w:tabs>
          <w:tab w:val="left" w:pos="851"/>
        </w:tabs>
      </w:pPr>
      <w:r w:rsidRPr="003C2BC2">
        <w:t>to ensure the reimbursement of administration costs,</w:t>
      </w:r>
    </w:p>
    <w:p w14:paraId="5B619856" w14:textId="77777777" w:rsidR="0022267E" w:rsidRPr="003C2BC2" w:rsidRDefault="0022267E" w:rsidP="00947B2F">
      <w:pPr>
        <w:pStyle w:val="NummerierungStufe1"/>
        <w:tabs>
          <w:tab w:val="left" w:pos="851"/>
        </w:tabs>
      </w:pPr>
      <w:r w:rsidRPr="003C2BC2">
        <w:t>to secure legal claims arising from the implementation of this Act, and</w:t>
      </w:r>
    </w:p>
    <w:p w14:paraId="4A1DF322" w14:textId="184B5752" w:rsidR="0022267E" w:rsidRPr="003C2BC2" w:rsidRDefault="0022267E" w:rsidP="00947B2F">
      <w:pPr>
        <w:pStyle w:val="NummerierungStufe1"/>
        <w:tabs>
          <w:tab w:val="left" w:pos="851"/>
        </w:tabs>
      </w:pPr>
      <w:r w:rsidRPr="003C2BC2">
        <w:t>to compensate for disproportionate fluctuations in the points value pursuant to Section 20(1).</w:t>
      </w:r>
    </w:p>
    <w:p w14:paraId="7A053BA9" w14:textId="61A66EC7" w:rsidR="00051C4C" w:rsidRPr="003C2BC2" w:rsidRDefault="001571BF" w:rsidP="009227C7">
      <w:pPr>
        <w:pStyle w:val="JuristischerAbsatzFolgeabsatz"/>
      </w:pPr>
      <w:r w:rsidRPr="003C2BC2">
        <w:t>However, in the case of subparagraph 3 of the first sentence, no more than 10 per cent of the revenue for a financial year may be used for further financial years.</w:t>
      </w:r>
    </w:p>
    <w:p w14:paraId="35CEBA35" w14:textId="77777777" w:rsidR="00051C4C" w:rsidRPr="003C2BC2" w:rsidRDefault="00051C4C" w:rsidP="00947B2F">
      <w:pPr>
        <w:pStyle w:val="ParagraphBezeichner"/>
      </w:pPr>
    </w:p>
    <w:p w14:paraId="56CA47D0" w14:textId="7AA337AC" w:rsidR="00051C4C" w:rsidRPr="003C2BC2" w:rsidRDefault="003B0F51" w:rsidP="009B4397">
      <w:pPr>
        <w:pStyle w:val="Paragraphberschrift"/>
      </w:pPr>
      <w:r w:rsidRPr="003C2BC2">
        <w:t>Annual statement</w:t>
      </w:r>
    </w:p>
    <w:p w14:paraId="2931D81F" w14:textId="1497BD5C" w:rsidR="000A459C" w:rsidRPr="003C2BC2" w:rsidRDefault="00C36AA4" w:rsidP="00947B2F">
      <w:pPr>
        <w:pStyle w:val="JuristischerAbsatznummeriert"/>
        <w:tabs>
          <w:tab w:val="clear" w:pos="850"/>
          <w:tab w:val="num" w:pos="851"/>
        </w:tabs>
      </w:pPr>
      <w:bookmarkStart w:id="8" w:name="DQCITD06C34BB4AB6279410E81EB303B2B272411"/>
      <w:r w:rsidRPr="003C2BC2">
        <w:t>Without prejudice to Sections 80 to 85 of the Federal Budget Code of 19 August 1969 (Federal Law Gazette I p. 1284), as last amended by Article 21 of the Act of 20 August 2021 (Federal Law Gazette I, p. 3932), in its current version, the Federal Environment Agency will, at the end of each financial year, set out total revenue to and total expenditure from the single-use plastics fund in its annual statement.</w:t>
      </w:r>
      <w:bookmarkEnd w:id="8"/>
    </w:p>
    <w:p w14:paraId="783CE3C4" w14:textId="5B376C77" w:rsidR="00051C4C" w:rsidRPr="003C2BC2" w:rsidRDefault="000A459C" w:rsidP="00947B2F">
      <w:pPr>
        <w:pStyle w:val="JuristischerAbsatznummeriert"/>
        <w:tabs>
          <w:tab w:val="clear" w:pos="850"/>
          <w:tab w:val="num" w:pos="851"/>
        </w:tabs>
      </w:pPr>
      <w:r w:rsidRPr="003C2BC2">
        <w:t>The Federal Environment Agency will publish the annual statement on its website in an appropriate manner.</w:t>
      </w:r>
    </w:p>
    <w:p w14:paraId="52FAD37B" w14:textId="77777777" w:rsidR="005916BC" w:rsidRPr="003C2BC2" w:rsidRDefault="005916BC" w:rsidP="005916BC">
      <w:pPr>
        <w:pStyle w:val="TeilBezeichner"/>
      </w:pPr>
    </w:p>
    <w:p w14:paraId="7B900A7E" w14:textId="12CDF6C3" w:rsidR="005916BC" w:rsidRPr="003C2BC2" w:rsidRDefault="00CC0EC9" w:rsidP="005916BC">
      <w:pPr>
        <w:pStyle w:val="Teilberschrift"/>
      </w:pPr>
      <w:r w:rsidRPr="003C2BC2">
        <w:t>Register of producers, obligations of producers</w:t>
      </w:r>
    </w:p>
    <w:p w14:paraId="5FEF8ACB" w14:textId="77777777" w:rsidR="005916BC" w:rsidRPr="003C2BC2" w:rsidRDefault="005916BC" w:rsidP="005A4A59">
      <w:pPr>
        <w:pStyle w:val="ParagraphBezeichner"/>
      </w:pPr>
    </w:p>
    <w:p w14:paraId="03AC73E1" w14:textId="77777777" w:rsidR="005916BC" w:rsidRPr="003C2BC2" w:rsidRDefault="005916BC" w:rsidP="005916BC">
      <w:pPr>
        <w:pStyle w:val="Paragraphberschrift"/>
      </w:pPr>
      <w:r w:rsidRPr="003C2BC2">
        <w:t>Registration of producers</w:t>
      </w:r>
    </w:p>
    <w:p w14:paraId="09E621F5" w14:textId="7849072A" w:rsidR="005916BC" w:rsidRPr="003C2BC2" w:rsidRDefault="005916BC" w:rsidP="00A611AA">
      <w:pPr>
        <w:pStyle w:val="JuristischerAbsatznummeriert"/>
        <w:tabs>
          <w:tab w:val="clear" w:pos="850"/>
          <w:tab w:val="num" w:pos="851"/>
        </w:tabs>
      </w:pPr>
      <w:r w:rsidRPr="003C2BC2">
        <w:t>Producers must register with the Federal Environment Agency in accordance with paragraph (2) before commencing their activities. Changes to registration data as well as the permanent cessation of activities must be communicated to the Federal Environment Agency without delay.</w:t>
      </w:r>
    </w:p>
    <w:p w14:paraId="5CB175B7" w14:textId="77777777" w:rsidR="005916BC" w:rsidRPr="003C2BC2" w:rsidRDefault="005916BC" w:rsidP="00A611AA">
      <w:pPr>
        <w:pStyle w:val="JuristischerAbsatznummeriert"/>
        <w:tabs>
          <w:tab w:val="clear" w:pos="850"/>
          <w:tab w:val="num" w:pos="851"/>
        </w:tabs>
      </w:pPr>
      <w:r w:rsidRPr="003C2BC2">
        <w:t>The following information must be provided during the registration referred to in the first sentence of paragraph (1):</w:t>
      </w:r>
    </w:p>
    <w:p w14:paraId="1EFDD2C9" w14:textId="3F348E33" w:rsidR="005916BC" w:rsidRPr="003C2BC2" w:rsidRDefault="005916BC" w:rsidP="005916BC">
      <w:pPr>
        <w:pStyle w:val="NummerierungStufe1"/>
      </w:pPr>
      <w:r w:rsidRPr="003C2BC2">
        <w:t>name, address and contact details of the producer, in particular post code and city, street and house number, country, telephone number and the European or national tax number,</w:t>
      </w:r>
    </w:p>
    <w:p w14:paraId="0A8C32AD" w14:textId="677335C2" w:rsidR="00267D33" w:rsidRPr="003C2BC2" w:rsidRDefault="00267D33" w:rsidP="005916BC">
      <w:pPr>
        <w:pStyle w:val="NummerierungStufe1"/>
      </w:pPr>
      <w:r w:rsidRPr="003C2BC2">
        <w:t>if an authorised representative is appointed in accordance with Section 10(1):</w:t>
      </w:r>
    </w:p>
    <w:p w14:paraId="3F80DF87" w14:textId="0D9B9F80" w:rsidR="00267D33" w:rsidRPr="003C2BC2" w:rsidRDefault="00267D33" w:rsidP="00976A84">
      <w:pPr>
        <w:pStyle w:val="NummerierungStufe2"/>
      </w:pPr>
      <w:r w:rsidRPr="003C2BC2">
        <w:t>name, address and contact details of the authorised representative in accordance with subparagraph 1, and</w:t>
      </w:r>
    </w:p>
    <w:p w14:paraId="4E0C1F39" w14:textId="77777777" w:rsidR="00267D33" w:rsidRPr="003C2BC2" w:rsidRDefault="00267D33" w:rsidP="00976A84">
      <w:pPr>
        <w:pStyle w:val="NummerierungStufe2"/>
      </w:pPr>
      <w:r w:rsidRPr="003C2BC2">
        <w:t>written appointment by the producer,</w:t>
      </w:r>
    </w:p>
    <w:p w14:paraId="4216BE1A" w14:textId="77777777" w:rsidR="005916BC" w:rsidRPr="003C2BC2" w:rsidRDefault="005916BC" w:rsidP="005916BC">
      <w:pPr>
        <w:pStyle w:val="NummerierungStufe1"/>
      </w:pPr>
      <w:r w:rsidRPr="003C2BC2">
        <w:t>details of a natural person with power of representation,</w:t>
      </w:r>
    </w:p>
    <w:p w14:paraId="7D87B09A" w14:textId="42003A2C" w:rsidR="005916BC" w:rsidRPr="003C2BC2" w:rsidRDefault="005916BC" w:rsidP="005916BC">
      <w:pPr>
        <w:pStyle w:val="NummerierungStufe1"/>
      </w:pPr>
      <w:r w:rsidRPr="003C2BC2">
        <w:t>national identification number and e-mail address of the producer and, if an authorised representative is appointed, the same information for the authorised representative,</w:t>
      </w:r>
    </w:p>
    <w:p w14:paraId="598EF6E2" w14:textId="7F03226A" w:rsidR="005916BC" w:rsidRPr="003C2BC2" w:rsidRDefault="006423CD" w:rsidP="005916BC">
      <w:pPr>
        <w:pStyle w:val="NummerierungStufe1"/>
      </w:pPr>
      <w:r w:rsidRPr="003C2BC2">
        <w:t>brand names under which the producer makes available on the market for the first time or sells the single-use plastic products listed in Annex 1,</w:t>
      </w:r>
    </w:p>
    <w:p w14:paraId="5CA22E84" w14:textId="1DC30832" w:rsidR="005916BC" w:rsidRPr="003C2BC2" w:rsidRDefault="006423CD" w:rsidP="005916BC">
      <w:pPr>
        <w:pStyle w:val="NummerierungStufe1"/>
      </w:pPr>
      <w:r w:rsidRPr="003C2BC2">
        <w:t>types of the single-use plastic products, as listed in Annex 1, made available on the market for the first time or sold, and</w:t>
      </w:r>
    </w:p>
    <w:p w14:paraId="54DF65CE" w14:textId="74CE09BD" w:rsidR="005916BC" w:rsidRPr="003C2BC2" w:rsidRDefault="005916BC" w:rsidP="005916BC">
      <w:pPr>
        <w:pStyle w:val="NummerierungStufe1"/>
      </w:pPr>
      <w:r w:rsidRPr="003C2BC2">
        <w:t>declaration that all information provided is true.</w:t>
      </w:r>
    </w:p>
    <w:p w14:paraId="1951603D" w14:textId="24A4D2B7" w:rsidR="00467500" w:rsidRPr="003C2BC2" w:rsidRDefault="00467500" w:rsidP="000A1BFC">
      <w:pPr>
        <w:pStyle w:val="JuristischerAbsatzFolgeabsatz"/>
      </w:pPr>
      <w:r w:rsidRPr="003C2BC2">
        <w:t>The information referred to in subparagraphs 1 to 4 of the first sentence is not required if the producer agrees to use of this data, stating its registration number in the register pursuant to Section 9 of the Packaging Act.</w:t>
      </w:r>
    </w:p>
    <w:p w14:paraId="61E5B3D0" w14:textId="5EF21252" w:rsidR="005916BC" w:rsidRPr="003C2BC2" w:rsidRDefault="00467500" w:rsidP="004352C9">
      <w:pPr>
        <w:pStyle w:val="JuristischerAbsatznummeriert"/>
        <w:tabs>
          <w:tab w:val="clear" w:pos="850"/>
          <w:tab w:val="num" w:pos="851"/>
        </w:tabs>
      </w:pPr>
      <w:r w:rsidRPr="003C2BC2">
        <w:t>Registration and notifications of amendment must be made via the information technology system provided by the Federal Environment Agency in accordance with Section 8(1).</w:t>
      </w:r>
    </w:p>
    <w:p w14:paraId="3CADBA0B" w14:textId="07B5AD7B" w:rsidR="00816BE3" w:rsidRPr="003C2BC2" w:rsidRDefault="00816BE3">
      <w:pPr>
        <w:pStyle w:val="JuristischerAbsatznummeriert"/>
        <w:tabs>
          <w:tab w:val="clear" w:pos="850"/>
          <w:tab w:val="num" w:pos="851"/>
        </w:tabs>
      </w:pPr>
      <w:r w:rsidRPr="003C2BC2">
        <w:t>The Federal Environmental Agency will</w:t>
      </w:r>
    </w:p>
    <w:p w14:paraId="02D8636F" w14:textId="67E0FA81" w:rsidR="00816BE3" w:rsidRPr="003C2BC2" w:rsidRDefault="00816BE3" w:rsidP="007735A1">
      <w:pPr>
        <w:pStyle w:val="NummerierungStufe1"/>
      </w:pPr>
      <w:r w:rsidRPr="003C2BC2">
        <w:t>confirm the registration,</w:t>
      </w:r>
    </w:p>
    <w:p w14:paraId="3CF708A6" w14:textId="28922BEF" w:rsidR="00816BE3" w:rsidRPr="003C2BC2" w:rsidRDefault="00816BE3" w:rsidP="007735A1">
      <w:pPr>
        <w:pStyle w:val="NummerierungStufe1"/>
      </w:pPr>
      <w:r w:rsidRPr="003C2BC2">
        <w:t>inform the producer of its registration number,</w:t>
      </w:r>
    </w:p>
    <w:p w14:paraId="0AAC29E6" w14:textId="6153AA1E" w:rsidR="00816BE3" w:rsidRPr="003C2BC2" w:rsidRDefault="00816BE3" w:rsidP="007735A1">
      <w:pPr>
        <w:pStyle w:val="NummerierungStufe1"/>
      </w:pPr>
      <w:r w:rsidRPr="003C2BC2">
        <w:t>examine the notification of amendment, and</w:t>
      </w:r>
    </w:p>
    <w:p w14:paraId="61B228E6" w14:textId="12E7A8EB" w:rsidR="00816BE3" w:rsidRPr="003C2BC2" w:rsidRDefault="00CE0B32" w:rsidP="007735A1">
      <w:pPr>
        <w:pStyle w:val="NummerierungStufe1"/>
      </w:pPr>
      <w:r w:rsidRPr="003C2BC2">
        <w:lastRenderedPageBreak/>
        <w:t>confirm that the notified amendment has been recorded.</w:t>
      </w:r>
    </w:p>
    <w:p w14:paraId="3EDDDB90" w14:textId="471FEECE" w:rsidR="00C92B37" w:rsidRPr="003C2BC2" w:rsidRDefault="005916BC" w:rsidP="001D6D6E">
      <w:pPr>
        <w:pStyle w:val="JuristischerAbsatznummeriert"/>
      </w:pPr>
      <w:r w:rsidRPr="003C2BC2">
        <w:t>The Federal Environment Agency will publish the registered producers with the information referred to in the first sentence of paragraph (2), subparagraph 1, subparagraph 2 point a), and subparagraphs 5 and 6, as well as the registration number and the date of registration on its website. For producers whose registration has ended, the date of leaving the market will also be indicated. The data published on the website of the Federal Environment Agency must be automatically deleted three years after the date on which the producer’s registration ends.</w:t>
      </w:r>
    </w:p>
    <w:p w14:paraId="0E462F72" w14:textId="11E65C3E" w:rsidR="005916BC" w:rsidRPr="003C2BC2" w:rsidRDefault="005916BC" w:rsidP="005A4A59">
      <w:pPr>
        <w:pStyle w:val="ParagraphBezeichner"/>
      </w:pPr>
    </w:p>
    <w:p w14:paraId="3596E7F4" w14:textId="77777777" w:rsidR="005916BC" w:rsidRPr="003C2BC2" w:rsidRDefault="005916BC" w:rsidP="005916BC">
      <w:pPr>
        <w:pStyle w:val="Paragraphberschrift"/>
      </w:pPr>
      <w:r w:rsidRPr="003C2BC2">
        <w:t>Register of producers</w:t>
      </w:r>
    </w:p>
    <w:p w14:paraId="794D56AD" w14:textId="6E2C1F2F" w:rsidR="005916BC" w:rsidRPr="003C2BC2" w:rsidRDefault="005916BC" w:rsidP="00091571">
      <w:pPr>
        <w:pStyle w:val="JuristischerAbsatznummeriert"/>
        <w:tabs>
          <w:tab w:val="clear" w:pos="850"/>
          <w:tab w:val="num" w:pos="851"/>
        </w:tabs>
      </w:pPr>
      <w:r w:rsidRPr="003C2BC2">
        <w:t>In order to register producers in accordance with Section 7, the Federal Environment Agency will establish an information technology system and provide access for producers on its website. The Federal Environment Agency may provide further instructions on the electronic registration procedure and, for other communication with producers, lay down electronic transmission, certain encryption and the provision of access for the transmission of electronic documents. The Federal Environment Agency is authorised to retrieve, collect, store and use the data referred to in Section 7(2). The data must be automatically deleted three years after the end of the day on which the producer’s registration ends.</w:t>
      </w:r>
    </w:p>
    <w:p w14:paraId="27031F4A" w14:textId="650D559F" w:rsidR="005916BC" w:rsidRPr="003C2BC2" w:rsidRDefault="0090386A" w:rsidP="00091571">
      <w:pPr>
        <w:pStyle w:val="JuristischerAbsatznummeriert"/>
        <w:tabs>
          <w:tab w:val="clear" w:pos="850"/>
          <w:tab w:val="num" w:pos="851"/>
        </w:tabs>
      </w:pPr>
      <w:bookmarkStart w:id="9" w:name="DQCITD06F811FD6F4F55441EA28A52D07D7A8A43"/>
      <w:r w:rsidRPr="003C2BC2">
        <w:t xml:space="preserve">Insofar as the information referred to in the first sentence of Section 7(2), subparagraphs 1 to 4 is already available to the Central Agency as a result of registration under Section  9 of the Packaging Act, the Federal Environment Agency is required and authorised to collect, store and use the data available therein if the producer has given its consent in accordance with the second sentence of Section 7(2). </w:t>
      </w:r>
      <w:bookmarkEnd w:id="9"/>
      <w:r w:rsidRPr="003C2BC2">
        <w:t>For this purpose, the Central Agency will provide the Federal Environment Agency with this data and the necessary technical information on the type of data transmission and will document data retrievals. The documentation may only be used for the purposes of data protection control, data backup or to ensure proper operation of the data processing system. The documentation must be deleted automatically after six months.</w:t>
      </w:r>
    </w:p>
    <w:p w14:paraId="43BEBD83" w14:textId="6701B644" w:rsidR="00A2298E" w:rsidRPr="003C2BC2" w:rsidRDefault="00A2298E" w:rsidP="00A2298E">
      <w:pPr>
        <w:pStyle w:val="JuristischerAbsatznummeriert"/>
      </w:pPr>
      <w:r w:rsidRPr="003C2BC2">
        <w:t>The Federal Environment Agency will transmit to the Central Agency electronically and annually, by 31 January, the data of all producers registered in the previous calendar year together with the information referred to in Section 7(2), first sentence, subparagraphs 1 to 6 and Section 11(1), insofar as this is necessary to fulfil the obligations under the Packaging Act. The Federal Environment Agency and the Central Agency will determine the format of the electronic transmission by mutual agreement.</w:t>
      </w:r>
    </w:p>
    <w:p w14:paraId="02AA7BFA" w14:textId="34D96E9B" w:rsidR="00C0349A" w:rsidRPr="003C2BC2" w:rsidRDefault="00254126">
      <w:pPr>
        <w:pStyle w:val="JuristischerAbsatznummeriert"/>
      </w:pPr>
      <w:r w:rsidRPr="003C2BC2">
        <w:t>The Federal Environment Agency will transmit to the Federal Statistical Office electronically and annually, by 31 January, the data of all producers registered in the previous calendar year together with the information referred to in Section 7(2), first sentence, subparagraphs 5 and 6, insofar as this is necessary for the Statistical Office to fulfil its tasks under Section 5a of the Environmental Statistics Act. The Federal Environment Agency and the Federal Statistical Office will determine the format of the electronic transmission by mutual agreement.</w:t>
      </w:r>
    </w:p>
    <w:p w14:paraId="0E8B290A" w14:textId="753DFFBE" w:rsidR="00C0349A" w:rsidRPr="003C2BC2" w:rsidRDefault="00C0349A" w:rsidP="00C0349A">
      <w:pPr>
        <w:pStyle w:val="ParagraphBezeichner"/>
      </w:pPr>
    </w:p>
    <w:p w14:paraId="3A7E14B9" w14:textId="14E7DE70" w:rsidR="00A437C1" w:rsidRPr="003C2BC2" w:rsidRDefault="00C0349A" w:rsidP="00C0349A">
      <w:pPr>
        <w:pStyle w:val="Paragraphberschrift"/>
      </w:pPr>
      <w:r w:rsidRPr="003C2BC2">
        <w:t>Single-use plastic products from non-registered or improperly registered producers</w:t>
      </w:r>
    </w:p>
    <w:p w14:paraId="11EDBE01" w14:textId="1009E26D" w:rsidR="00A437C1" w:rsidRPr="003C2BC2" w:rsidRDefault="00A437C1" w:rsidP="00A437C1">
      <w:pPr>
        <w:pStyle w:val="JuristischerAbsatznummeriert"/>
        <w:tabs>
          <w:tab w:val="clear" w:pos="850"/>
          <w:tab w:val="num" w:pos="851"/>
        </w:tabs>
      </w:pPr>
      <w:r w:rsidRPr="003C2BC2">
        <w:t>Producers who are not registered in accordance with the first sentence of Section 7(1) may not make available on the market for the first time or sell the single-use plastic products listed in Annex 1.</w:t>
      </w:r>
    </w:p>
    <w:p w14:paraId="689EEC46" w14:textId="44A58C0D" w:rsidR="00A437C1" w:rsidRPr="003C2BC2" w:rsidRDefault="00A437C1" w:rsidP="00A437C1">
      <w:pPr>
        <w:pStyle w:val="JuristischerAbsatznummeriert"/>
        <w:tabs>
          <w:tab w:val="clear" w:pos="850"/>
          <w:tab w:val="num" w:pos="851"/>
        </w:tabs>
      </w:pPr>
      <w:r w:rsidRPr="003C2BC2">
        <w:t>The single-use plastic products listed in Annex 1 may not be offered for sale professionally if their producer is not registered in accordance with the first sentence of Section 7(1).</w:t>
      </w:r>
    </w:p>
    <w:p w14:paraId="33DB374F" w14:textId="3258628C" w:rsidR="00A437C1" w:rsidRPr="003C2BC2" w:rsidRDefault="00A437C1" w:rsidP="00A437C1">
      <w:pPr>
        <w:pStyle w:val="JuristischerAbsatznummeriert"/>
        <w:tabs>
          <w:tab w:val="clear" w:pos="850"/>
          <w:tab w:val="num" w:pos="851"/>
        </w:tabs>
      </w:pPr>
      <w:r w:rsidRPr="003C2BC2">
        <w:t>Operators of electronic marketplaces may not allow the single-use plastic products listed in Annex 1 to be offered if the producer of these single-use plastic products is not registered in accordance with the first sentence of Section 7(1).</w:t>
      </w:r>
    </w:p>
    <w:p w14:paraId="7BE5B187" w14:textId="232F25C0" w:rsidR="00A437C1" w:rsidRPr="003C2BC2" w:rsidRDefault="00A437C1" w:rsidP="00A437C1">
      <w:pPr>
        <w:pStyle w:val="JuristischerAbsatznummeriert"/>
        <w:tabs>
          <w:tab w:val="clear" w:pos="850"/>
          <w:tab w:val="num" w:pos="851"/>
        </w:tabs>
      </w:pPr>
      <w:r w:rsidRPr="003C2BC2">
        <w:t>Fulfilment service providers may not provide the services referred to in Section 3 subparagraph 8 with regard to the single-use plastic products listed in Annex 1 if the producer of these single-use plastic products is not registered in accordance with the first sentence of Section 7(1).</w:t>
      </w:r>
    </w:p>
    <w:p w14:paraId="0CA3C1FE" w14:textId="66182801" w:rsidR="005916BC" w:rsidRPr="003C2BC2" w:rsidRDefault="005916BC" w:rsidP="005A4A59">
      <w:pPr>
        <w:pStyle w:val="ParagraphBezeichner"/>
      </w:pPr>
    </w:p>
    <w:p w14:paraId="0155DECE" w14:textId="77777777" w:rsidR="005916BC" w:rsidRPr="003C2BC2" w:rsidRDefault="005916BC" w:rsidP="005916BC">
      <w:pPr>
        <w:pStyle w:val="Paragraphberschrift"/>
      </w:pPr>
      <w:r w:rsidRPr="003C2BC2">
        <w:t>Appointment of authorised representatives or third parties</w:t>
      </w:r>
    </w:p>
    <w:p w14:paraId="56513AC9" w14:textId="62C80A71" w:rsidR="005916BC" w:rsidRPr="003C2BC2" w:rsidRDefault="005916BC" w:rsidP="00091571">
      <w:pPr>
        <w:pStyle w:val="JuristischerAbsatznummeriert"/>
        <w:tabs>
          <w:tab w:val="clear" w:pos="850"/>
          <w:tab w:val="num" w:pos="851"/>
        </w:tabs>
      </w:pPr>
      <w:r w:rsidRPr="003C2BC2">
        <w:t>Producers who are not established within the territory where this Act applies shall, prior to the commencement of their activities, appoint an authorised representative to fulfil the obligations under this Act, with the exception of registration pursuant to Section 7(1) and the annual notification pursuant to Section 11(1). For the purposes of this Act, the authorised representative will be considered to be the producer with respect to these obligations. The authorised representative will fulfil these obligations in its own name. Each producer may appoint only one authorised representative. The appointment must be made in writing and in German.</w:t>
      </w:r>
    </w:p>
    <w:p w14:paraId="05490279" w14:textId="2B319EB8" w:rsidR="005916BC" w:rsidRPr="003C2BC2" w:rsidRDefault="005916BC" w:rsidP="00091571">
      <w:pPr>
        <w:pStyle w:val="JuristischerAbsatznummeriert"/>
        <w:tabs>
          <w:tab w:val="clear" w:pos="850"/>
          <w:tab w:val="num" w:pos="851"/>
        </w:tabs>
      </w:pPr>
      <w:r w:rsidRPr="003C2BC2">
        <w:t>The producer will inform the Federal Environment Agency of the authorised representative referred to in the first sentence of paragraph (1), without delay after the appointment. A copy of the appointment must be attached. The appointment needs to be confirmed by the Federal Environment Agency. The Federal Environment Agency will only issue such confirmation if the conditions laid down in paragraph (1) are met. The producer will notify the Federal Environment Agency without delay of any changes to the appointment or corrections to the information.</w:t>
      </w:r>
    </w:p>
    <w:p w14:paraId="5CF0858A" w14:textId="29A2C679" w:rsidR="00091571" w:rsidRPr="003C2BC2" w:rsidRDefault="005916BC" w:rsidP="00B20096">
      <w:pPr>
        <w:pStyle w:val="JuristischerAbsatznummeriert"/>
        <w:tabs>
          <w:tab w:val="clear" w:pos="850"/>
          <w:tab w:val="left" w:pos="851"/>
        </w:tabs>
      </w:pPr>
      <w:r w:rsidRPr="003C2BC2">
        <w:t>If the appointment of an authorised representative pursuant to paragraph (1) ends, the producer will inform the Federal Environment Agency without delay. The appointment ends as soon as the Federal Environment Agency confirms the end of the appointment to the producer. A producer to whom the end of the appointment has been confirmed by the Federal Environment Agency must, without delay, inform the producers, fillers, sellers or importers it supplies of the end of the appointment of the authorised representative. The obligation of the authorised representative to fulfil the producer obligations arising during the period of its appointment remains unaffected.</w:t>
      </w:r>
    </w:p>
    <w:p w14:paraId="3E083E47" w14:textId="7DFD976B" w:rsidR="003753B3" w:rsidRPr="003C2BC2" w:rsidRDefault="006F13AD" w:rsidP="006B421D">
      <w:pPr>
        <w:pStyle w:val="JuristischerAbsatznummeriert"/>
      </w:pPr>
      <w:bookmarkStart w:id="10" w:name="DQCITD06D733E1D0078D476CA95EF3A38BEDA2F9"/>
      <w:r w:rsidRPr="003C2BC2">
        <w:t xml:space="preserve">Producers established within the territory where this Act applies, who make available on the market for the first time or sell the single-use plastic products listed in Annex 1 in another Member State of the European Union or in a Contracting State to the Agreement on the European Economic Area in which they are not established will appoint, before such making available on the market in this Member State or Contracting State, an authorised </w:t>
      </w:r>
      <w:r w:rsidRPr="003C2BC2">
        <w:lastRenderedPageBreak/>
        <w:t>representative in order to fulfil the obligation to reimburse costs under extended producer responsibility in accordance with Article 8(1) to (3) of Directive (EU) 2019/904 of the European Parliament and of the Council of 5 June 2019 on the reduction of the impact of certain plastic products on the environment (OJ</w:t>
      </w:r>
      <w:bookmarkStart w:id="11" w:name="DQPErrorScope5D0C0EF475A90C41750772C78F8"/>
      <w:r w:rsidRPr="003C2BC2">
        <w:t xml:space="preserve"> </w:t>
      </w:r>
      <w:bookmarkEnd w:id="11"/>
      <w:r w:rsidRPr="003C2BC2">
        <w:t>L 155</w:t>
      </w:r>
      <w:bookmarkStart w:id="12" w:name="DQPErrorScopeE527A9F4A2EB7A095A9B8ECED82"/>
      <w:r w:rsidRPr="003C2BC2">
        <w:t>, 12.6.2019</w:t>
      </w:r>
      <w:bookmarkEnd w:id="12"/>
      <w:r w:rsidRPr="003C2BC2">
        <w:t>, p. 1) as amended.</w:t>
      </w:r>
      <w:bookmarkEnd w:id="10"/>
    </w:p>
    <w:p w14:paraId="3B1C8476" w14:textId="5B35DF3F" w:rsidR="005916BC" w:rsidRPr="003C2BC2" w:rsidRDefault="0077048D" w:rsidP="00091571">
      <w:pPr>
        <w:pStyle w:val="JuristischerAbsatznummeriert"/>
        <w:tabs>
          <w:tab w:val="clear" w:pos="850"/>
          <w:tab w:val="num" w:pos="851"/>
        </w:tabs>
      </w:pPr>
      <w:r w:rsidRPr="003C2BC2">
        <w:t>Producers may appoint third parties to fulfil their obligations; the second and third sentences of Section 22 of the Circular Economy Act shall apply, mutatis mutandis. The first sentence shall not apply to registration pursuant to Section 7(1) and to the annual notification pursuant to Section 11(1).</w:t>
      </w:r>
    </w:p>
    <w:p w14:paraId="50126601" w14:textId="77777777" w:rsidR="00467500" w:rsidRPr="003C2BC2" w:rsidRDefault="00467500" w:rsidP="005A4A59">
      <w:pPr>
        <w:pStyle w:val="ParagraphBezeichner"/>
      </w:pPr>
    </w:p>
    <w:p w14:paraId="6CE0049C" w14:textId="77777777" w:rsidR="00467500" w:rsidRPr="003C2BC2" w:rsidRDefault="00467500" w:rsidP="00467500">
      <w:pPr>
        <w:pStyle w:val="Paragraphberschrift"/>
      </w:pPr>
      <w:r w:rsidRPr="003C2BC2">
        <w:t>Annual notification by producers</w:t>
      </w:r>
    </w:p>
    <w:p w14:paraId="691DC31D" w14:textId="109C9948" w:rsidR="00467500" w:rsidRPr="003C2BC2" w:rsidRDefault="00467500" w:rsidP="009B4397">
      <w:pPr>
        <w:pStyle w:val="JuristischerAbsatznummeriert"/>
        <w:tabs>
          <w:tab w:val="clear" w:pos="850"/>
          <w:tab w:val="num" w:pos="851"/>
        </w:tabs>
      </w:pPr>
      <w:r w:rsidRPr="003C2BC2">
        <w:t xml:space="preserve">In accordance with the second and third sentences, producers will notify to the Federal Environment Agency annually by 15 May the single-use plastic products, as listed in Annex 1, they have made available on the market for the first time or sold in the previous calendar year, broken down by type and mass, in kilograms. The notification must be verified and confirmed by a registered expert within the meaning of Section 3(15) of the Packaging Act or by a registered auditor, tax consultant or sworn accountant in accordance within the meaning of Section 27(2) of the Packaging Act. </w:t>
      </w:r>
      <w:bookmarkStart w:id="13" w:name="DQCITD0631C5154FD7CD4204AF2EE723DDC4D701"/>
      <w:r w:rsidRPr="003C2BC2">
        <w:t>The confirmation will be furnished with a qualified electronic signature in accordance with point 12 of Article 3 of Regulation (EU) No 910/2014 of the European Parliament and of the Council of 23 July 2014 on electronic identification and trust services for electronic transactions in the internal market and repealing Directive 1999/93/EC (OJ L 257, 28.8.2014, p. 73), and be sent electronically by the producer to the Federal Environment Agency, together with the notification and the verification report.</w:t>
      </w:r>
      <w:bookmarkEnd w:id="13"/>
    </w:p>
    <w:p w14:paraId="35D325D9" w14:textId="0261A863" w:rsidR="00467500" w:rsidRPr="003C2BC2" w:rsidRDefault="00467500" w:rsidP="009B4397">
      <w:pPr>
        <w:pStyle w:val="JuristischerAbsatznummeriert"/>
        <w:tabs>
          <w:tab w:val="clear" w:pos="850"/>
          <w:tab w:val="num" w:pos="851"/>
        </w:tabs>
      </w:pPr>
      <w:r w:rsidRPr="003C2BC2">
        <w:t>The Federal Environment Agency will provide uniform electronic forms for the notification referred to in the first sentence of paragraph (1), the confirmation and transmission of the notification, and the verification report referred to in the third sentence of paragraph (1), as well as for other communication with producers, and lay down the detailed procedure. The Federal Environment Agency will publish annually on its website by 31 December aggregated data on the single-use plastic products listed in Annex 1 that were made available on the market for the first time or sold in the previous year, broken down by type and mass.</w:t>
      </w:r>
    </w:p>
    <w:p w14:paraId="005FC868" w14:textId="0C5BD915" w:rsidR="00467500" w:rsidRPr="003C2BC2" w:rsidRDefault="00467500" w:rsidP="009B4397">
      <w:pPr>
        <w:pStyle w:val="JuristischerAbsatznummeriert"/>
        <w:tabs>
          <w:tab w:val="clear" w:pos="850"/>
          <w:tab w:val="num" w:pos="851"/>
        </w:tabs>
      </w:pPr>
      <w:r w:rsidRPr="003C2BC2">
        <w:t>If there are indications that the notification is inaccurate or incomplete, the Federal Environment Agency may require the producer to submit further documents necessary for verification in individual cases. If the documents are not submitted or the documents submitted are not suitable to refute the indications of inaccuracy or incompleteness, the notification referred to in the first sentence of paragraph (1) will be deemed not to have been submitted.</w:t>
      </w:r>
    </w:p>
    <w:p w14:paraId="7597F7B3" w14:textId="57D6687F" w:rsidR="00467500" w:rsidRPr="003C2BC2" w:rsidRDefault="00467500" w:rsidP="00D6725B">
      <w:pPr>
        <w:pStyle w:val="JuristischerAbsatznummeriert"/>
      </w:pPr>
      <w:r w:rsidRPr="003C2BC2">
        <w:t>Any person who made available on the market for the first time or sold less than 100 kilograms of the single-use plastic products listed in Annex 1 in the previous calendar year will be exempt from the obligation laid down in the second sentence of paragraph (1). If the threshold referred to in the first sentence is not reached, the Federal Environment Agency may, at any time, require verification in accordance with the second sentence of paragraph (1) to be carried out and confirmation in accordance with the third sentence of paragraph (1) to be submitted.</w:t>
      </w:r>
    </w:p>
    <w:p w14:paraId="3E233B4A" w14:textId="60D08D9C" w:rsidR="00CF19CE" w:rsidRPr="003C2BC2" w:rsidRDefault="00CF19CE" w:rsidP="00CF19CE">
      <w:pPr>
        <w:pStyle w:val="JuristischerAbsatznummeriert"/>
      </w:pPr>
      <w:r w:rsidRPr="003C2BC2">
        <w:t xml:space="preserve">The Federal Environment Agency, in mutual agreement with the Federal Cartel Office, will develop verification guidelines to be followed by the registered experts as well as the registered auditors, tax consultants and sworn accountants during verifications under </w:t>
      </w:r>
      <w:r w:rsidRPr="003C2BC2">
        <w:lastRenderedPageBreak/>
        <w:t>this Act. The Federal Environment Agency will report any infringements of the verification guidelines to the Central Body without delay, accompanied by available evidence.</w:t>
      </w:r>
    </w:p>
    <w:p w14:paraId="62067787" w14:textId="3F0501CF" w:rsidR="00467500" w:rsidRPr="003C2BC2" w:rsidRDefault="00467500" w:rsidP="00467500">
      <w:pPr>
        <w:pStyle w:val="TeilBezeichner"/>
      </w:pPr>
    </w:p>
    <w:p w14:paraId="2D2454AE" w14:textId="77777777" w:rsidR="00467500" w:rsidRPr="003C2BC2" w:rsidRDefault="00507414" w:rsidP="00467500">
      <w:pPr>
        <w:pStyle w:val="Teilberschrift"/>
      </w:pPr>
      <w:r w:rsidRPr="003C2BC2">
        <w:t>Single-use plastics levy</w:t>
      </w:r>
    </w:p>
    <w:p w14:paraId="65D15A7F" w14:textId="77777777" w:rsidR="00467500" w:rsidRPr="003C2BC2" w:rsidRDefault="00467500" w:rsidP="005A4A59">
      <w:pPr>
        <w:pStyle w:val="ParagraphBezeichner"/>
      </w:pPr>
    </w:p>
    <w:p w14:paraId="2B899853" w14:textId="77777777" w:rsidR="00467500" w:rsidRPr="003C2BC2" w:rsidRDefault="00467500" w:rsidP="00467500">
      <w:pPr>
        <w:pStyle w:val="Paragraphberschrift"/>
      </w:pPr>
      <w:r w:rsidRPr="003C2BC2">
        <w:t>Obligation to pay the levy</w:t>
      </w:r>
    </w:p>
    <w:p w14:paraId="58A567FD" w14:textId="28F59230" w:rsidR="00467500" w:rsidRPr="003C2BC2" w:rsidRDefault="00467500" w:rsidP="00467500">
      <w:pPr>
        <w:pStyle w:val="JuristischerAbsatznichtnummeriert"/>
      </w:pPr>
      <w:r w:rsidRPr="003C2BC2">
        <w:t>Producers of the single-use plastic products listed in Annex 1 will pay a special levy annually to reimburse the costs referred to in Annex 2 (single-use plastics levy).</w:t>
      </w:r>
    </w:p>
    <w:p w14:paraId="5C934BD2" w14:textId="77777777" w:rsidR="00467500" w:rsidRPr="003C2BC2" w:rsidRDefault="00467500" w:rsidP="005A4A59">
      <w:pPr>
        <w:pStyle w:val="ParagraphBezeichner"/>
      </w:pPr>
    </w:p>
    <w:p w14:paraId="19D09B3F" w14:textId="3BD58951" w:rsidR="00467500" w:rsidRPr="003C2BC2" w:rsidRDefault="00467500" w:rsidP="00467500">
      <w:pPr>
        <w:pStyle w:val="Paragraphberschrift"/>
      </w:pPr>
      <w:r w:rsidRPr="003C2BC2">
        <w:t>Determination, due date and default</w:t>
      </w:r>
    </w:p>
    <w:p w14:paraId="72E07F33" w14:textId="0A49F923" w:rsidR="00467500" w:rsidRPr="003C2BC2" w:rsidRDefault="00467500" w:rsidP="00BB52CE">
      <w:pPr>
        <w:pStyle w:val="JuristischerAbsatznummeriert"/>
        <w:tabs>
          <w:tab w:val="clear" w:pos="850"/>
          <w:tab w:val="num" w:pos="851"/>
        </w:tabs>
      </w:pPr>
      <w:r w:rsidRPr="003C2BC2">
        <w:t>The single-use plastics levy will be determined annually by means of levy notice issued by the Federal Environment Agency. The single-use plastics levy will be calculated from the mass of the single-use plastic products listed in Annex 1 that were made available on the market for the first time or sold, as notified in accordance with Section 11(1), multiplied by the levy rate to be established by Ordinance pursuant to Section 14.</w:t>
      </w:r>
    </w:p>
    <w:p w14:paraId="297CB406" w14:textId="3E03DC96" w:rsidR="00467500" w:rsidRPr="003C2BC2" w:rsidRDefault="00467500" w:rsidP="00BB52CE">
      <w:pPr>
        <w:pStyle w:val="JuristischerAbsatznummeriert"/>
        <w:tabs>
          <w:tab w:val="clear" w:pos="850"/>
          <w:tab w:val="num" w:pos="851"/>
        </w:tabs>
      </w:pPr>
      <w:r w:rsidRPr="003C2BC2">
        <w:t>If, contrary to Section 11(1), a producer has not submitted a notification, the Federal Environment Agency will estimate the mass of the single-use plastic products listed in Annex 1 that were made available on the market for the first time or sold, on the basis of previous notifications and other available data.</w:t>
      </w:r>
    </w:p>
    <w:p w14:paraId="3013249F" w14:textId="52E75A01" w:rsidR="00467500" w:rsidRPr="003C2BC2" w:rsidRDefault="00467500" w:rsidP="00BB52CE">
      <w:pPr>
        <w:pStyle w:val="JuristischerAbsatznummeriert"/>
        <w:tabs>
          <w:tab w:val="clear" w:pos="850"/>
          <w:tab w:val="num" w:pos="851"/>
        </w:tabs>
      </w:pPr>
      <w:r w:rsidRPr="003C2BC2">
        <w:t>The single-use plastics levy will be due one month after receipt of the levy notice, unless another due date is specified therein.</w:t>
      </w:r>
    </w:p>
    <w:p w14:paraId="6970A474" w14:textId="5BBA5F9A" w:rsidR="00467500" w:rsidRPr="003C2BC2" w:rsidRDefault="009229CC" w:rsidP="00BB52CE">
      <w:pPr>
        <w:pStyle w:val="JuristischerAbsatznummeriert"/>
        <w:tabs>
          <w:tab w:val="clear" w:pos="850"/>
          <w:tab w:val="num" w:pos="851"/>
        </w:tabs>
      </w:pPr>
      <w:r w:rsidRPr="003C2BC2">
        <w:t>If the entity required to pay the levy is in default with respect to payment of the single-use plastics levy for more than three working days, it will pay a default surcharge of one per cent of the rounded outstanding amount for each commenced month of default. The default surcharge is only imposed if the outstanding amount exceeds EUR 50 and the default is longer than three days. When calculating the default surcharge, the outstanding amount will be rounded off to a full EUR 50. Default surcharges collected will be recorded as revenue to the single-use plastics fund.</w:t>
      </w:r>
    </w:p>
    <w:p w14:paraId="2161D4ED" w14:textId="77777777" w:rsidR="00EC6729" w:rsidRPr="003C2BC2" w:rsidRDefault="00EC6729" w:rsidP="00BB52CE">
      <w:pPr>
        <w:pStyle w:val="JuristischerAbsatznummeriert"/>
        <w:tabs>
          <w:tab w:val="clear" w:pos="850"/>
          <w:tab w:val="num" w:pos="851"/>
        </w:tabs>
      </w:pPr>
      <w:r w:rsidRPr="003C2BC2">
        <w:t>Injection to the levy notice has no suspensory effect.</w:t>
      </w:r>
    </w:p>
    <w:p w14:paraId="41325952" w14:textId="6DA6C0C1" w:rsidR="00467500" w:rsidRPr="003C2BC2" w:rsidRDefault="00467500" w:rsidP="00BB52CE">
      <w:pPr>
        <w:pStyle w:val="JuristischerAbsatznummeriert"/>
        <w:tabs>
          <w:tab w:val="clear" w:pos="850"/>
          <w:tab w:val="num" w:pos="851"/>
        </w:tabs>
      </w:pPr>
      <w:bookmarkStart w:id="14" w:name="DQCIGI06DD56A2F8D9554E95A590C4F6A40519A7"/>
      <w:r w:rsidRPr="003C2BC2">
        <w:t>Entitlement to payment of the single-use plastics levy becomes time-barred after five years. The limitation period begins with the end of the calendar year in which the entitlement first became due. The limitation period shall be suspended where the claim cannot be pursued, due to force majeure, within the last six months of the limitation period. Section 19 of the Federal Fees Act of 7 August 2013 (Federal Law Gazette I, p. 3154), as last amended by Article 2 of the Act of 16 July 2021 (Federal Law Gazette I p. 3019), in its current version, shall apply mutatis mutandis.</w:t>
      </w:r>
      <w:bookmarkEnd w:id="14"/>
    </w:p>
    <w:p w14:paraId="439974BB" w14:textId="77777777" w:rsidR="00467500" w:rsidRPr="003C2BC2" w:rsidRDefault="00467500" w:rsidP="00BB52CE">
      <w:pPr>
        <w:pStyle w:val="ParagraphBezeichner"/>
      </w:pPr>
    </w:p>
    <w:p w14:paraId="712010E2" w14:textId="3E0B034C" w:rsidR="00467500" w:rsidRPr="003C2BC2" w:rsidRDefault="00467500" w:rsidP="00467500">
      <w:pPr>
        <w:pStyle w:val="Paragraphberschrift"/>
      </w:pPr>
      <w:r w:rsidRPr="003C2BC2">
        <w:t>Establishment of levy rates; enabling authorisation</w:t>
      </w:r>
    </w:p>
    <w:p w14:paraId="0CF3DD68" w14:textId="6B085A02" w:rsidR="00846D91" w:rsidRPr="003C2BC2" w:rsidRDefault="00846D91" w:rsidP="00357A6D">
      <w:pPr>
        <w:pStyle w:val="JuristischerAbsatznummeriert"/>
      </w:pPr>
      <w:r w:rsidRPr="003C2BC2">
        <w:t>The Federal Ministry for the Environment, Nature Conservation, Nuclear Safety and Consumer Protection shall, after consulting the interested parties and without the assent of the Bundesrat, by means of an Ordinance by 31 December 2023, establish the levy rate for each type of single-use plastic product listed in Annex 1 in euros per kilogram in accordance with Annex 2. Section 68 of the Circular Economy Act shall apply, mutatis mutandis.</w:t>
      </w:r>
    </w:p>
    <w:p w14:paraId="07F4DE66" w14:textId="72499970" w:rsidR="00846D91" w:rsidRPr="003C2BC2" w:rsidRDefault="00846D91" w:rsidP="00357A6D">
      <w:pPr>
        <w:pStyle w:val="JuristischerAbsatznummeriert"/>
      </w:pPr>
      <w:r w:rsidRPr="003C2BC2">
        <w:t>When establishing the levy rates, the requirement to recover costs, the prohibition on exceeding costs, the principle of cost efficiency and the requirement for transparency will be respected.</w:t>
      </w:r>
    </w:p>
    <w:p w14:paraId="76349DF7" w14:textId="6D35702B" w:rsidR="00467500" w:rsidRPr="003C2BC2" w:rsidRDefault="00846D91" w:rsidP="000C02C7">
      <w:pPr>
        <w:pStyle w:val="JuristischerAbsatznummeriert"/>
      </w:pPr>
      <w:r w:rsidRPr="003C2BC2">
        <w:t>The levy rates will be reviewed regularly, at least every three years, and, where necessary, adjusted.</w:t>
      </w:r>
    </w:p>
    <w:p w14:paraId="5B9D1446" w14:textId="77777777" w:rsidR="00467500" w:rsidRPr="003C2BC2" w:rsidRDefault="00467500" w:rsidP="00467500">
      <w:pPr>
        <w:pStyle w:val="TeilBezeichner"/>
      </w:pPr>
    </w:p>
    <w:p w14:paraId="341FB1E6" w14:textId="2A59087D" w:rsidR="00467500" w:rsidRPr="003C2BC2" w:rsidRDefault="00816BE3" w:rsidP="00467500">
      <w:pPr>
        <w:pStyle w:val="Teilberschrift"/>
      </w:pPr>
      <w:r w:rsidRPr="003C2BC2">
        <w:t>Register of beneficiaries; obligations of beneficiaries</w:t>
      </w:r>
    </w:p>
    <w:p w14:paraId="3EF890AF" w14:textId="77777777" w:rsidR="00467500" w:rsidRPr="003C2BC2" w:rsidRDefault="00467500" w:rsidP="00EC6EA5">
      <w:pPr>
        <w:pStyle w:val="ParagraphBezeichner"/>
      </w:pPr>
    </w:p>
    <w:p w14:paraId="60D35207" w14:textId="77777777" w:rsidR="00467500" w:rsidRPr="003C2BC2" w:rsidRDefault="00467500" w:rsidP="00467500">
      <w:pPr>
        <w:pStyle w:val="Paragraphberschrift"/>
      </w:pPr>
      <w:r w:rsidRPr="003C2BC2">
        <w:t>Registration of beneficiaries</w:t>
      </w:r>
    </w:p>
    <w:p w14:paraId="25FEC92F" w14:textId="44A2341C" w:rsidR="00467500" w:rsidRPr="003C2BC2" w:rsidRDefault="00467500" w:rsidP="00541FB8">
      <w:pPr>
        <w:pStyle w:val="JuristischerAbsatznummeriert"/>
      </w:pPr>
      <w:r w:rsidRPr="003C2BC2">
        <w:t>Public waste management providers and other legal entities under public law who wish to claim reimbursement of their costs pursuant to Section 3 subparagraphs 12 to 15 must be registered with the Federal Environment Agency in accordance with paragraph (2). Changes to registration data as well as the permanent cessation of activities that give rise to such reimbursement must be communicated to the Federal Environment Agency without delay.</w:t>
      </w:r>
    </w:p>
    <w:p w14:paraId="3A78E678" w14:textId="77777777" w:rsidR="00467500" w:rsidRPr="003C2BC2" w:rsidRDefault="00467500" w:rsidP="00EC6EA5">
      <w:pPr>
        <w:pStyle w:val="JuristischerAbsatznummeriert"/>
        <w:tabs>
          <w:tab w:val="clear" w:pos="850"/>
          <w:tab w:val="num" w:pos="851"/>
        </w:tabs>
      </w:pPr>
      <w:r w:rsidRPr="003C2BC2">
        <w:t>The following information must be provided during the registration referred to in paragraph (1):</w:t>
      </w:r>
    </w:p>
    <w:p w14:paraId="4B2E4DA1" w14:textId="77777777" w:rsidR="00467500" w:rsidRPr="003C2BC2" w:rsidRDefault="00467500" w:rsidP="00467500">
      <w:pPr>
        <w:pStyle w:val="NummerierungStufe1"/>
      </w:pPr>
      <w:r w:rsidRPr="003C2BC2">
        <w:t>name, address and contact details of the beneficiary, in particular post code and city, street and house number, country, telephone number and, if available, the European or national tax number,</w:t>
      </w:r>
    </w:p>
    <w:p w14:paraId="4A64F0A1" w14:textId="77777777" w:rsidR="00467500" w:rsidRPr="003C2BC2" w:rsidRDefault="00467500" w:rsidP="00467500">
      <w:pPr>
        <w:pStyle w:val="NummerierungStufe1"/>
      </w:pPr>
      <w:r w:rsidRPr="003C2BC2">
        <w:t>details of a natural person with power of representation,</w:t>
      </w:r>
    </w:p>
    <w:p w14:paraId="1D7033D8" w14:textId="77777777" w:rsidR="00467500" w:rsidRPr="003C2BC2" w:rsidRDefault="00467500" w:rsidP="00467500">
      <w:pPr>
        <w:pStyle w:val="NummerierungStufe1"/>
      </w:pPr>
      <w:r w:rsidRPr="003C2BC2">
        <w:t>bank account details,</w:t>
      </w:r>
    </w:p>
    <w:p w14:paraId="7481B9C3" w14:textId="1074AB3D" w:rsidR="00467500" w:rsidRPr="003C2BC2" w:rsidRDefault="001E58D6" w:rsidP="00467500">
      <w:pPr>
        <w:pStyle w:val="NummerierungStufe1"/>
      </w:pPr>
      <w:r w:rsidRPr="003C2BC2">
        <w:t>if responsibility arises from Land law, confirmation of eligibility issued by a competent Land-level authority, citing the legal basis, and</w:t>
      </w:r>
    </w:p>
    <w:p w14:paraId="7D72B90A" w14:textId="3D843CA1" w:rsidR="00D640BB" w:rsidRPr="003C2BC2" w:rsidRDefault="00A56B34" w:rsidP="00D640BB">
      <w:pPr>
        <w:pStyle w:val="NummerierungStufe1"/>
      </w:pPr>
      <w:r w:rsidRPr="003C2BC2">
        <w:t>details of the local area of responsibility.</w:t>
      </w:r>
    </w:p>
    <w:p w14:paraId="770CCE61" w14:textId="68E8A417" w:rsidR="00D640BB" w:rsidRPr="003C2BC2" w:rsidRDefault="00D640BB" w:rsidP="00D640BB">
      <w:pPr>
        <w:pStyle w:val="JuristischerAbsatznummeriert"/>
      </w:pPr>
      <w:r w:rsidRPr="003C2BC2">
        <w:t>Beneficiaries referred to in paragraph (1) may appoint another beneficiary to exercise their rights and obligations under this Act. In this case, the information referred to in subparagraphs 1, 4 and 5 of the first sentence of paragraph (2) shall also be provided for the appointed beneficiary at the time of registration, as well as proof of the appointment.</w:t>
      </w:r>
    </w:p>
    <w:p w14:paraId="24F009C7" w14:textId="5274D0FF" w:rsidR="00816BE3" w:rsidRPr="003C2BC2" w:rsidRDefault="00467500" w:rsidP="00EC6EA5">
      <w:pPr>
        <w:pStyle w:val="JuristischerAbsatznummeriert"/>
        <w:tabs>
          <w:tab w:val="clear" w:pos="850"/>
          <w:tab w:val="num" w:pos="851"/>
        </w:tabs>
      </w:pPr>
      <w:r w:rsidRPr="003C2BC2">
        <w:lastRenderedPageBreak/>
        <w:t>Registration and notifications of amendment must be made via the information technology system provided by the Federal Environment Agency in accordance with Section 16.</w:t>
      </w:r>
    </w:p>
    <w:p w14:paraId="008778FF" w14:textId="31D5EEF5" w:rsidR="00467500" w:rsidRPr="003C2BC2" w:rsidRDefault="00467500" w:rsidP="00F20545">
      <w:pPr>
        <w:pStyle w:val="JuristischerAbsatznummeriert"/>
        <w:tabs>
          <w:tab w:val="clear" w:pos="850"/>
          <w:tab w:val="num" w:pos="851"/>
        </w:tabs>
      </w:pPr>
      <w:r w:rsidRPr="003C2BC2">
        <w:t>The Federal Environmental Agency will</w:t>
      </w:r>
    </w:p>
    <w:p w14:paraId="1C760523" w14:textId="48F580DC" w:rsidR="00816BE3" w:rsidRPr="003C2BC2" w:rsidRDefault="00816BE3" w:rsidP="007735A1">
      <w:pPr>
        <w:pStyle w:val="NummerierungStufe1"/>
      </w:pPr>
      <w:r w:rsidRPr="003C2BC2">
        <w:t>examine eligibility,</w:t>
      </w:r>
    </w:p>
    <w:p w14:paraId="6BFB0B84" w14:textId="3D94D92A" w:rsidR="00816BE3" w:rsidRPr="003C2BC2" w:rsidRDefault="00816BE3" w:rsidP="007735A1">
      <w:pPr>
        <w:pStyle w:val="NummerierungStufe1"/>
      </w:pPr>
      <w:r w:rsidRPr="003C2BC2">
        <w:t>confirm the registration,</w:t>
      </w:r>
    </w:p>
    <w:p w14:paraId="125BED10" w14:textId="617CC1E9" w:rsidR="00816BE3" w:rsidRPr="003C2BC2" w:rsidRDefault="00816BE3" w:rsidP="007735A1">
      <w:pPr>
        <w:pStyle w:val="NummerierungStufe1"/>
      </w:pPr>
      <w:r w:rsidRPr="003C2BC2">
        <w:t>communicate the registration number to the public waste management provider or to the legal entity under public law,</w:t>
      </w:r>
    </w:p>
    <w:p w14:paraId="0A27FA83" w14:textId="773CF349" w:rsidR="00816BE3" w:rsidRPr="003C2BC2" w:rsidRDefault="00816BE3" w:rsidP="007735A1">
      <w:pPr>
        <w:pStyle w:val="NummerierungStufe1"/>
      </w:pPr>
      <w:r w:rsidRPr="003C2BC2">
        <w:t>examine the notification of amendment, and</w:t>
      </w:r>
    </w:p>
    <w:p w14:paraId="75D677AB" w14:textId="784E1FE4" w:rsidR="00816BE3" w:rsidRPr="003C2BC2" w:rsidRDefault="00816BE3" w:rsidP="007735A1">
      <w:pPr>
        <w:pStyle w:val="NummerierungStufe1"/>
      </w:pPr>
      <w:r w:rsidRPr="003C2BC2">
        <w:t>confirm the notified amendment has been recorded.</w:t>
      </w:r>
    </w:p>
    <w:p w14:paraId="68398123" w14:textId="2255729A" w:rsidR="00467500" w:rsidRPr="003C2BC2" w:rsidRDefault="00467500" w:rsidP="00EC6EA5">
      <w:pPr>
        <w:pStyle w:val="JuristischerAbsatznummeriert"/>
        <w:tabs>
          <w:tab w:val="clear" w:pos="850"/>
          <w:tab w:val="num" w:pos="851"/>
        </w:tabs>
      </w:pPr>
      <w:bookmarkStart w:id="15" w:name="DQCIGI06EC593042A28E420DB071048B2BA2DC39"/>
      <w:r w:rsidRPr="003C2BC2">
        <w:t>The Federal Environment Agency will publish the beneficiaries together with the information referred to in paragraph (2), subparagraphs 1, 4 and 5, as well as the registration number and the date of registration on its website. For beneficiaries whose registration has ended, the date of ceasing the eligible activities will also be indicated. The data published on the website of the Federal Environment Agency must be automatically deleted one year after the end of the day on which the beneficiary’s registration ends.</w:t>
      </w:r>
      <w:bookmarkEnd w:id="15"/>
    </w:p>
    <w:p w14:paraId="011C05E5" w14:textId="77777777" w:rsidR="00467500" w:rsidRPr="003C2BC2" w:rsidRDefault="00467500" w:rsidP="00581E2B">
      <w:pPr>
        <w:pStyle w:val="ParagraphBezeichner"/>
      </w:pPr>
    </w:p>
    <w:p w14:paraId="2B1AC988" w14:textId="77777777" w:rsidR="00467500" w:rsidRPr="003C2BC2" w:rsidRDefault="00467500" w:rsidP="00467500">
      <w:pPr>
        <w:pStyle w:val="Paragraphberschrift"/>
      </w:pPr>
      <w:r w:rsidRPr="003C2BC2">
        <w:t>Register of beneficiaries</w:t>
      </w:r>
    </w:p>
    <w:p w14:paraId="3DB227BF" w14:textId="6682A0B3" w:rsidR="00467500" w:rsidRPr="003C2BC2" w:rsidRDefault="00467500" w:rsidP="00D86975">
      <w:pPr>
        <w:pStyle w:val="JuristischerAbsatznichtnummeriert"/>
      </w:pPr>
      <w:r w:rsidRPr="003C2BC2">
        <w:t>In order to register beneficiaries in accordance with Section 15, the Federal Environment Agency will establish an information technology system and provide access for beneficiaries on its website. The Federal Environment Agency may provide further instructions on the electronic registration procedure and, for other communication with beneficiaries, lay down electronic transmission, specific encryption and the provision of access for the transmission of electronic documents. The Federal Environment Agency is authorised to collect, store and use the data referred to in Section 15(2). The data must be automatically deleted one year after the end of the day on which the beneficiary’s registration ends.</w:t>
      </w:r>
    </w:p>
    <w:p w14:paraId="76AB9859" w14:textId="77777777" w:rsidR="00467500" w:rsidRPr="003C2BC2" w:rsidRDefault="00467500" w:rsidP="00B679B0">
      <w:pPr>
        <w:pStyle w:val="ParagraphBezeichner"/>
      </w:pPr>
    </w:p>
    <w:p w14:paraId="30007B47" w14:textId="77777777" w:rsidR="00467500" w:rsidRPr="003C2BC2" w:rsidRDefault="00467500" w:rsidP="00467500">
      <w:pPr>
        <w:pStyle w:val="Paragraphberschrift"/>
      </w:pPr>
      <w:r w:rsidRPr="003C2BC2">
        <w:t>Annual notification by beneficiaries</w:t>
      </w:r>
    </w:p>
    <w:p w14:paraId="1D8630D5" w14:textId="31E6AEAE" w:rsidR="00467500" w:rsidRPr="003C2BC2" w:rsidRDefault="00467500" w:rsidP="00B679B0">
      <w:pPr>
        <w:pStyle w:val="JuristischerAbsatznummeriert"/>
        <w:tabs>
          <w:tab w:val="clear" w:pos="850"/>
          <w:tab w:val="num" w:pos="851"/>
        </w:tabs>
      </w:pPr>
      <w:r w:rsidRPr="003C2BC2">
        <w:t>Reimbursement of costs requires the registered beneficiary to notify the Federal Environment Agency by 15 May of the year concerned of the following data for the previous calendar year:</w:t>
      </w:r>
    </w:p>
    <w:p w14:paraId="400C0D48" w14:textId="37A11DFF" w:rsidR="00467500" w:rsidRPr="003C2BC2" w:rsidRDefault="00467500" w:rsidP="00AD16D6">
      <w:pPr>
        <w:pStyle w:val="NummerierungStufe1"/>
        <w:tabs>
          <w:tab w:val="clear" w:pos="425"/>
          <w:tab w:val="left" w:pos="426"/>
        </w:tabs>
        <w:ind w:left="426" w:hanging="426"/>
      </w:pPr>
      <w:r w:rsidRPr="003C2BC2">
        <w:t>details of the services causing the collection costs,</w:t>
      </w:r>
    </w:p>
    <w:p w14:paraId="29665BF3" w14:textId="526520F8" w:rsidR="00467500" w:rsidRPr="003C2BC2" w:rsidRDefault="00467500" w:rsidP="00AD16D6">
      <w:pPr>
        <w:pStyle w:val="NummerierungStufe1"/>
        <w:tabs>
          <w:tab w:val="clear" w:pos="425"/>
          <w:tab w:val="num" w:pos="426"/>
        </w:tabs>
        <w:ind w:left="426" w:hanging="426"/>
      </w:pPr>
      <w:r w:rsidRPr="003C2BC2">
        <w:t>details of the services causing the cleaning costs,</w:t>
      </w:r>
    </w:p>
    <w:p w14:paraId="56E2361E" w14:textId="0CAEA0DD" w:rsidR="00467500" w:rsidRPr="003C2BC2" w:rsidRDefault="00467500" w:rsidP="00AD16D6">
      <w:pPr>
        <w:pStyle w:val="NummerierungStufe1"/>
        <w:tabs>
          <w:tab w:val="clear" w:pos="425"/>
          <w:tab w:val="num" w:pos="426"/>
        </w:tabs>
        <w:ind w:left="426" w:hanging="426"/>
      </w:pPr>
      <w:r w:rsidRPr="003C2BC2">
        <w:t>details of the services causing the awareness-raising costs,</w:t>
      </w:r>
    </w:p>
    <w:p w14:paraId="3F43099F" w14:textId="225DFECD" w:rsidR="00467500" w:rsidRPr="003C2BC2" w:rsidRDefault="00467500" w:rsidP="00AD16D6">
      <w:pPr>
        <w:pStyle w:val="NummerierungStufe1"/>
        <w:tabs>
          <w:tab w:val="clear" w:pos="425"/>
          <w:tab w:val="num" w:pos="426"/>
        </w:tabs>
        <w:ind w:left="426" w:hanging="426"/>
      </w:pPr>
      <w:r w:rsidRPr="003C2BC2">
        <w:t>details of the services causing the data collection and transmission costs.</w:t>
      </w:r>
    </w:p>
    <w:p w14:paraId="09D4E1BF" w14:textId="35EE32B7" w:rsidR="00467500" w:rsidRPr="003C2BC2" w:rsidRDefault="00467500" w:rsidP="00B679B0">
      <w:pPr>
        <w:pStyle w:val="JuristischerAbsatznummeriert"/>
        <w:tabs>
          <w:tab w:val="clear" w:pos="850"/>
          <w:tab w:val="num" w:pos="851"/>
        </w:tabs>
      </w:pPr>
      <w:r w:rsidRPr="003C2BC2">
        <w:lastRenderedPageBreak/>
        <w:t>If notification is not made on time in accordance with paragraph (1), disbursement from the single-use plastics fund pursuant to Section 21 for the preceding calendar year is excluded.</w:t>
      </w:r>
    </w:p>
    <w:p w14:paraId="46E50CB7" w14:textId="0D320431" w:rsidR="00467500" w:rsidRPr="003C2BC2" w:rsidRDefault="00467500" w:rsidP="00B679B0">
      <w:pPr>
        <w:pStyle w:val="JuristischerAbsatznummeriert"/>
        <w:tabs>
          <w:tab w:val="clear" w:pos="850"/>
          <w:tab w:val="num" w:pos="851"/>
        </w:tabs>
      </w:pPr>
      <w:r w:rsidRPr="003C2BC2">
        <w:t>The Federal Environment Agency will lay down the type of information and evidence to be provided, provide uniform electronic forms for the notification and the verification report pursuant to Section 18(1) and regulate the detailed procedure. The Federal Environment Agency will publish annually by 31 December the data on the total costs incurred and services provided in the previous year as referred to in paragraph (1) on its website.</w:t>
      </w:r>
    </w:p>
    <w:p w14:paraId="5C25A863" w14:textId="77777777" w:rsidR="00467500" w:rsidRPr="003C2BC2" w:rsidRDefault="00467500" w:rsidP="00B679B0">
      <w:pPr>
        <w:pStyle w:val="ParagraphBezeichner"/>
      </w:pPr>
    </w:p>
    <w:p w14:paraId="2BB9CAFD" w14:textId="77777777" w:rsidR="00467500" w:rsidRPr="003C2BC2" w:rsidRDefault="00467500" w:rsidP="00467500">
      <w:pPr>
        <w:pStyle w:val="Paragraphberschrift"/>
      </w:pPr>
      <w:r w:rsidRPr="003C2BC2">
        <w:t>Checking of information</w:t>
      </w:r>
    </w:p>
    <w:p w14:paraId="11AD0A67" w14:textId="4A071780" w:rsidR="00467500" w:rsidRPr="003C2BC2" w:rsidRDefault="00A56B34" w:rsidP="00155320">
      <w:pPr>
        <w:pStyle w:val="JuristischerAbsatznummeriert"/>
      </w:pPr>
      <w:r w:rsidRPr="003C2BC2">
        <w:t>If there are indications that the notification of a beneficiary in accordance with Section 17(1) is inaccurate, and such inaccuracy could not be eliminated within a reasonable time frame even after a request to that effect, the Federal Environment Agency may order the beneficiary to have the information in the notification verified at its own expense by an approved expert and to submit the verification report. If a beneficiary fails to comply with this order within the prescribed period, the notification will be deemed not to have been made.</w:t>
      </w:r>
    </w:p>
    <w:p w14:paraId="3674D7A0" w14:textId="77777777" w:rsidR="00F01209" w:rsidRPr="003C2BC2" w:rsidRDefault="00F01209" w:rsidP="00B679B0">
      <w:pPr>
        <w:pStyle w:val="JuristischerAbsatznummeriert"/>
        <w:tabs>
          <w:tab w:val="clear" w:pos="850"/>
          <w:tab w:val="num" w:pos="851"/>
        </w:tabs>
      </w:pPr>
      <w:r w:rsidRPr="003C2BC2">
        <w:t>An approved expert within the meaning of paragraph (1) means anyone</w:t>
      </w:r>
    </w:p>
    <w:p w14:paraId="3B80F688" w14:textId="2908BA09" w:rsidR="00F01209" w:rsidRPr="003C2BC2" w:rsidRDefault="00F01209" w:rsidP="00F01209">
      <w:pPr>
        <w:pStyle w:val="NummerierungStufe1"/>
      </w:pPr>
      <w:r w:rsidRPr="003C2BC2">
        <w:t>who is publicly appointed pursuant to Section 36 of the Trade, Commerce and Industry Regulation Act, as amended by the promulgation of 22 February 1999 (Federal Law Gazette I, p. 202), which was last amended by Article 2 of the Act of 10 August 2021 (Federal Law Gazette I, p. 3504), in its current version,</w:t>
      </w:r>
    </w:p>
    <w:p w14:paraId="5D7E9E57" w14:textId="067C3C5E" w:rsidR="00F01209" w:rsidRPr="003C2BC2" w:rsidRDefault="00F01209" w:rsidP="00F01209">
      <w:pPr>
        <w:pStyle w:val="NummerierungStufe1"/>
      </w:pPr>
      <w:bookmarkStart w:id="16" w:name="DQCITD06749660E9F7A242FB825F326E364AB933"/>
      <w:r w:rsidRPr="003C2BC2">
        <w:t>who is permitted to work as an environmental auditor or environmental audit organisation based on a licence pursuant to Sections 9 and 10 or in accordance with Section 18 of the Environmental Audit Act as amended by the promulgation of 4 September 2002 (Federal Law Gazette I p. 3490), which was last amended by Article 17 of the Act of 10 August 2021 (Federal Law Gazette I p. 3436), in its current version, in the field which is defined in more detail in Annex I Section E Division 38 of Regulation (EC) 1893/2006 of the European Parliament and of the Council of 20 December 2006 establishing the statistical classification of economic activities NACE Revision 2 and amending Council Regulation (EEC) No 3037/90 as well as certain EC Regulations on specific statistical domains (OJ L 393, 30.12.2006, p. 1), last amended by Regulation (EC) 295/2008 (OJ L 97, 9.4.2008, p. 13), in its current version,</w:t>
      </w:r>
      <w:bookmarkEnd w:id="16"/>
    </w:p>
    <w:p w14:paraId="5D8D4EC3" w14:textId="77777777" w:rsidR="00F01209" w:rsidRPr="003C2BC2" w:rsidRDefault="00F01209" w:rsidP="00F01209">
      <w:pPr>
        <w:pStyle w:val="NummerierungStufe1"/>
      </w:pPr>
      <w:r w:rsidRPr="003C2BC2">
        <w:t>whose capability has been established by an accreditation from the national accreditation body under a generally recognised procedure or</w:t>
      </w:r>
    </w:p>
    <w:p w14:paraId="111382E8" w14:textId="77777777" w:rsidR="00F01209" w:rsidRPr="003C2BC2" w:rsidRDefault="00F01209" w:rsidP="00F01209">
      <w:pPr>
        <w:pStyle w:val="NummerierungStufe1"/>
      </w:pPr>
      <w:bookmarkStart w:id="17" w:name="DQCITD064BAFCEACE3D54F539204EE4F195D2F19"/>
      <w:r w:rsidRPr="003C2BC2">
        <w:t>who is established in another Member State of the European Union or in another Contracting State to the Agreement on the European Economic Area and intends to carry out an activity in Germany only temporarily and occasionally and has had their professional qualification verified before taking up the activity in accordance with Sections 13a and 13b of the Trade Code; procedures referred to in this subparagraph may be carried out through a single body.</w:t>
      </w:r>
      <w:bookmarkEnd w:id="17"/>
    </w:p>
    <w:p w14:paraId="3491BF9F" w14:textId="77777777" w:rsidR="00676BCA" w:rsidRPr="003C2BC2" w:rsidRDefault="00676BCA" w:rsidP="00676BCA">
      <w:pPr>
        <w:pStyle w:val="TeilBezeichner"/>
      </w:pPr>
    </w:p>
    <w:p w14:paraId="5670F939" w14:textId="470773E9" w:rsidR="00676BCA" w:rsidRPr="003C2BC2" w:rsidRDefault="00676BCA" w:rsidP="00676BCA">
      <w:pPr>
        <w:pStyle w:val="Teilberschrift"/>
      </w:pPr>
      <w:r w:rsidRPr="003C2BC2">
        <w:t xml:space="preserve">Disbursement </w:t>
      </w:r>
    </w:p>
    <w:p w14:paraId="4715DDF7" w14:textId="77777777" w:rsidR="00676BCA" w:rsidRPr="003C2BC2" w:rsidRDefault="00676BCA" w:rsidP="001E11C6">
      <w:pPr>
        <w:pStyle w:val="ParagraphBezeichner"/>
      </w:pPr>
    </w:p>
    <w:p w14:paraId="2CF139E7" w14:textId="685CF57E" w:rsidR="00676BCA" w:rsidRPr="003C2BC2" w:rsidRDefault="00676BCA" w:rsidP="00676BCA">
      <w:pPr>
        <w:pStyle w:val="Paragraphberschrift"/>
      </w:pPr>
      <w:r w:rsidRPr="003C2BC2">
        <w:t>Points system; enabling authorisation</w:t>
      </w:r>
    </w:p>
    <w:p w14:paraId="3D471F58" w14:textId="47F0FCB2" w:rsidR="00676BCA" w:rsidRPr="003C2BC2" w:rsidRDefault="00676BCA" w:rsidP="0063506F">
      <w:pPr>
        <w:pStyle w:val="JuristischerAbsatznummeriert"/>
        <w:tabs>
          <w:tab w:val="clear" w:pos="850"/>
          <w:tab w:val="num" w:pos="851"/>
        </w:tabs>
      </w:pPr>
      <w:r w:rsidRPr="003C2BC2">
        <w:t>Disbursements from the single-use plastics fund will be made on the basis of a points system, which assigns a certain number of points to the beneficiaries’ services rendered annually.</w:t>
      </w:r>
    </w:p>
    <w:p w14:paraId="1E9F0FF1" w14:textId="031B10EF" w:rsidR="00846D91" w:rsidRPr="003C2BC2" w:rsidRDefault="00676BCA" w:rsidP="0063506F">
      <w:pPr>
        <w:pStyle w:val="JuristischerAbsatznummeriert"/>
        <w:tabs>
          <w:tab w:val="clear" w:pos="850"/>
          <w:tab w:val="num" w:pos="851"/>
        </w:tabs>
      </w:pPr>
      <w:r w:rsidRPr="003C2BC2">
        <w:t>The Federal Ministry for the Environment, Nature Conservation, Nuclear Safety and Consumer Protection shall, after consulting the interested parties and without the assent of the Bundesrat, by means of Ordinance by 31 December 2023, establish the points system referred to in paragraph (1). Section 68 of the Circular Economy Act shall apply, mutatis mutandis.</w:t>
      </w:r>
    </w:p>
    <w:p w14:paraId="3B0FF736" w14:textId="0A37A176" w:rsidR="00846D91" w:rsidRPr="003C2BC2" w:rsidRDefault="00846D91" w:rsidP="0063506F">
      <w:pPr>
        <w:pStyle w:val="JuristischerAbsatznummeriert"/>
        <w:tabs>
          <w:tab w:val="clear" w:pos="850"/>
          <w:tab w:val="num" w:pos="851"/>
        </w:tabs>
      </w:pPr>
      <w:r w:rsidRPr="003C2BC2">
        <w:t>When establishing the points system, the requirement to recover costs, the prohibition on exceeding costs, the principle of cost efficiency and the requirement for transparency will be respected.</w:t>
      </w:r>
    </w:p>
    <w:p w14:paraId="6C8A574C" w14:textId="2EC11E90" w:rsidR="00676BCA" w:rsidRPr="003C2BC2" w:rsidRDefault="00676BCA" w:rsidP="0063506F">
      <w:pPr>
        <w:pStyle w:val="JuristischerAbsatznummeriert"/>
        <w:tabs>
          <w:tab w:val="clear" w:pos="850"/>
          <w:tab w:val="num" w:pos="851"/>
        </w:tabs>
      </w:pPr>
      <w:r w:rsidRPr="003C2BC2">
        <w:t>The points system will be reviewed regularly, at least every three years, and, where necessary, adjusted.</w:t>
      </w:r>
    </w:p>
    <w:p w14:paraId="1243E0C5" w14:textId="77777777" w:rsidR="00676BCA" w:rsidRPr="003C2BC2" w:rsidRDefault="00676BCA" w:rsidP="001E11C6">
      <w:pPr>
        <w:pStyle w:val="ParagraphBezeichner"/>
      </w:pPr>
    </w:p>
    <w:p w14:paraId="5112973E" w14:textId="77777777" w:rsidR="00676BCA" w:rsidRPr="003C2BC2" w:rsidRDefault="00676BCA" w:rsidP="00676BCA">
      <w:pPr>
        <w:pStyle w:val="Paragraphberschrift"/>
      </w:pPr>
      <w:r w:rsidRPr="003C2BC2">
        <w:t>Announcement and calculation of the points value</w:t>
      </w:r>
    </w:p>
    <w:p w14:paraId="51410FC5" w14:textId="50DA1427" w:rsidR="00676BCA" w:rsidRPr="003C2BC2" w:rsidRDefault="00676BCA" w:rsidP="00FB7AE5">
      <w:pPr>
        <w:pStyle w:val="JuristischerAbsatznummeriert"/>
        <w:tabs>
          <w:tab w:val="clear" w:pos="850"/>
          <w:tab w:val="num" w:pos="851"/>
        </w:tabs>
      </w:pPr>
      <w:r w:rsidRPr="003C2BC2">
        <w:t>The Federal Environment Agency will calculate the points value annually and announce it by the end of 30 September. The points value is the total disbursement amount divided by the total number of points.</w:t>
      </w:r>
    </w:p>
    <w:p w14:paraId="4C044BF3" w14:textId="7CA90979" w:rsidR="002C04A6" w:rsidRPr="003C2BC2" w:rsidRDefault="00676BCA" w:rsidP="00FB7AE5">
      <w:pPr>
        <w:pStyle w:val="JuristischerAbsatznummeriert"/>
        <w:tabs>
          <w:tab w:val="clear" w:pos="850"/>
          <w:tab w:val="num" w:pos="851"/>
        </w:tabs>
      </w:pPr>
      <w:r w:rsidRPr="003C2BC2">
        <w:t>The total disbursement amount is the total revenue to the single-use plastics fund up to 31 August</w:t>
      </w:r>
    </w:p>
    <w:p w14:paraId="5BE27CD2" w14:textId="77777777" w:rsidR="00FC789C" w:rsidRPr="003C2BC2" w:rsidRDefault="00FC789C" w:rsidP="000B7D9E">
      <w:pPr>
        <w:pStyle w:val="NummerierungStufe1"/>
        <w:tabs>
          <w:tab w:val="num" w:pos="851"/>
        </w:tabs>
        <w:ind w:left="426"/>
      </w:pPr>
      <w:r w:rsidRPr="003C2BC2">
        <w:t>minus</w:t>
      </w:r>
    </w:p>
    <w:p w14:paraId="1ADB7270" w14:textId="2CDE478F" w:rsidR="00B971B4" w:rsidRPr="003C2BC2" w:rsidRDefault="00F17020" w:rsidP="00A95F29">
      <w:pPr>
        <w:pStyle w:val="NummerierungStufe2"/>
        <w:ind w:left="851"/>
      </w:pPr>
      <w:r w:rsidRPr="003C2BC2">
        <w:t>administration costs incurred in the previous calendar year,</w:t>
      </w:r>
    </w:p>
    <w:p w14:paraId="6FC1E69C" w14:textId="6A8C9E97" w:rsidR="00B971B4" w:rsidRPr="003C2BC2" w:rsidRDefault="004F3129" w:rsidP="00A95F29">
      <w:pPr>
        <w:pStyle w:val="NummerierungStufe2"/>
        <w:ind w:left="851"/>
      </w:pPr>
      <w:r w:rsidRPr="003C2BC2">
        <w:t>resources provided for in accordance with the first sentence of Section 5(2), and</w:t>
      </w:r>
    </w:p>
    <w:p w14:paraId="7CB8EA26" w14:textId="2D20762A" w:rsidR="00676BCA" w:rsidRPr="003C2BC2" w:rsidRDefault="000C5E50" w:rsidP="00A95F29">
      <w:pPr>
        <w:pStyle w:val="NummerierungStufe1"/>
        <w:tabs>
          <w:tab w:val="num" w:pos="851"/>
        </w:tabs>
        <w:ind w:left="426"/>
      </w:pPr>
      <w:r w:rsidRPr="003C2BC2">
        <w:t>as applicable, plus any resources referred to in the first sentence of Section 5(2), subparagraph 3.</w:t>
      </w:r>
    </w:p>
    <w:p w14:paraId="6ECC186A" w14:textId="2FACEE68" w:rsidR="008059DE" w:rsidRPr="003C2BC2" w:rsidRDefault="008059DE" w:rsidP="007735A1">
      <w:pPr>
        <w:pStyle w:val="JuristischerAbsatznummeriert"/>
      </w:pPr>
      <w:r w:rsidRPr="003C2BC2">
        <w:t>The total number of points is the sum of points for all beneficiaries, for the services provided in the previous calendar year.</w:t>
      </w:r>
    </w:p>
    <w:p w14:paraId="5CFBC131" w14:textId="38C9970D" w:rsidR="00676BCA" w:rsidRPr="003C2BC2" w:rsidRDefault="00676BCA" w:rsidP="0063506F">
      <w:pPr>
        <w:pStyle w:val="ParagraphBezeichner"/>
      </w:pPr>
    </w:p>
    <w:p w14:paraId="412F6BB6" w14:textId="1C2D1017" w:rsidR="00676BCA" w:rsidRPr="003C2BC2" w:rsidRDefault="00676BCA" w:rsidP="00676BCA">
      <w:pPr>
        <w:pStyle w:val="Paragraphberschrift"/>
      </w:pPr>
      <w:r w:rsidRPr="003C2BC2">
        <w:t>Designation and disbursement of resources</w:t>
      </w:r>
    </w:p>
    <w:p w14:paraId="53440912" w14:textId="1842E6AC" w:rsidR="00676BCA" w:rsidRPr="003C2BC2" w:rsidRDefault="008F0D41" w:rsidP="008F0D41">
      <w:pPr>
        <w:pStyle w:val="JuristischerAbsatznichtnummeriert"/>
      </w:pPr>
      <w:r w:rsidRPr="003C2BC2">
        <w:t>The Federal Environment Agency will indicate the resources to be disbursed from the single-use plastics fund to the respective beneficiary by means of a payment notice. The amount  is calculated from the number of points attributed to the services provided in accordance with the points system multiplied by the points value. The disbursements are to be made no later than one month after the notice has legal validity.</w:t>
      </w:r>
    </w:p>
    <w:p w14:paraId="741CDD37" w14:textId="77777777" w:rsidR="00676BCA" w:rsidRPr="003C2BC2" w:rsidRDefault="00676BCA" w:rsidP="00676BCA">
      <w:pPr>
        <w:pStyle w:val="TeilBezeichner"/>
      </w:pPr>
    </w:p>
    <w:p w14:paraId="125F737B" w14:textId="77777777" w:rsidR="00676BCA" w:rsidRPr="003C2BC2" w:rsidRDefault="00676BCA" w:rsidP="00676BCA">
      <w:pPr>
        <w:pStyle w:val="Teilberschrift"/>
      </w:pPr>
      <w:r w:rsidRPr="003C2BC2">
        <w:t>Powers of designation</w:t>
      </w:r>
    </w:p>
    <w:p w14:paraId="72DDE9C2" w14:textId="77777777" w:rsidR="00676BCA" w:rsidRPr="003C2BC2" w:rsidRDefault="00676BCA" w:rsidP="0063506F">
      <w:pPr>
        <w:pStyle w:val="ParagraphBezeichner"/>
      </w:pPr>
    </w:p>
    <w:p w14:paraId="465D9A88" w14:textId="0F25D3B8" w:rsidR="00676BCA" w:rsidRPr="003C2BC2" w:rsidRDefault="00676BCA" w:rsidP="00676BCA">
      <w:pPr>
        <w:pStyle w:val="Paragraphberschrift"/>
      </w:pPr>
      <w:r w:rsidRPr="003C2BC2">
        <w:t>Designation of a product as a single-use plastic product, designation of</w:t>
      </w:r>
      <w:bookmarkStart w:id="18" w:name="DQPErrorScopeBCC5CAB4B4CBD276A2C030F1B91"/>
      <w:r w:rsidRPr="003C2BC2">
        <w:t xml:space="preserve"> </w:t>
      </w:r>
      <w:bookmarkEnd w:id="18"/>
      <w:r w:rsidRPr="003C2BC2">
        <w:t>producer status</w:t>
      </w:r>
    </w:p>
    <w:p w14:paraId="0FFE3258" w14:textId="223BBE40" w:rsidR="00676BCA" w:rsidRPr="003C2BC2" w:rsidRDefault="00676BCA" w:rsidP="000E32BD">
      <w:pPr>
        <w:pStyle w:val="JuristischerAbsatznummeriert"/>
        <w:tabs>
          <w:tab w:val="clear" w:pos="850"/>
          <w:tab w:val="num" w:pos="851"/>
        </w:tabs>
      </w:pPr>
      <w:r w:rsidRPr="003C2BC2">
        <w:t>The Federal Environment Agency will designate, at the request of a producer or authorised representative, or at its proper discretion</w:t>
      </w:r>
    </w:p>
    <w:p w14:paraId="25DE12C4" w14:textId="7D6F7BDD" w:rsidR="00676BCA" w:rsidRPr="003C2BC2" w:rsidRDefault="00676BCA" w:rsidP="000E32BD">
      <w:pPr>
        <w:pStyle w:val="NummerierungStufe1"/>
        <w:tabs>
          <w:tab w:val="num" w:pos="851"/>
        </w:tabs>
        <w:ind w:left="426"/>
      </w:pPr>
      <w:r w:rsidRPr="003C2BC2">
        <w:t>whether a product is a single-use plastic product pursuant to Section 3, subparagraph 1 or 2,</w:t>
      </w:r>
    </w:p>
    <w:p w14:paraId="440C8FEC" w14:textId="04485EE3" w:rsidR="00592A2D" w:rsidRPr="003C2BC2" w:rsidRDefault="00676BCA" w:rsidP="001E11C6">
      <w:pPr>
        <w:pStyle w:val="NummerierungStufe1"/>
        <w:tabs>
          <w:tab w:val="clear" w:pos="425"/>
          <w:tab w:val="num" w:pos="426"/>
        </w:tabs>
        <w:ind w:left="426"/>
      </w:pPr>
      <w:r w:rsidRPr="003C2BC2">
        <w:t>the product type in accordance with Annex 1 to which the single-use plastic product is to be assigned, and</w:t>
      </w:r>
    </w:p>
    <w:p w14:paraId="5382B6E7" w14:textId="7C608F65" w:rsidR="003A4629" w:rsidRPr="003C2BC2" w:rsidRDefault="00ED100D" w:rsidP="001E11C6">
      <w:pPr>
        <w:pStyle w:val="NummerierungStufe1"/>
        <w:tabs>
          <w:tab w:val="clear" w:pos="425"/>
          <w:tab w:val="num" w:pos="426"/>
        </w:tabs>
        <w:ind w:left="426"/>
      </w:pPr>
      <w:r w:rsidRPr="003C2BC2">
        <w:t>whether a natural or legal person or partnership with legal capacity is a producer within the meaning of Section 3, subparagraph 3, point a) or b).</w:t>
      </w:r>
    </w:p>
    <w:p w14:paraId="7C653EAF" w14:textId="10257433" w:rsidR="000D30CF" w:rsidRPr="003C2BC2" w:rsidRDefault="000C5E50" w:rsidP="009227C7">
      <w:pPr>
        <w:pStyle w:val="JuristischerAbsatzFolgeabsatz"/>
      </w:pPr>
      <w:r w:rsidRPr="003C2BC2">
        <w:t>The designation referred to in subparagraphs 1 and 2 of the first sentence may be made as a general order.</w:t>
      </w:r>
    </w:p>
    <w:p w14:paraId="05BAA950" w14:textId="3937FA5C" w:rsidR="000D30CF" w:rsidRPr="003C2BC2" w:rsidRDefault="000D30CF">
      <w:pPr>
        <w:pStyle w:val="JuristischerAbsatznummeriert"/>
        <w:tabs>
          <w:tab w:val="clear" w:pos="850"/>
          <w:tab w:val="num" w:pos="851"/>
        </w:tabs>
      </w:pPr>
      <w:r w:rsidRPr="003C2BC2">
        <w:t>The Federal Environment Agency may adopt administrative provisions on the matters referred to in paragraph (1).</w:t>
      </w:r>
    </w:p>
    <w:p w14:paraId="2E6282A4" w14:textId="119C62F5" w:rsidR="00861C47" w:rsidRPr="003C2BC2" w:rsidRDefault="00861C47">
      <w:pPr>
        <w:pStyle w:val="JuristischerAbsatznummeriert"/>
        <w:tabs>
          <w:tab w:val="clear" w:pos="850"/>
          <w:tab w:val="num" w:pos="851"/>
        </w:tabs>
      </w:pPr>
      <w:r w:rsidRPr="003C2BC2">
        <w:t>The Federal Environment Agency may lay down detailed instructions for communication with the applicant, in particular the use of certain electronic forms and input masks, specific encryption and the providing of access for the transmission of electronic documents.</w:t>
      </w:r>
    </w:p>
    <w:p w14:paraId="6524CD39" w14:textId="58EBC8CA" w:rsidR="00676BCA" w:rsidRPr="003C2BC2" w:rsidRDefault="00676BCA" w:rsidP="000E32BD">
      <w:pPr>
        <w:pStyle w:val="JuristischerAbsatznummeriert"/>
        <w:tabs>
          <w:tab w:val="clear" w:pos="850"/>
          <w:tab w:val="num" w:pos="851"/>
        </w:tabs>
      </w:pPr>
      <w:r w:rsidRPr="003C2BC2">
        <w:t>Objection to the notice referred to in paragraph (1) has no suspensory effect.</w:t>
      </w:r>
    </w:p>
    <w:p w14:paraId="4FE1E1F7" w14:textId="77777777" w:rsidR="00676BCA" w:rsidRPr="003C2BC2" w:rsidRDefault="00676BCA" w:rsidP="00676BCA">
      <w:pPr>
        <w:pStyle w:val="TeilBezeichner"/>
      </w:pPr>
    </w:p>
    <w:p w14:paraId="27A6ADE7" w14:textId="77777777" w:rsidR="00676BCA" w:rsidRPr="003C2BC2" w:rsidRDefault="00676BCA" w:rsidP="00676BCA">
      <w:pPr>
        <w:pStyle w:val="Teilberschrift"/>
      </w:pPr>
      <w:r w:rsidRPr="003C2BC2">
        <w:t>Single-use plastics commission</w:t>
      </w:r>
    </w:p>
    <w:p w14:paraId="406A4358" w14:textId="77777777" w:rsidR="00676BCA" w:rsidRPr="003C2BC2" w:rsidRDefault="00676BCA" w:rsidP="004D42D0">
      <w:pPr>
        <w:pStyle w:val="ParagraphBezeichner"/>
      </w:pPr>
    </w:p>
    <w:p w14:paraId="47A66B4C" w14:textId="77777777" w:rsidR="00676BCA" w:rsidRPr="003C2BC2" w:rsidRDefault="00676BCA" w:rsidP="00676BCA">
      <w:pPr>
        <w:pStyle w:val="Paragraphberschrift"/>
      </w:pPr>
      <w:r w:rsidRPr="003C2BC2">
        <w:t>Establishment, tasks and procedures</w:t>
      </w:r>
    </w:p>
    <w:p w14:paraId="566F24C4" w14:textId="70511DEC" w:rsidR="00676BCA" w:rsidRPr="003C2BC2" w:rsidRDefault="00676BCA" w:rsidP="001E11C6">
      <w:pPr>
        <w:pStyle w:val="JuristischerAbsatznummeriert"/>
        <w:tabs>
          <w:tab w:val="clear" w:pos="850"/>
          <w:tab w:val="num" w:pos="851"/>
        </w:tabs>
      </w:pPr>
      <w:r w:rsidRPr="003C2BC2">
        <w:t>A single-use plastics commission will be established. It will advise</w:t>
      </w:r>
    </w:p>
    <w:p w14:paraId="00E24B19" w14:textId="195023A4" w:rsidR="00676BCA" w:rsidRPr="003C2BC2" w:rsidRDefault="00676BCA" w:rsidP="00676073">
      <w:pPr>
        <w:pStyle w:val="NummerierungStufe1"/>
        <w:tabs>
          <w:tab w:val="num" w:pos="851"/>
        </w:tabs>
        <w:ind w:left="426"/>
      </w:pPr>
      <w:r w:rsidRPr="003C2BC2">
        <w:t>the Federal Ministry for the Environment, Nature Conservation, Nuclear Safety and Consumer Protection on establishing the levy rates referred to in Section 14(1) and the points system referred to in Section 19(2), and</w:t>
      </w:r>
    </w:p>
    <w:p w14:paraId="0467B409" w14:textId="338C5DF6" w:rsidR="00351D7D" w:rsidRPr="003C2BC2" w:rsidRDefault="00676BCA" w:rsidP="00676073">
      <w:pPr>
        <w:pStyle w:val="NummerierungStufe1"/>
        <w:tabs>
          <w:tab w:val="num" w:pos="851"/>
        </w:tabs>
        <w:ind w:left="426"/>
      </w:pPr>
      <w:r w:rsidRPr="003C2BC2">
        <w:t>the Federal Environment Agency on</w:t>
      </w:r>
    </w:p>
    <w:p w14:paraId="1972685B" w14:textId="6BB7CD2F" w:rsidR="00351D7D" w:rsidRPr="003C2BC2" w:rsidRDefault="008C0593" w:rsidP="001E11C6">
      <w:pPr>
        <w:pStyle w:val="NummerierungStufe2"/>
        <w:ind w:left="851"/>
      </w:pPr>
      <w:r w:rsidRPr="003C2BC2">
        <w:t>calculating the points value referred to in Section 20, and</w:t>
      </w:r>
    </w:p>
    <w:p w14:paraId="551A3B0A" w14:textId="7260D668" w:rsidR="00676BCA" w:rsidRPr="003C2BC2" w:rsidRDefault="008C0593" w:rsidP="001E11C6">
      <w:pPr>
        <w:pStyle w:val="NummerierungStufe2"/>
        <w:ind w:left="851"/>
      </w:pPr>
      <w:r w:rsidRPr="003C2BC2">
        <w:t>designating products as single-use plastic products in accordance with Section 22(1), first sentence, subparagraphs 1 and 2.</w:t>
      </w:r>
    </w:p>
    <w:p w14:paraId="6A57D03E" w14:textId="513A5D67" w:rsidR="00676BCA" w:rsidRPr="003C2BC2" w:rsidRDefault="0000624E" w:rsidP="000A1BFC">
      <w:pPr>
        <w:pStyle w:val="JuristischerAbsatzFolgeabsatz"/>
      </w:pPr>
      <w:r w:rsidRPr="003C2BC2">
        <w:t>The Federal Environment Agency will support the single-use plastics commission in carrying out its tasks by operating a commission office. The commission office is responsible for convening and organising the meetings.</w:t>
      </w:r>
    </w:p>
    <w:p w14:paraId="45DCD63B" w14:textId="0A611454" w:rsidR="00676BCA" w:rsidRPr="003C2BC2" w:rsidRDefault="00676BCA" w:rsidP="0063506F">
      <w:pPr>
        <w:pStyle w:val="JuristischerAbsatznummeriert"/>
        <w:tabs>
          <w:tab w:val="clear" w:pos="850"/>
          <w:tab w:val="num" w:pos="851"/>
        </w:tabs>
      </w:pPr>
      <w:r w:rsidRPr="003C2BC2">
        <w:t>Advice from the single-use plastics commission will be in the form of recommendations based on available data and scientific findings. The recommendations will be adopted by a majority of the votes cast. Details will be laid down in the rules of procedure referred to in paragraph (4). As preparation for advice to be given by the single-use plastics commission pursuant to paragraph (1), second sentence, subparagraph 1, the Federal Environment Agency will commission a study or several studies.</w:t>
      </w:r>
    </w:p>
    <w:p w14:paraId="44136B00" w14:textId="3CBA5E68" w:rsidR="00676BCA" w:rsidRPr="003C2BC2" w:rsidRDefault="00676BCA" w:rsidP="0063506F">
      <w:pPr>
        <w:pStyle w:val="JuristischerAbsatznummeriert"/>
        <w:tabs>
          <w:tab w:val="clear" w:pos="850"/>
          <w:tab w:val="num" w:pos="851"/>
        </w:tabs>
      </w:pPr>
      <w:r w:rsidRPr="003C2BC2">
        <w:t>The Federal Environment Agency may request the single-use plastics commission to issue a recommendation within a reasonable period of time. If no recommendation is made within that period, the procedures referred to in the second sentence of paragraph (1) will continue without the participation of the single-use plastics commission.</w:t>
      </w:r>
    </w:p>
    <w:p w14:paraId="37FCC979" w14:textId="3B3997FE" w:rsidR="00676BCA" w:rsidRPr="003C2BC2" w:rsidRDefault="00676BCA" w:rsidP="0063506F">
      <w:pPr>
        <w:pStyle w:val="JuristischerAbsatznummeriert"/>
        <w:tabs>
          <w:tab w:val="clear" w:pos="850"/>
          <w:tab w:val="num" w:pos="851"/>
        </w:tabs>
      </w:pPr>
      <w:r w:rsidRPr="003C2BC2">
        <w:t>The single-use plastics commission will draw up rules of procedure and adopt them by a majority of the votes cast. The rules of procedure require the approval of the Federal Environment Agency. With the approval of the Federal Environment Agency, the single-use plastics commission will be established. The Federal Environment Agency may request the single-use plastics commission to submit rules of procedure for approval within a reasonable period of time. If no rules of procedure are submitted within that period, the procedures referred to in the second sentence of paragraph (1) will continue without the participation of the single-use plastics commission.</w:t>
      </w:r>
    </w:p>
    <w:p w14:paraId="77CA0510" w14:textId="77777777" w:rsidR="00676BCA" w:rsidRPr="003C2BC2" w:rsidRDefault="00676BCA" w:rsidP="004D42D0">
      <w:pPr>
        <w:pStyle w:val="ParagraphBezeichner"/>
      </w:pPr>
    </w:p>
    <w:p w14:paraId="1C313C6A" w14:textId="77777777" w:rsidR="00676BCA" w:rsidRPr="003C2BC2" w:rsidRDefault="00676BCA" w:rsidP="00676BCA">
      <w:pPr>
        <w:pStyle w:val="Paragraphberschrift"/>
      </w:pPr>
      <w:r w:rsidRPr="003C2BC2">
        <w:t>Composition and nomination</w:t>
      </w:r>
    </w:p>
    <w:p w14:paraId="27E75CE4" w14:textId="0BB0EC56" w:rsidR="00676BCA" w:rsidRPr="003C2BC2" w:rsidRDefault="00676BCA" w:rsidP="004D42D0">
      <w:pPr>
        <w:pStyle w:val="JuristischerAbsatznummeriert"/>
        <w:tabs>
          <w:tab w:val="clear" w:pos="850"/>
          <w:tab w:val="num" w:pos="851"/>
        </w:tabs>
      </w:pPr>
      <w:r w:rsidRPr="003C2BC2">
        <w:t>The single-use plastics commission will consist of 13 members. Members will be distributed as follows:</w:t>
      </w:r>
    </w:p>
    <w:p w14:paraId="71E35B03" w14:textId="2B88AF76" w:rsidR="00676BCA" w:rsidRPr="003C2BC2" w:rsidRDefault="00C5294A" w:rsidP="00B04F94">
      <w:pPr>
        <w:pStyle w:val="NummerierungStufe1"/>
        <w:tabs>
          <w:tab w:val="num" w:pos="851"/>
        </w:tabs>
        <w:ind w:left="426"/>
      </w:pPr>
      <w:r w:rsidRPr="003C2BC2">
        <w:t>six representatives from producers,</w:t>
      </w:r>
    </w:p>
    <w:p w14:paraId="7BCE2E2C" w14:textId="21E32F3E" w:rsidR="001F3605" w:rsidRPr="003C2BC2" w:rsidRDefault="00C5294A" w:rsidP="00B04F94">
      <w:pPr>
        <w:pStyle w:val="NummerierungStufe1"/>
        <w:tabs>
          <w:tab w:val="num" w:pos="851"/>
        </w:tabs>
        <w:ind w:left="426"/>
      </w:pPr>
      <w:r w:rsidRPr="003C2BC2">
        <w:lastRenderedPageBreak/>
        <w:t>one representative from the private waste management industry,</w:t>
      </w:r>
    </w:p>
    <w:p w14:paraId="2F316405" w14:textId="20D8C4BC" w:rsidR="00C44B90" w:rsidRPr="003C2BC2" w:rsidRDefault="00C5294A" w:rsidP="001F3605">
      <w:pPr>
        <w:pStyle w:val="NummerierungStufe1"/>
        <w:tabs>
          <w:tab w:val="num" w:pos="851"/>
        </w:tabs>
        <w:ind w:left="426"/>
      </w:pPr>
      <w:r w:rsidRPr="003C2BC2">
        <w:t>one representative from the municipal waste management industry,</w:t>
      </w:r>
    </w:p>
    <w:p w14:paraId="14ADB7D0" w14:textId="1DF9EB71" w:rsidR="00676BCA" w:rsidRPr="003C2BC2" w:rsidRDefault="00C5294A" w:rsidP="00B04F94">
      <w:pPr>
        <w:pStyle w:val="NummerierungStufe1"/>
        <w:tabs>
          <w:tab w:val="num" w:pos="851"/>
        </w:tabs>
        <w:ind w:left="426"/>
      </w:pPr>
      <w:r w:rsidRPr="003C2BC2">
        <w:t>two representatives from municipal umbrella associations,</w:t>
      </w:r>
    </w:p>
    <w:p w14:paraId="67715C36" w14:textId="17CA1503" w:rsidR="00676BCA" w:rsidRPr="003C2BC2" w:rsidRDefault="00C5294A">
      <w:pPr>
        <w:pStyle w:val="NummerierungStufe1"/>
        <w:tabs>
          <w:tab w:val="clear" w:pos="425"/>
          <w:tab w:val="num" w:pos="426"/>
        </w:tabs>
        <w:ind w:left="426"/>
      </w:pPr>
      <w:r w:rsidRPr="003C2BC2">
        <w:t>one representative from other beneficiaries not represented by the representatives referred to in subparagraphs 2 and 3,</w:t>
      </w:r>
    </w:p>
    <w:p w14:paraId="02EB5F8F" w14:textId="3E94C817" w:rsidR="00676BCA" w:rsidRPr="003C2BC2" w:rsidRDefault="00C5294A" w:rsidP="00B04F94">
      <w:pPr>
        <w:pStyle w:val="NummerierungStufe1"/>
        <w:tabs>
          <w:tab w:val="num" w:pos="851"/>
        </w:tabs>
        <w:ind w:left="426"/>
      </w:pPr>
      <w:r w:rsidRPr="003C2BC2">
        <w:t>one representative from environmental organisations, and</w:t>
      </w:r>
    </w:p>
    <w:p w14:paraId="1ABD9F8F" w14:textId="6CCCF671" w:rsidR="00676BCA" w:rsidRPr="003C2BC2" w:rsidRDefault="002D5D31" w:rsidP="00B9321C">
      <w:pPr>
        <w:pStyle w:val="NummerierungStufe1"/>
        <w:tabs>
          <w:tab w:val="num" w:pos="851"/>
        </w:tabs>
        <w:ind w:left="426"/>
      </w:pPr>
      <w:r w:rsidRPr="003C2BC2">
        <w:t>one representative from consumer associations.</w:t>
      </w:r>
    </w:p>
    <w:p w14:paraId="3607F32D" w14:textId="62486B9E" w:rsidR="00363215" w:rsidRPr="003C2BC2" w:rsidRDefault="00363215" w:rsidP="009D1BCB">
      <w:pPr>
        <w:pStyle w:val="JuristischerAbsatzFolgeabsatz"/>
      </w:pPr>
      <w:r w:rsidRPr="003C2BC2">
        <w:t>Commission members will sit in a voluntary capacity. No remuneration or reimbursement of expenses will be granted.</w:t>
      </w:r>
    </w:p>
    <w:p w14:paraId="779EE3AD" w14:textId="2A979ADA" w:rsidR="00676BCA" w:rsidRPr="003C2BC2" w:rsidRDefault="00676BCA" w:rsidP="004D42D0">
      <w:pPr>
        <w:pStyle w:val="JuristischerAbsatznummeriert"/>
        <w:tabs>
          <w:tab w:val="clear" w:pos="850"/>
          <w:tab w:val="num" w:pos="851"/>
        </w:tabs>
      </w:pPr>
      <w:r w:rsidRPr="003C2BC2">
        <w:t>The respective associations and other interest groups will designate their members and representatives to the Federal Environment Agency. To this end, the Federal Environment Agency will call on the associations and other interest groups to designate their representatives by consensus within a period of time. If no designation by consensus is made within this period, the respective members and representatives will be appointed by the Federal Environment Agency. Details will be laid down in the rules of procedure referred to in Section 23(4), first sentence.</w:t>
      </w:r>
    </w:p>
    <w:p w14:paraId="25915391" w14:textId="77777777" w:rsidR="00676BCA" w:rsidRPr="003C2BC2" w:rsidRDefault="00676BCA" w:rsidP="00676BCA">
      <w:pPr>
        <w:pStyle w:val="TeilBezeichner"/>
      </w:pPr>
    </w:p>
    <w:p w14:paraId="533FB4EC" w14:textId="77777777" w:rsidR="00676BCA" w:rsidRPr="003C2BC2" w:rsidRDefault="00676BCA" w:rsidP="00676BCA">
      <w:pPr>
        <w:pStyle w:val="Teilberschrift"/>
      </w:pPr>
      <w:r w:rsidRPr="003C2BC2">
        <w:t>Final provisions</w:t>
      </w:r>
    </w:p>
    <w:p w14:paraId="4E0C9401" w14:textId="77777777" w:rsidR="00676BCA" w:rsidRPr="003C2BC2" w:rsidRDefault="00676BCA" w:rsidP="00581E2B">
      <w:pPr>
        <w:pStyle w:val="ParagraphBezeichner"/>
      </w:pPr>
    </w:p>
    <w:p w14:paraId="5396D523" w14:textId="77777777" w:rsidR="00676BCA" w:rsidRPr="003C2BC2" w:rsidRDefault="00676BCA" w:rsidP="00676BCA">
      <w:pPr>
        <w:pStyle w:val="Paragraphberschrift"/>
      </w:pPr>
      <w:r w:rsidRPr="003C2BC2">
        <w:t>Supervision</w:t>
      </w:r>
    </w:p>
    <w:p w14:paraId="5C7B7355" w14:textId="37B88077" w:rsidR="00676BCA" w:rsidRPr="003C2BC2" w:rsidRDefault="00676BCA" w:rsidP="00C24BA9">
      <w:pPr>
        <w:pStyle w:val="JuristischerAbsatznichtnummeriert"/>
      </w:pPr>
      <w:r w:rsidRPr="003C2BC2">
        <w:t>With regard to the tasks assigned to it under this Act, the Federal Environment Agency is subject to the legal and technical supervision of the Federal Ministry for the Environment, Nature Conservation, Nuclear Safety and Consumer Protection.</w:t>
      </w:r>
    </w:p>
    <w:p w14:paraId="070478FF" w14:textId="77777777" w:rsidR="00676BCA" w:rsidRPr="003C2BC2" w:rsidRDefault="00676BCA" w:rsidP="00B04F94">
      <w:pPr>
        <w:pStyle w:val="ParagraphBezeichner"/>
      </w:pPr>
    </w:p>
    <w:p w14:paraId="51A27E71" w14:textId="151C76AA" w:rsidR="00676BCA" w:rsidRPr="003C2BC2" w:rsidRDefault="00FC5A96" w:rsidP="00676BCA">
      <w:pPr>
        <w:pStyle w:val="Paragraphberschrift"/>
      </w:pPr>
      <w:r w:rsidRPr="003C2BC2">
        <w:t>Provisions on regulatory fines</w:t>
      </w:r>
    </w:p>
    <w:p w14:paraId="61D98A8B" w14:textId="77777777" w:rsidR="00676BCA" w:rsidRPr="003C2BC2" w:rsidRDefault="00676BCA" w:rsidP="00B04F94">
      <w:pPr>
        <w:pStyle w:val="JuristischerAbsatznummeriert"/>
        <w:tabs>
          <w:tab w:val="clear" w:pos="850"/>
          <w:tab w:val="num" w:pos="851"/>
        </w:tabs>
      </w:pPr>
      <w:r w:rsidRPr="003C2BC2">
        <w:t>A regulatory offence is deemed to have been committed by any person who, intentionally or negligently</w:t>
      </w:r>
    </w:p>
    <w:p w14:paraId="71A4DA00" w14:textId="77777777" w:rsidR="00676BCA" w:rsidRPr="003C2BC2" w:rsidRDefault="00676BCA" w:rsidP="00CF3BB8">
      <w:pPr>
        <w:pStyle w:val="NummerierungStufe1"/>
        <w:tabs>
          <w:tab w:val="num" w:pos="851"/>
        </w:tabs>
        <w:ind w:left="426"/>
      </w:pPr>
      <w:r w:rsidRPr="003C2BC2">
        <w:t>contrary to Section 7(1), first sentence, fails to register, or does not do so correctly, in full or in good time,</w:t>
      </w:r>
    </w:p>
    <w:p w14:paraId="5C4C143B" w14:textId="74801973" w:rsidR="00676BCA" w:rsidRPr="003C2BC2" w:rsidRDefault="00676BCA" w:rsidP="00CF3BB8">
      <w:pPr>
        <w:pStyle w:val="NummerierungStufe1"/>
        <w:tabs>
          <w:tab w:val="num" w:pos="851"/>
        </w:tabs>
        <w:ind w:left="426"/>
      </w:pPr>
      <w:r w:rsidRPr="003C2BC2">
        <w:t>contrary to</w:t>
      </w:r>
    </w:p>
    <w:p w14:paraId="1E05A31F" w14:textId="715D4EF4" w:rsidR="0085123E" w:rsidRPr="003C2BC2" w:rsidRDefault="0085123E" w:rsidP="00216F12">
      <w:pPr>
        <w:pStyle w:val="NummerierungStufe2"/>
      </w:pPr>
      <w:r w:rsidRPr="003C2BC2">
        <w:t>Section 7(1), second sentence, or</w:t>
      </w:r>
    </w:p>
    <w:p w14:paraId="151BCBAE" w14:textId="23AAE259" w:rsidR="00763CA3" w:rsidRPr="003C2BC2" w:rsidRDefault="0085123E" w:rsidP="00216F12">
      <w:pPr>
        <w:pStyle w:val="NummerierungStufe2"/>
      </w:pPr>
      <w:r w:rsidRPr="003C2BC2">
        <w:t>Section 10(2), fifth sentence</w:t>
      </w:r>
    </w:p>
    <w:p w14:paraId="44A4C4BD" w14:textId="5A437FEF" w:rsidR="0085123E" w:rsidRPr="003C2BC2" w:rsidRDefault="00763CA3" w:rsidP="000C02C7">
      <w:pPr>
        <w:pStyle w:val="JuristischerAbsatzFolgeabsatz"/>
      </w:pPr>
      <w:r w:rsidRPr="003C2BC2">
        <w:t>fails to make a notification or fails to do so correctly, in full or in good time,</w:t>
      </w:r>
    </w:p>
    <w:p w14:paraId="0E5BD4DA" w14:textId="2199A4BA" w:rsidR="0043297E" w:rsidRPr="003C2BC2" w:rsidRDefault="0086309A" w:rsidP="00216F12">
      <w:pPr>
        <w:pStyle w:val="NummerierungStufe1"/>
      </w:pPr>
      <w:r w:rsidRPr="003C2BC2">
        <w:lastRenderedPageBreak/>
        <w:t>contrary to Section 9(1), makes available on the market for the first time or sells a single-use plastic product,</w:t>
      </w:r>
    </w:p>
    <w:p w14:paraId="6DB0FA5E" w14:textId="6DBA45F9" w:rsidR="00676BCA" w:rsidRPr="003C2BC2" w:rsidRDefault="00676BCA" w:rsidP="00CF3BB8">
      <w:pPr>
        <w:pStyle w:val="NummerierungStufe1"/>
        <w:tabs>
          <w:tab w:val="num" w:pos="851"/>
        </w:tabs>
        <w:ind w:left="426"/>
      </w:pPr>
      <w:r w:rsidRPr="003C2BC2">
        <w:t>contrary to Section 9(2), offers a single-use plastics product for sale,</w:t>
      </w:r>
    </w:p>
    <w:p w14:paraId="3981C74F" w14:textId="76A85163" w:rsidR="00794F3B" w:rsidRPr="003C2BC2" w:rsidRDefault="00794F3B" w:rsidP="00794F3B">
      <w:pPr>
        <w:pStyle w:val="NummerierungStufe1"/>
      </w:pPr>
      <w:r w:rsidRPr="003C2BC2">
        <w:t>contrary to Section 9(2), allows a single-use plastics product to be offered,</w:t>
      </w:r>
    </w:p>
    <w:p w14:paraId="42C7EF8D" w14:textId="2AFD653C" w:rsidR="00794F3B" w:rsidRPr="003C2BC2" w:rsidRDefault="00794F3B" w:rsidP="00794F3B">
      <w:pPr>
        <w:pStyle w:val="NummerierungStufe1"/>
      </w:pPr>
      <w:r w:rsidRPr="003C2BC2">
        <w:t>contrary to Section 9(4), provides a service mentioned in said provision,</w:t>
      </w:r>
    </w:p>
    <w:p w14:paraId="0B3DC380" w14:textId="3BCF5055" w:rsidR="00676BCA" w:rsidRPr="003C2BC2" w:rsidRDefault="00676BCA" w:rsidP="00CF3BB8">
      <w:pPr>
        <w:pStyle w:val="NummerierungStufe1"/>
        <w:tabs>
          <w:tab w:val="num" w:pos="851"/>
        </w:tabs>
        <w:ind w:left="426"/>
      </w:pPr>
      <w:r w:rsidRPr="003C2BC2">
        <w:t>contrary to Section 10(1), first sentence or paragraph (4), does not appoint an authorised representative, fails to do so correctly or in good time,</w:t>
      </w:r>
    </w:p>
    <w:p w14:paraId="5B81BFB8" w14:textId="5C0B6ED9" w:rsidR="00676BCA" w:rsidRPr="003C2BC2" w:rsidRDefault="00676BCA" w:rsidP="00CF3BB8">
      <w:pPr>
        <w:pStyle w:val="NummerierungStufe1"/>
        <w:tabs>
          <w:tab w:val="num" w:pos="851"/>
        </w:tabs>
        <w:ind w:left="426"/>
      </w:pPr>
      <w:r w:rsidRPr="003C2BC2">
        <w:t>contrary to the first sentence of Section 10(2), does not appoint an authorised representative, fails to do so correctly or in good time, or</w:t>
      </w:r>
    </w:p>
    <w:p w14:paraId="1D869553" w14:textId="7051E0E1" w:rsidR="00676BCA" w:rsidRPr="003C2BC2" w:rsidRDefault="00676BCA" w:rsidP="00CF3BB8">
      <w:pPr>
        <w:pStyle w:val="NummerierungStufe1"/>
        <w:tabs>
          <w:tab w:val="num" w:pos="851"/>
        </w:tabs>
        <w:ind w:left="426"/>
      </w:pPr>
      <w:r w:rsidRPr="003C2BC2">
        <w:t>contrary to the first sentence of Section 11(1), fails to submit a notification, or fails to do so correctly, in full or in good time.</w:t>
      </w:r>
    </w:p>
    <w:p w14:paraId="4F1B5ABB" w14:textId="3DA85BA4" w:rsidR="00676BCA" w:rsidRPr="003C2BC2" w:rsidRDefault="00676BCA" w:rsidP="00B04F94">
      <w:pPr>
        <w:pStyle w:val="JuristischerAbsatznummeriert"/>
        <w:tabs>
          <w:tab w:val="clear" w:pos="850"/>
          <w:tab w:val="num" w:pos="851"/>
        </w:tabs>
      </w:pPr>
      <w:r w:rsidRPr="003C2BC2">
        <w:t>In the cases referred to in paragraph (1) subparagraph 1, subparagraph 2 point a), and subparagraphs 3 to 6, the regulatory offence may be punished by a fine of up to one hundred thousand euros and, in the other cases, a fine of up to ten thousand euros.</w:t>
      </w:r>
    </w:p>
    <w:p w14:paraId="6774A002" w14:textId="04BE7AF0" w:rsidR="00FF345F" w:rsidRPr="003C2BC2" w:rsidRDefault="00676BCA" w:rsidP="00B04F94">
      <w:pPr>
        <w:pStyle w:val="JuristischerAbsatznummeriert"/>
        <w:tabs>
          <w:tab w:val="clear" w:pos="850"/>
          <w:tab w:val="num" w:pos="851"/>
        </w:tabs>
      </w:pPr>
      <w:r w:rsidRPr="003C2BC2">
        <w:t>The regulatory authority within the meaning of Section 36(1), subparagraph 1 of the Regulatory Offences Act shall be the Federal Environment Agency.</w:t>
      </w:r>
    </w:p>
    <w:p w14:paraId="002B5209" w14:textId="6AA2F95B" w:rsidR="00676BCA" w:rsidRPr="003C2BC2" w:rsidRDefault="00EA3ED6" w:rsidP="00B04F94">
      <w:pPr>
        <w:pStyle w:val="JuristischerAbsatznummeriert"/>
        <w:tabs>
          <w:tab w:val="clear" w:pos="850"/>
          <w:tab w:val="num" w:pos="851"/>
        </w:tabs>
      </w:pPr>
      <w:r w:rsidRPr="003C2BC2">
        <w:t>Fines ordered during judicial proceedings and amounts recovered, as ordered by the court pursuant to Section 29a of the Regulatory Offences Act, will also accrue to the respective federal treasury branch, which also bears the costs imposed on the treasury.</w:t>
      </w:r>
    </w:p>
    <w:p w14:paraId="18F6C690" w14:textId="77777777" w:rsidR="00676BCA" w:rsidRPr="003C2BC2" w:rsidRDefault="00676BCA" w:rsidP="00B90AD1">
      <w:pPr>
        <w:pStyle w:val="ParagraphBezeichner"/>
      </w:pPr>
    </w:p>
    <w:p w14:paraId="4E2C4AFE" w14:textId="77777777" w:rsidR="00676BCA" w:rsidRPr="003C2BC2" w:rsidRDefault="00676BCA" w:rsidP="00676BCA">
      <w:pPr>
        <w:pStyle w:val="Paragraphberschrift"/>
      </w:pPr>
      <w:r w:rsidRPr="003C2BC2">
        <w:t>Confiscation</w:t>
      </w:r>
    </w:p>
    <w:p w14:paraId="1445E1D3" w14:textId="1AED82B4" w:rsidR="00132450" w:rsidRPr="003C2BC2" w:rsidRDefault="00132450" w:rsidP="00C74CDE">
      <w:pPr>
        <w:pStyle w:val="JuristischerAbsatznichtnummeriert"/>
      </w:pPr>
      <w:r w:rsidRPr="003C2BC2">
        <w:t>If a regulatory offence has been committed pursuant to Section 26(1), goods may be confiscated</w:t>
      </w:r>
    </w:p>
    <w:p w14:paraId="57F528C1" w14:textId="77777777" w:rsidR="00132450" w:rsidRPr="003C2BC2" w:rsidRDefault="00132450" w:rsidP="00E47D4C">
      <w:pPr>
        <w:pStyle w:val="NummerierungStufe1"/>
      </w:pPr>
      <w:r w:rsidRPr="003C2BC2">
        <w:t>to which the regulatory offence relates, or</w:t>
      </w:r>
    </w:p>
    <w:p w14:paraId="73294A6E" w14:textId="18B2483B" w:rsidR="00132450" w:rsidRPr="003C2BC2" w:rsidRDefault="00132450" w:rsidP="00E47D4C">
      <w:pPr>
        <w:pStyle w:val="NummerierungStufe1"/>
      </w:pPr>
      <w:r w:rsidRPr="003C2BC2">
        <w:t>which were used or had been intended to be used for the preparation or commission of the offence.</w:t>
      </w:r>
    </w:p>
    <w:p w14:paraId="12194165" w14:textId="77777777" w:rsidR="00676BCA" w:rsidRPr="003C2BC2" w:rsidRDefault="00132450" w:rsidP="00C74CDE">
      <w:pPr>
        <w:pStyle w:val="JuristischerAbsatzFolgeabsatz"/>
      </w:pPr>
      <w:r w:rsidRPr="003C2BC2">
        <w:t>Section 23 of the Regulatory Offences Act shall apply.</w:t>
      </w:r>
    </w:p>
    <w:p w14:paraId="6DEE74AA" w14:textId="77777777" w:rsidR="00C4571A" w:rsidRPr="003C2BC2" w:rsidRDefault="00C4571A" w:rsidP="00B90AD1">
      <w:pPr>
        <w:pStyle w:val="ParagraphBezeichner"/>
      </w:pPr>
    </w:p>
    <w:p w14:paraId="6FFE87B4" w14:textId="77777777" w:rsidR="00C4571A" w:rsidRPr="003C2BC2" w:rsidRDefault="00C4571A" w:rsidP="00C4571A">
      <w:pPr>
        <w:pStyle w:val="Paragraphberschrift"/>
      </w:pPr>
      <w:r w:rsidRPr="003C2BC2">
        <w:t>Evaluation</w:t>
      </w:r>
    </w:p>
    <w:p w14:paraId="12A8FE9A" w14:textId="12AD4E95" w:rsidR="00C4571A" w:rsidRPr="003C2BC2" w:rsidRDefault="00C4571A" w:rsidP="00C24BA9">
      <w:pPr>
        <w:pStyle w:val="JuristischerAbsatznichtnummeriert"/>
      </w:pPr>
      <w:r w:rsidRPr="003C2BC2">
        <w:t>The Federal Government shall, by 31 December 2028, evaluate the effect of the provisions contained in this Act with regard to the achievement of the objectives. As part of such evaluation, the following will be reviewed in particular:</w:t>
      </w:r>
    </w:p>
    <w:p w14:paraId="783C174F" w14:textId="5DDB5AD8" w:rsidR="00C4571A" w:rsidRPr="003C2BC2" w:rsidRDefault="00C4571A" w:rsidP="00C4571A">
      <w:pPr>
        <w:pStyle w:val="NummerierungStufe1"/>
      </w:pPr>
      <w:r w:rsidRPr="003C2BC2">
        <w:t>the development of sustainable products as an alternative to the single-use plastic products listed in Annex 1,</w:t>
      </w:r>
    </w:p>
    <w:p w14:paraId="345728D6" w14:textId="77777777" w:rsidR="00C4571A" w:rsidRPr="003C2BC2" w:rsidRDefault="00C4571A" w:rsidP="00C4571A">
      <w:pPr>
        <w:pStyle w:val="NummerierungStufe1"/>
      </w:pPr>
      <w:r w:rsidRPr="003C2BC2">
        <w:lastRenderedPageBreak/>
        <w:t>improvement to the cleanliness of cities and landscapes with regard to waste generated by the single-use plastic products listed in Annex 1,</w:t>
      </w:r>
    </w:p>
    <w:p w14:paraId="0EC66C64" w14:textId="7ED07020" w:rsidR="00C4571A" w:rsidRPr="003C2BC2" w:rsidRDefault="00C4571A" w:rsidP="00C4571A">
      <w:pPr>
        <w:pStyle w:val="NummerierungStufe1"/>
      </w:pPr>
      <w:r w:rsidRPr="003C2BC2">
        <w:t>relief of the general public from previously borne collection, cleaning and awareness-raising costs.</w:t>
      </w:r>
    </w:p>
    <w:p w14:paraId="6D38F937" w14:textId="77777777" w:rsidR="00C4571A" w:rsidRPr="003C2BC2" w:rsidRDefault="00C4571A" w:rsidP="00B90AD1">
      <w:pPr>
        <w:pStyle w:val="ParagraphBezeichner"/>
      </w:pPr>
    </w:p>
    <w:p w14:paraId="3DBD985C" w14:textId="1D6A7BC1" w:rsidR="0046451F" w:rsidRPr="003C2BC2" w:rsidRDefault="00C4571A" w:rsidP="00C4571A">
      <w:pPr>
        <w:pStyle w:val="Paragraphberschrift"/>
      </w:pPr>
      <w:r w:rsidRPr="003C2BC2">
        <w:t>Transitional provision</w:t>
      </w:r>
    </w:p>
    <w:p w14:paraId="425EB30F" w14:textId="11726471" w:rsidR="003C5FE8" w:rsidRPr="003C2BC2" w:rsidRDefault="003C5FE8" w:rsidP="003C5FE8">
      <w:pPr>
        <w:pStyle w:val="JuristischerAbsatznummeriert"/>
      </w:pPr>
      <w:r w:rsidRPr="003C2BC2">
        <w:t>Revenue and expenditure will be set out by means of the annual statement, as referred to in Section 6(1), and the statement will be published, as referred to in Section 6(2), for the first time for the 2025 financial year.</w:t>
      </w:r>
    </w:p>
    <w:p w14:paraId="460814C0" w14:textId="6C83EE22" w:rsidR="003C5FE8" w:rsidRPr="003C2BC2" w:rsidRDefault="003C5FE8" w:rsidP="003C5FE8">
      <w:pPr>
        <w:pStyle w:val="JuristischerAbsatznummeriert"/>
      </w:pPr>
      <w:r w:rsidRPr="003C2BC2">
        <w:t>Producers who have already commenced their activities before the entry into force of Section 7(1) will register with the Federal Environment Agency by 31 December 2024.</w:t>
      </w:r>
    </w:p>
    <w:p w14:paraId="3DBBB389" w14:textId="1C537934" w:rsidR="00B9046A" w:rsidRPr="003C2BC2" w:rsidRDefault="003C5FE8" w:rsidP="00B9046A">
      <w:pPr>
        <w:pStyle w:val="JuristischerAbsatznummeriert"/>
      </w:pPr>
      <w:bookmarkStart w:id="19" w:name="DQCITD06BFC120C65F63453B91FA56BCABAE3A6A"/>
      <w:r w:rsidRPr="003C2BC2">
        <w:t>Producers who are not established within the territory where this Act applies and have already commenced their activities before the entry into force of Section 10(1) shall appoint, by 31 December 2024, an authorised representative to fulfil the producer obligations, with the exception of registration pursuant to Section 7(1) and annual notification pursuant to Section 11(1).</w:t>
      </w:r>
      <w:bookmarkEnd w:id="19"/>
    </w:p>
    <w:p w14:paraId="00714C5E" w14:textId="11BB552A" w:rsidR="00E60459" w:rsidRPr="003C2BC2" w:rsidRDefault="00E60459" w:rsidP="00B9046A">
      <w:pPr>
        <w:sectPr w:rsidR="00E60459" w:rsidRPr="003C2BC2" w:rsidSect="002B3C19">
          <w:pgSz w:w="11907" w:h="16839"/>
          <w:pgMar w:top="1134" w:right="1417" w:bottom="1134" w:left="1701" w:header="709" w:footer="709" w:gutter="0"/>
          <w:cols w:space="708"/>
          <w:docGrid w:linePitch="360"/>
        </w:sectPr>
      </w:pPr>
    </w:p>
    <w:p w14:paraId="7429B4D1" w14:textId="16658682" w:rsidR="00CD6BA7" w:rsidRPr="003C2BC2" w:rsidRDefault="00CD6BA7" w:rsidP="003C2BC2">
      <w:pPr>
        <w:pStyle w:val="AnlageBezeichnernummeriert"/>
        <w:jc w:val="center"/>
      </w:pPr>
    </w:p>
    <w:p w14:paraId="7F0AA32B" w14:textId="103238D9" w:rsidR="00C4571A" w:rsidRPr="003C2BC2" w:rsidRDefault="00CD6BA7" w:rsidP="00A32CAA">
      <w:pPr>
        <w:pStyle w:val="AnlageVerweis"/>
      </w:pPr>
      <w:r w:rsidRPr="003C2BC2">
        <w:t>to Section 1, Section 2(1), Section 3 subparagraph 3 points a) and b), subparagraphs 5 to 8, subparagraphs 12 to 15, Section 7(2) subparagraphs 5 and 6, Section 9, Section 10(4), Section 11(1), (2) and (4), Section 12, Section 13(1) and (2), Section 14(1), Section 22(1) subparagraph 2, Section 28 subparagraphs 1 and 2</w:t>
      </w:r>
    </w:p>
    <w:p w14:paraId="5622A287" w14:textId="408D7BD0" w:rsidR="00C4571A" w:rsidRPr="003C2BC2" w:rsidRDefault="00C4571A" w:rsidP="00A32CAA">
      <w:pPr>
        <w:pStyle w:val="Anlageberschrift"/>
      </w:pPr>
      <w:r w:rsidRPr="003C2BC2">
        <w:t>List of single-use plastic products</w:t>
      </w:r>
    </w:p>
    <w:p w14:paraId="09C20344" w14:textId="2556EBF9" w:rsidR="00C4571A" w:rsidRPr="003C2BC2" w:rsidRDefault="00C4571A" w:rsidP="00C4571A">
      <w:pPr>
        <w:ind w:left="426" w:hanging="426"/>
        <w:rPr>
          <w:rFonts w:cs="Times New Roman"/>
          <w:szCs w:val="24"/>
        </w:rPr>
      </w:pPr>
      <w:r w:rsidRPr="003C2BC2">
        <w:t>1.</w:t>
      </w:r>
      <w:r w:rsidRPr="003C2BC2">
        <w:tab/>
        <w:t>Food containers, i.e. receptacles such as boxes, with or without a cover, used to contain food which:</w:t>
      </w:r>
    </w:p>
    <w:p w14:paraId="73040298" w14:textId="77777777" w:rsidR="00C4571A" w:rsidRPr="003C2BC2" w:rsidRDefault="00C4571A" w:rsidP="00C4571A">
      <w:pPr>
        <w:ind w:left="851" w:hanging="417"/>
        <w:rPr>
          <w:rFonts w:cs="Times New Roman"/>
          <w:szCs w:val="24"/>
        </w:rPr>
      </w:pPr>
      <w:r w:rsidRPr="003C2BC2">
        <w:t>a)</w:t>
      </w:r>
      <w:r w:rsidRPr="003C2BC2">
        <w:tab/>
        <w:t>is intended for immediate consumption, either on-the-spot or take-away,</w:t>
      </w:r>
    </w:p>
    <w:p w14:paraId="7BE47894" w14:textId="77777777" w:rsidR="00C4571A" w:rsidRPr="003C2BC2" w:rsidRDefault="00C4571A" w:rsidP="00C4571A">
      <w:pPr>
        <w:ind w:left="851" w:hanging="417"/>
        <w:rPr>
          <w:rFonts w:cs="Times New Roman"/>
          <w:szCs w:val="24"/>
        </w:rPr>
      </w:pPr>
      <w:r w:rsidRPr="003C2BC2">
        <w:t>b)</w:t>
      </w:r>
      <w:r w:rsidRPr="003C2BC2">
        <w:tab/>
        <w:t>is typically consumed from the receptacle, and</w:t>
      </w:r>
    </w:p>
    <w:p w14:paraId="06F2AD3F" w14:textId="77777777" w:rsidR="00C4571A" w:rsidRPr="003C2BC2" w:rsidRDefault="00C4571A" w:rsidP="00C4571A">
      <w:pPr>
        <w:ind w:left="851" w:hanging="417"/>
        <w:rPr>
          <w:rFonts w:cs="Times New Roman"/>
          <w:szCs w:val="24"/>
        </w:rPr>
      </w:pPr>
      <w:r w:rsidRPr="003C2BC2">
        <w:t>c)</w:t>
      </w:r>
      <w:r w:rsidRPr="003C2BC2">
        <w:tab/>
        <w:t>is ready to be consumed without any further preparation such as cooking, boiling or heating;</w:t>
      </w:r>
    </w:p>
    <w:p w14:paraId="26ECF785" w14:textId="21422D45" w:rsidR="00C4571A" w:rsidRPr="003C2BC2" w:rsidRDefault="00C4571A" w:rsidP="00C4571A">
      <w:pPr>
        <w:ind w:left="426"/>
        <w:rPr>
          <w:rFonts w:cs="Times New Roman"/>
          <w:szCs w:val="24"/>
        </w:rPr>
      </w:pPr>
      <w:r w:rsidRPr="003C2BC2">
        <w:t>beverage containers, beverage cups, plates, and packets and foil packaging, such as wrappers, containing food are not food containers for these purposes;</w:t>
      </w:r>
    </w:p>
    <w:p w14:paraId="6BE0748B" w14:textId="77777777" w:rsidR="00C4571A" w:rsidRPr="003C2BC2" w:rsidRDefault="00C4571A" w:rsidP="00C4571A">
      <w:pPr>
        <w:ind w:left="426" w:hanging="426"/>
        <w:rPr>
          <w:rFonts w:cs="Times New Roman"/>
          <w:szCs w:val="24"/>
        </w:rPr>
      </w:pPr>
      <w:r w:rsidRPr="003C2BC2">
        <w:t xml:space="preserve">2. </w:t>
      </w:r>
      <w:r w:rsidRPr="003C2BC2">
        <w:tab/>
        <w:t>Packets and foil packaging, such as wrappers, containing food, which</w:t>
      </w:r>
    </w:p>
    <w:p w14:paraId="1CE3E06D" w14:textId="77777777" w:rsidR="00C4571A" w:rsidRPr="003C2BC2" w:rsidRDefault="00C4571A" w:rsidP="00C4571A">
      <w:pPr>
        <w:ind w:left="851" w:hanging="417"/>
        <w:rPr>
          <w:rFonts w:cs="Times New Roman"/>
          <w:szCs w:val="24"/>
        </w:rPr>
      </w:pPr>
      <w:r w:rsidRPr="003C2BC2">
        <w:t>a)</w:t>
      </w:r>
      <w:r w:rsidRPr="003C2BC2">
        <w:tab/>
        <w:t>is intended for immediate consumption from the packet or wrapper,</w:t>
      </w:r>
    </w:p>
    <w:p w14:paraId="6D2566AC" w14:textId="02CF7E5F" w:rsidR="00C4571A" w:rsidRPr="003C2BC2" w:rsidRDefault="00C4571A" w:rsidP="00C4571A">
      <w:pPr>
        <w:ind w:left="851" w:hanging="417"/>
        <w:rPr>
          <w:rFonts w:cs="Times New Roman"/>
          <w:szCs w:val="24"/>
        </w:rPr>
      </w:pPr>
      <w:r w:rsidRPr="003C2BC2">
        <w:t>b)</w:t>
      </w:r>
      <w:r w:rsidRPr="003C2BC2">
        <w:tab/>
        <w:t>without any further preparation;</w:t>
      </w:r>
    </w:p>
    <w:p w14:paraId="4EE0D3B6" w14:textId="561DD51B" w:rsidR="00C4571A" w:rsidRPr="003C2BC2" w:rsidRDefault="00C4571A" w:rsidP="00C4571A">
      <w:pPr>
        <w:ind w:left="426" w:hanging="426"/>
        <w:rPr>
          <w:rFonts w:cs="Times New Roman"/>
          <w:szCs w:val="24"/>
        </w:rPr>
      </w:pPr>
      <w:r w:rsidRPr="003C2BC2">
        <w:t>3.</w:t>
      </w:r>
      <w:r w:rsidRPr="003C2BC2">
        <w:tab/>
        <w:t>Beverage containers with a capacity of up to three litres, i.e. receptacles used to contain liquid, such as beverage bottles and composite beverage packaging on which a deposit is or is not charged, including their caps and lids; glass or metal beverage containers with plastic caps or lids are not beverage containers for these purposes;</w:t>
      </w:r>
    </w:p>
    <w:p w14:paraId="2226D771" w14:textId="77777777" w:rsidR="00C4571A" w:rsidRPr="003C2BC2" w:rsidRDefault="00C4571A" w:rsidP="00C4571A">
      <w:pPr>
        <w:ind w:left="426" w:hanging="426"/>
        <w:rPr>
          <w:rFonts w:cs="Times New Roman"/>
          <w:szCs w:val="24"/>
        </w:rPr>
      </w:pPr>
      <w:r w:rsidRPr="003C2BC2">
        <w:t>4.</w:t>
      </w:r>
      <w:r w:rsidRPr="003C2BC2">
        <w:tab/>
        <w:t>Cups for beverages, including their covers and lids;</w:t>
      </w:r>
    </w:p>
    <w:p w14:paraId="4723DA39" w14:textId="17DC9CCC" w:rsidR="00C4571A" w:rsidRPr="003C2BC2" w:rsidRDefault="00C4571A" w:rsidP="00C4571A">
      <w:pPr>
        <w:ind w:left="426" w:hanging="426"/>
        <w:rPr>
          <w:rFonts w:cs="Times New Roman"/>
          <w:szCs w:val="24"/>
        </w:rPr>
      </w:pPr>
      <w:r w:rsidRPr="003C2BC2">
        <w:t>5.</w:t>
      </w:r>
      <w:r w:rsidRPr="003C2BC2">
        <w:tab/>
        <w:t>Lightweight plastic carrier bags, i.e. plastic carrier bags, with a wall thickness of less than 50 micrometres, with or without carrying handle, offered to consumers at the point of sale of goods or products;</w:t>
      </w:r>
    </w:p>
    <w:p w14:paraId="4577A42F" w14:textId="409501E6" w:rsidR="00C4571A" w:rsidRPr="003C2BC2" w:rsidRDefault="00C4571A" w:rsidP="00C4571A">
      <w:pPr>
        <w:ind w:left="426" w:hanging="426"/>
        <w:rPr>
          <w:rFonts w:cs="Times New Roman"/>
          <w:szCs w:val="24"/>
        </w:rPr>
      </w:pPr>
      <w:r w:rsidRPr="003C2BC2">
        <w:t>6.</w:t>
      </w:r>
      <w:r w:rsidRPr="003C2BC2">
        <w:tab/>
        <w:t>Wet wipes, i.e. pre-wetted personal care and domestic wipes;</w:t>
      </w:r>
    </w:p>
    <w:p w14:paraId="19E272FF" w14:textId="63F12693" w:rsidR="00C4571A" w:rsidRPr="003C2BC2" w:rsidRDefault="00C4571A" w:rsidP="00C4571A">
      <w:pPr>
        <w:ind w:left="426" w:hanging="426"/>
        <w:rPr>
          <w:rFonts w:cs="Times New Roman"/>
          <w:szCs w:val="24"/>
        </w:rPr>
      </w:pPr>
      <w:r w:rsidRPr="003C2BC2">
        <w:t>7.</w:t>
      </w:r>
      <w:r w:rsidRPr="003C2BC2">
        <w:tab/>
        <w:t>Balloons; except balloons for industrial or other professional uses and applications that are not distributed to consumers;</w:t>
      </w:r>
    </w:p>
    <w:p w14:paraId="1F6264E6" w14:textId="3561BDA1" w:rsidR="00C4571A" w:rsidRPr="003C2BC2" w:rsidRDefault="00C4571A" w:rsidP="00C4571A">
      <w:pPr>
        <w:ind w:left="426" w:hanging="426"/>
        <w:rPr>
          <w:rFonts w:cs="Times New Roman"/>
          <w:szCs w:val="24"/>
        </w:rPr>
      </w:pPr>
      <w:r w:rsidRPr="003C2BC2">
        <w:t>8.</w:t>
      </w:r>
      <w:r w:rsidRPr="003C2BC2">
        <w:tab/>
        <w:t>Tobacco products</w:t>
      </w:r>
      <w:r w:rsidRPr="003C2BC2">
        <w:rPr>
          <w:rStyle w:val="FootnoteReference"/>
          <w:rFonts w:cs="Times New Roman"/>
          <w:szCs w:val="24"/>
        </w:rPr>
        <w:footnoteReference w:customMarkFollows="1" w:id="4"/>
        <w:t>1</w:t>
      </w:r>
      <w:r w:rsidRPr="003C2BC2">
        <w:rPr>
          <w:rStyle w:val="FootnoteReference"/>
          <w:rFonts w:cs="Times New Roman"/>
          <w:szCs w:val="24"/>
          <w:vertAlign w:val="baseline"/>
        </w:rPr>
        <w:t>)</w:t>
      </w:r>
      <w:r w:rsidRPr="003C2BC2">
        <w:rPr>
          <w:rStyle w:val="FootnoteReference"/>
        </w:rPr>
        <w:t>)</w:t>
      </w:r>
      <w:r w:rsidRPr="003C2BC2">
        <w:t xml:space="preserve"> with filters and filters intended for use in combination with tobacco products.</w:t>
      </w:r>
    </w:p>
    <w:p w14:paraId="1CC5913E" w14:textId="77777777" w:rsidR="00C4571A" w:rsidRPr="003C2BC2" w:rsidRDefault="00C4571A" w:rsidP="00C4571A">
      <w:pPr>
        <w:sectPr w:rsidR="00C4571A" w:rsidRPr="003C2BC2" w:rsidSect="002B3C19">
          <w:pgSz w:w="11907" w:h="16839"/>
          <w:pgMar w:top="1134" w:right="1417" w:bottom="1134" w:left="1701" w:header="709" w:footer="709" w:gutter="0"/>
          <w:cols w:space="708"/>
          <w:docGrid w:linePitch="360"/>
        </w:sectPr>
      </w:pPr>
    </w:p>
    <w:p w14:paraId="6261A826" w14:textId="77777777" w:rsidR="00C4571A" w:rsidRPr="003C2BC2" w:rsidRDefault="00C4571A" w:rsidP="00AE027E">
      <w:pPr>
        <w:pStyle w:val="AnlageBezeichnernummeriert"/>
        <w:jc w:val="center"/>
      </w:pPr>
    </w:p>
    <w:p w14:paraId="577CB596" w14:textId="03AF9907" w:rsidR="00CD6BA7" w:rsidRPr="003C2BC2" w:rsidRDefault="00CD6BA7" w:rsidP="00A32CAA">
      <w:pPr>
        <w:pStyle w:val="AnlageVerweis"/>
      </w:pPr>
      <w:r w:rsidRPr="003C2BC2">
        <w:t>to Section 12, Section 14(1)</w:t>
      </w:r>
    </w:p>
    <w:p w14:paraId="664F1807" w14:textId="332CADED" w:rsidR="00F23F1E" w:rsidRPr="003C2BC2" w:rsidRDefault="00C4571A" w:rsidP="00A32CAA">
      <w:pPr>
        <w:pStyle w:val="Anlageberschrift"/>
      </w:pPr>
      <w:r w:rsidRPr="003C2BC2">
        <w:t>Recovery of costs by product type</w:t>
      </w:r>
    </w:p>
    <w:tbl>
      <w:tblPr>
        <w:tblpPr w:leftFromText="141" w:rightFromText="141" w:vertAnchor="text" w:horzAnchor="margin" w:tblpX="-441" w:tblpY="461"/>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1298"/>
        <w:gridCol w:w="1418"/>
        <w:gridCol w:w="1417"/>
        <w:gridCol w:w="1560"/>
        <w:gridCol w:w="1559"/>
      </w:tblGrid>
      <w:tr w:rsidR="005B17F4" w:rsidRPr="003C2BC2" w14:paraId="262D5590" w14:textId="77777777" w:rsidTr="00650125">
        <w:tc>
          <w:tcPr>
            <w:tcW w:w="1973" w:type="dxa"/>
            <w:vMerge w:val="restart"/>
            <w:vAlign w:val="center"/>
          </w:tcPr>
          <w:p w14:paraId="0359AAE6" w14:textId="77777777" w:rsidR="00F23F1E" w:rsidRPr="003C2BC2" w:rsidRDefault="00F23F1E" w:rsidP="00650125">
            <w:pPr>
              <w:jc w:val="center"/>
              <w:rPr>
                <w:rFonts w:cs="Times New Roman"/>
                <w:b/>
              </w:rPr>
            </w:pPr>
            <w:r w:rsidRPr="003C2BC2">
              <w:rPr>
                <w:b/>
              </w:rPr>
              <w:t>Product type</w:t>
            </w:r>
          </w:p>
        </w:tc>
        <w:tc>
          <w:tcPr>
            <w:tcW w:w="7252" w:type="dxa"/>
            <w:gridSpan w:val="5"/>
          </w:tcPr>
          <w:p w14:paraId="21FDF1AE" w14:textId="77777777" w:rsidR="00F23F1E" w:rsidRPr="003C2BC2" w:rsidRDefault="00F23F1E" w:rsidP="00650125">
            <w:pPr>
              <w:jc w:val="center"/>
              <w:rPr>
                <w:rFonts w:cs="Times New Roman"/>
                <w:b/>
              </w:rPr>
            </w:pPr>
            <w:r w:rsidRPr="003C2BC2">
              <w:rPr>
                <w:b/>
              </w:rPr>
              <w:t>Cost type</w:t>
            </w:r>
          </w:p>
        </w:tc>
      </w:tr>
      <w:tr w:rsidR="005B17F4" w:rsidRPr="003C2BC2" w14:paraId="584F8E1F" w14:textId="77777777" w:rsidTr="00650125">
        <w:tc>
          <w:tcPr>
            <w:tcW w:w="1973" w:type="dxa"/>
            <w:vMerge/>
          </w:tcPr>
          <w:p w14:paraId="34383561" w14:textId="77777777" w:rsidR="00F23F1E" w:rsidRPr="003C2BC2" w:rsidRDefault="00F23F1E" w:rsidP="00650125">
            <w:pPr>
              <w:rPr>
                <w:rFonts w:cs="Times New Roman"/>
              </w:rPr>
            </w:pPr>
          </w:p>
        </w:tc>
        <w:tc>
          <w:tcPr>
            <w:tcW w:w="1298" w:type="dxa"/>
          </w:tcPr>
          <w:p w14:paraId="6B648953" w14:textId="77777777" w:rsidR="00F23F1E" w:rsidRPr="003C2BC2" w:rsidRDefault="00F23F1E" w:rsidP="00650125">
            <w:pPr>
              <w:jc w:val="center"/>
              <w:rPr>
                <w:rFonts w:cs="Times New Roman"/>
              </w:rPr>
            </w:pPr>
            <w:r w:rsidRPr="003C2BC2">
              <w:t xml:space="preserve">Collection costs </w:t>
            </w:r>
          </w:p>
        </w:tc>
        <w:tc>
          <w:tcPr>
            <w:tcW w:w="1418" w:type="dxa"/>
          </w:tcPr>
          <w:p w14:paraId="0AF5331C" w14:textId="77777777" w:rsidR="00F23F1E" w:rsidRPr="003C2BC2" w:rsidRDefault="00F23F1E" w:rsidP="00650125">
            <w:pPr>
              <w:jc w:val="center"/>
              <w:rPr>
                <w:rFonts w:cs="Times New Roman"/>
              </w:rPr>
            </w:pPr>
            <w:r w:rsidRPr="003C2BC2">
              <w:t>Cleaning costs</w:t>
            </w:r>
          </w:p>
        </w:tc>
        <w:tc>
          <w:tcPr>
            <w:tcW w:w="1417" w:type="dxa"/>
          </w:tcPr>
          <w:p w14:paraId="7BB679AF" w14:textId="77777777" w:rsidR="00F23F1E" w:rsidRPr="003C2BC2" w:rsidRDefault="00F23F1E" w:rsidP="00650125">
            <w:pPr>
              <w:jc w:val="center"/>
              <w:rPr>
                <w:rFonts w:cs="Times New Roman"/>
              </w:rPr>
            </w:pPr>
            <w:r w:rsidRPr="003C2BC2">
              <w:t>Awareness-raising costs</w:t>
            </w:r>
          </w:p>
        </w:tc>
        <w:tc>
          <w:tcPr>
            <w:tcW w:w="1560" w:type="dxa"/>
          </w:tcPr>
          <w:p w14:paraId="2267177A" w14:textId="77777777" w:rsidR="00F23F1E" w:rsidRPr="003C2BC2" w:rsidRDefault="00F23F1E" w:rsidP="00650125">
            <w:pPr>
              <w:jc w:val="center"/>
              <w:rPr>
                <w:rFonts w:cs="Times New Roman"/>
              </w:rPr>
            </w:pPr>
            <w:r w:rsidRPr="003C2BC2">
              <w:t>Data collection and transmission costs</w:t>
            </w:r>
          </w:p>
        </w:tc>
        <w:tc>
          <w:tcPr>
            <w:tcW w:w="1559" w:type="dxa"/>
          </w:tcPr>
          <w:p w14:paraId="67FC622F" w14:textId="77777777" w:rsidR="00F23F1E" w:rsidRPr="003C2BC2" w:rsidRDefault="00F23F1E" w:rsidP="00650125">
            <w:pPr>
              <w:jc w:val="center"/>
              <w:rPr>
                <w:rFonts w:cs="Times New Roman"/>
              </w:rPr>
            </w:pPr>
            <w:r w:rsidRPr="003C2BC2">
              <w:t>Administration costs</w:t>
            </w:r>
          </w:p>
        </w:tc>
      </w:tr>
      <w:tr w:rsidR="005B17F4" w:rsidRPr="003C2BC2" w14:paraId="150DEBFE" w14:textId="77777777" w:rsidTr="00650125">
        <w:tc>
          <w:tcPr>
            <w:tcW w:w="1973" w:type="dxa"/>
          </w:tcPr>
          <w:p w14:paraId="7F0C2E6C" w14:textId="77777777" w:rsidR="00B90AD1" w:rsidRPr="003C2BC2" w:rsidRDefault="00F23F1E" w:rsidP="00650125">
            <w:pPr>
              <w:jc w:val="left"/>
              <w:rPr>
                <w:rFonts w:cs="Times New Roman"/>
                <w:sz w:val="18"/>
                <w:szCs w:val="18"/>
              </w:rPr>
            </w:pPr>
            <w:r w:rsidRPr="003C2BC2">
              <w:rPr>
                <w:sz w:val="18"/>
              </w:rPr>
              <w:t>Food containers (Annex 1, point 1)</w:t>
            </w:r>
          </w:p>
        </w:tc>
        <w:tc>
          <w:tcPr>
            <w:tcW w:w="1298" w:type="dxa"/>
            <w:vAlign w:val="center"/>
          </w:tcPr>
          <w:p w14:paraId="115DEC68" w14:textId="77777777" w:rsidR="00F23F1E" w:rsidRPr="003C2BC2" w:rsidRDefault="00F23F1E" w:rsidP="00650125">
            <w:pPr>
              <w:jc w:val="center"/>
              <w:rPr>
                <w:rFonts w:cs="Times New Roman"/>
                <w:b/>
                <w:sz w:val="24"/>
                <w:szCs w:val="24"/>
              </w:rPr>
            </w:pPr>
            <w:r w:rsidRPr="003C2BC2">
              <w:rPr>
                <w:b/>
                <w:sz w:val="24"/>
              </w:rPr>
              <w:t>X</w:t>
            </w:r>
          </w:p>
        </w:tc>
        <w:tc>
          <w:tcPr>
            <w:tcW w:w="1418" w:type="dxa"/>
            <w:vAlign w:val="center"/>
          </w:tcPr>
          <w:p w14:paraId="5B431F55" w14:textId="77777777" w:rsidR="00F23F1E" w:rsidRPr="003C2BC2" w:rsidRDefault="00F23F1E" w:rsidP="00650125">
            <w:pPr>
              <w:jc w:val="center"/>
              <w:rPr>
                <w:rFonts w:cs="Times New Roman"/>
                <w:b/>
                <w:sz w:val="24"/>
                <w:szCs w:val="24"/>
              </w:rPr>
            </w:pPr>
            <w:r w:rsidRPr="003C2BC2">
              <w:rPr>
                <w:b/>
                <w:sz w:val="24"/>
              </w:rPr>
              <w:t>X</w:t>
            </w:r>
          </w:p>
        </w:tc>
        <w:tc>
          <w:tcPr>
            <w:tcW w:w="1417" w:type="dxa"/>
            <w:vAlign w:val="center"/>
          </w:tcPr>
          <w:p w14:paraId="3915D9A5" w14:textId="77777777" w:rsidR="00F23F1E" w:rsidRPr="003C2BC2" w:rsidRDefault="00F23F1E" w:rsidP="00650125">
            <w:pPr>
              <w:jc w:val="center"/>
              <w:rPr>
                <w:rFonts w:cs="Times New Roman"/>
                <w:b/>
                <w:sz w:val="24"/>
                <w:szCs w:val="24"/>
              </w:rPr>
            </w:pPr>
            <w:r w:rsidRPr="003C2BC2">
              <w:rPr>
                <w:b/>
                <w:sz w:val="24"/>
              </w:rPr>
              <w:t>X</w:t>
            </w:r>
          </w:p>
        </w:tc>
        <w:tc>
          <w:tcPr>
            <w:tcW w:w="1560" w:type="dxa"/>
            <w:vAlign w:val="center"/>
          </w:tcPr>
          <w:p w14:paraId="164B59A6" w14:textId="77777777" w:rsidR="00F23F1E" w:rsidRPr="003C2BC2" w:rsidRDefault="00F23F1E" w:rsidP="00650125">
            <w:pPr>
              <w:jc w:val="center"/>
              <w:rPr>
                <w:rFonts w:cs="Times New Roman"/>
                <w:b/>
                <w:sz w:val="24"/>
                <w:szCs w:val="24"/>
              </w:rPr>
            </w:pPr>
            <w:r w:rsidRPr="003C2BC2">
              <w:rPr>
                <w:b/>
                <w:sz w:val="24"/>
              </w:rPr>
              <w:t>X</w:t>
            </w:r>
          </w:p>
        </w:tc>
        <w:tc>
          <w:tcPr>
            <w:tcW w:w="1559" w:type="dxa"/>
            <w:vAlign w:val="center"/>
          </w:tcPr>
          <w:p w14:paraId="63BAEC73" w14:textId="77777777" w:rsidR="00F23F1E" w:rsidRPr="003C2BC2" w:rsidRDefault="00F23F1E" w:rsidP="00650125">
            <w:pPr>
              <w:jc w:val="center"/>
              <w:rPr>
                <w:rFonts w:cs="Times New Roman"/>
                <w:b/>
                <w:sz w:val="24"/>
                <w:szCs w:val="24"/>
              </w:rPr>
            </w:pPr>
            <w:r w:rsidRPr="003C2BC2">
              <w:rPr>
                <w:b/>
                <w:sz w:val="24"/>
              </w:rPr>
              <w:t>X</w:t>
            </w:r>
          </w:p>
        </w:tc>
      </w:tr>
      <w:tr w:rsidR="005B17F4" w:rsidRPr="003C2BC2" w14:paraId="2A4FE64D" w14:textId="77777777" w:rsidTr="00650125">
        <w:tc>
          <w:tcPr>
            <w:tcW w:w="1973" w:type="dxa"/>
          </w:tcPr>
          <w:p w14:paraId="52233E8C" w14:textId="77777777" w:rsidR="00B90AD1" w:rsidRPr="003C2BC2" w:rsidRDefault="00F23F1E" w:rsidP="00650125">
            <w:pPr>
              <w:jc w:val="left"/>
              <w:rPr>
                <w:rFonts w:cs="Times New Roman"/>
                <w:sz w:val="18"/>
                <w:szCs w:val="18"/>
              </w:rPr>
            </w:pPr>
            <w:r w:rsidRPr="003C2BC2">
              <w:rPr>
                <w:sz w:val="18"/>
              </w:rPr>
              <w:t>Packers and wrappers (Annex 1, point 2)</w:t>
            </w:r>
          </w:p>
        </w:tc>
        <w:tc>
          <w:tcPr>
            <w:tcW w:w="1298" w:type="dxa"/>
            <w:vAlign w:val="center"/>
          </w:tcPr>
          <w:p w14:paraId="2D236172" w14:textId="77777777" w:rsidR="00F23F1E" w:rsidRPr="003C2BC2" w:rsidRDefault="00F23F1E" w:rsidP="00650125">
            <w:pPr>
              <w:jc w:val="center"/>
              <w:rPr>
                <w:rFonts w:cs="Times New Roman"/>
                <w:b/>
                <w:sz w:val="24"/>
                <w:szCs w:val="24"/>
              </w:rPr>
            </w:pPr>
            <w:r w:rsidRPr="003C2BC2">
              <w:rPr>
                <w:b/>
                <w:sz w:val="24"/>
              </w:rPr>
              <w:t>X</w:t>
            </w:r>
          </w:p>
        </w:tc>
        <w:tc>
          <w:tcPr>
            <w:tcW w:w="1418" w:type="dxa"/>
            <w:vAlign w:val="center"/>
          </w:tcPr>
          <w:p w14:paraId="415E0B0F" w14:textId="77777777" w:rsidR="00F23F1E" w:rsidRPr="003C2BC2" w:rsidRDefault="00F23F1E" w:rsidP="00650125">
            <w:pPr>
              <w:jc w:val="center"/>
              <w:rPr>
                <w:rFonts w:cs="Times New Roman"/>
                <w:b/>
                <w:sz w:val="24"/>
                <w:szCs w:val="24"/>
              </w:rPr>
            </w:pPr>
            <w:r w:rsidRPr="003C2BC2">
              <w:rPr>
                <w:b/>
                <w:sz w:val="24"/>
              </w:rPr>
              <w:t>X</w:t>
            </w:r>
          </w:p>
        </w:tc>
        <w:tc>
          <w:tcPr>
            <w:tcW w:w="1417" w:type="dxa"/>
            <w:vAlign w:val="center"/>
          </w:tcPr>
          <w:p w14:paraId="4FDB2493" w14:textId="77777777" w:rsidR="00F23F1E" w:rsidRPr="003C2BC2" w:rsidRDefault="00F23F1E" w:rsidP="00650125">
            <w:pPr>
              <w:jc w:val="center"/>
              <w:rPr>
                <w:rFonts w:cs="Times New Roman"/>
                <w:b/>
                <w:sz w:val="24"/>
                <w:szCs w:val="24"/>
              </w:rPr>
            </w:pPr>
            <w:r w:rsidRPr="003C2BC2">
              <w:rPr>
                <w:b/>
                <w:sz w:val="24"/>
              </w:rPr>
              <w:t>X</w:t>
            </w:r>
          </w:p>
        </w:tc>
        <w:tc>
          <w:tcPr>
            <w:tcW w:w="1560" w:type="dxa"/>
            <w:vAlign w:val="center"/>
          </w:tcPr>
          <w:p w14:paraId="25170B59" w14:textId="77777777" w:rsidR="00F23F1E" w:rsidRPr="003C2BC2" w:rsidRDefault="00F23F1E" w:rsidP="00650125">
            <w:pPr>
              <w:jc w:val="center"/>
              <w:rPr>
                <w:rFonts w:cs="Times New Roman"/>
                <w:b/>
                <w:sz w:val="24"/>
                <w:szCs w:val="24"/>
              </w:rPr>
            </w:pPr>
            <w:r w:rsidRPr="003C2BC2">
              <w:rPr>
                <w:b/>
                <w:sz w:val="24"/>
              </w:rPr>
              <w:t>X</w:t>
            </w:r>
          </w:p>
        </w:tc>
        <w:tc>
          <w:tcPr>
            <w:tcW w:w="1559" w:type="dxa"/>
            <w:vAlign w:val="center"/>
          </w:tcPr>
          <w:p w14:paraId="001B170C" w14:textId="77777777" w:rsidR="00F23F1E" w:rsidRPr="003C2BC2" w:rsidRDefault="00F23F1E" w:rsidP="00650125">
            <w:pPr>
              <w:jc w:val="center"/>
              <w:rPr>
                <w:rFonts w:cs="Times New Roman"/>
                <w:b/>
                <w:sz w:val="24"/>
                <w:szCs w:val="24"/>
              </w:rPr>
            </w:pPr>
            <w:r w:rsidRPr="003C2BC2">
              <w:rPr>
                <w:b/>
                <w:sz w:val="24"/>
              </w:rPr>
              <w:t>X</w:t>
            </w:r>
          </w:p>
        </w:tc>
      </w:tr>
      <w:tr w:rsidR="005B17F4" w:rsidRPr="003C2BC2" w14:paraId="5115B262" w14:textId="77777777" w:rsidTr="00650125">
        <w:tc>
          <w:tcPr>
            <w:tcW w:w="1973" w:type="dxa"/>
          </w:tcPr>
          <w:p w14:paraId="5642E1A1" w14:textId="6416D163" w:rsidR="00F23F1E" w:rsidRPr="003C2BC2" w:rsidRDefault="00F23F1E" w:rsidP="00650125">
            <w:pPr>
              <w:jc w:val="left"/>
              <w:rPr>
                <w:rFonts w:cs="Times New Roman"/>
                <w:sz w:val="18"/>
                <w:szCs w:val="18"/>
              </w:rPr>
            </w:pPr>
            <w:r w:rsidRPr="003C2BC2">
              <w:rPr>
                <w:sz w:val="18"/>
              </w:rPr>
              <w:t>Beverage containers (Annex 1, point 3)</w:t>
            </w:r>
          </w:p>
        </w:tc>
        <w:tc>
          <w:tcPr>
            <w:tcW w:w="1298" w:type="dxa"/>
            <w:vAlign w:val="center"/>
          </w:tcPr>
          <w:p w14:paraId="5ED6B48E" w14:textId="77777777" w:rsidR="00F23F1E" w:rsidRPr="003C2BC2" w:rsidRDefault="00F23F1E" w:rsidP="00650125">
            <w:pPr>
              <w:jc w:val="center"/>
              <w:rPr>
                <w:rFonts w:cs="Times New Roman"/>
                <w:b/>
                <w:sz w:val="24"/>
                <w:szCs w:val="24"/>
              </w:rPr>
            </w:pPr>
            <w:r w:rsidRPr="003C2BC2">
              <w:rPr>
                <w:b/>
                <w:sz w:val="24"/>
              </w:rPr>
              <w:t>X</w:t>
            </w:r>
          </w:p>
        </w:tc>
        <w:tc>
          <w:tcPr>
            <w:tcW w:w="1418" w:type="dxa"/>
            <w:vAlign w:val="center"/>
          </w:tcPr>
          <w:p w14:paraId="6DD987F8" w14:textId="77777777" w:rsidR="00F23F1E" w:rsidRPr="003C2BC2" w:rsidRDefault="00F23F1E" w:rsidP="00650125">
            <w:pPr>
              <w:jc w:val="center"/>
              <w:rPr>
                <w:rFonts w:cs="Times New Roman"/>
                <w:b/>
                <w:sz w:val="24"/>
                <w:szCs w:val="24"/>
              </w:rPr>
            </w:pPr>
            <w:r w:rsidRPr="003C2BC2">
              <w:rPr>
                <w:b/>
                <w:sz w:val="24"/>
              </w:rPr>
              <w:t>X</w:t>
            </w:r>
          </w:p>
        </w:tc>
        <w:tc>
          <w:tcPr>
            <w:tcW w:w="1417" w:type="dxa"/>
            <w:vAlign w:val="center"/>
          </w:tcPr>
          <w:p w14:paraId="4D4233DF" w14:textId="77777777" w:rsidR="00F23F1E" w:rsidRPr="003C2BC2" w:rsidRDefault="00F23F1E" w:rsidP="00650125">
            <w:pPr>
              <w:jc w:val="center"/>
              <w:rPr>
                <w:rFonts w:cs="Times New Roman"/>
                <w:b/>
                <w:sz w:val="24"/>
                <w:szCs w:val="24"/>
              </w:rPr>
            </w:pPr>
            <w:r w:rsidRPr="003C2BC2">
              <w:rPr>
                <w:b/>
                <w:sz w:val="24"/>
              </w:rPr>
              <w:t>X</w:t>
            </w:r>
          </w:p>
        </w:tc>
        <w:tc>
          <w:tcPr>
            <w:tcW w:w="1560" w:type="dxa"/>
            <w:vAlign w:val="center"/>
          </w:tcPr>
          <w:p w14:paraId="7FCCD8BC" w14:textId="77777777" w:rsidR="00F23F1E" w:rsidRPr="003C2BC2" w:rsidRDefault="00F23F1E" w:rsidP="00650125">
            <w:pPr>
              <w:jc w:val="center"/>
              <w:rPr>
                <w:rFonts w:cs="Times New Roman"/>
                <w:b/>
                <w:sz w:val="24"/>
                <w:szCs w:val="24"/>
              </w:rPr>
            </w:pPr>
            <w:r w:rsidRPr="003C2BC2">
              <w:rPr>
                <w:b/>
                <w:sz w:val="24"/>
              </w:rPr>
              <w:t>X</w:t>
            </w:r>
          </w:p>
        </w:tc>
        <w:tc>
          <w:tcPr>
            <w:tcW w:w="1559" w:type="dxa"/>
            <w:vAlign w:val="center"/>
          </w:tcPr>
          <w:p w14:paraId="70A3A59F" w14:textId="77777777" w:rsidR="00F23F1E" w:rsidRPr="003C2BC2" w:rsidRDefault="00F23F1E" w:rsidP="00650125">
            <w:pPr>
              <w:jc w:val="center"/>
              <w:rPr>
                <w:rFonts w:cs="Times New Roman"/>
                <w:b/>
                <w:sz w:val="24"/>
                <w:szCs w:val="24"/>
              </w:rPr>
            </w:pPr>
            <w:r w:rsidRPr="003C2BC2">
              <w:rPr>
                <w:b/>
                <w:sz w:val="24"/>
              </w:rPr>
              <w:t>X</w:t>
            </w:r>
          </w:p>
        </w:tc>
      </w:tr>
      <w:tr w:rsidR="00D76F46" w:rsidRPr="003C2BC2" w14:paraId="77706447" w14:textId="77777777" w:rsidTr="00650125">
        <w:tc>
          <w:tcPr>
            <w:tcW w:w="1973" w:type="dxa"/>
          </w:tcPr>
          <w:p w14:paraId="1DE09DE9" w14:textId="1CA5EF8C" w:rsidR="00D76F46" w:rsidRPr="003C2BC2" w:rsidRDefault="00D76F46" w:rsidP="00650125">
            <w:pPr>
              <w:jc w:val="left"/>
              <w:rPr>
                <w:rFonts w:cs="Times New Roman"/>
                <w:sz w:val="18"/>
                <w:szCs w:val="18"/>
              </w:rPr>
            </w:pPr>
            <w:r w:rsidRPr="003C2BC2">
              <w:rPr>
                <w:sz w:val="18"/>
              </w:rPr>
              <w:t>Beverage bottles on which a deposit is charged under Section 31 of the Packaging Act (Annex 1, point 3)</w:t>
            </w:r>
          </w:p>
        </w:tc>
        <w:tc>
          <w:tcPr>
            <w:tcW w:w="1298" w:type="dxa"/>
            <w:vAlign w:val="center"/>
          </w:tcPr>
          <w:p w14:paraId="4D16ACE4" w14:textId="15E40FD1" w:rsidR="00D76F46" w:rsidRPr="003C2BC2" w:rsidRDefault="00D76F46" w:rsidP="00650125">
            <w:pPr>
              <w:jc w:val="center"/>
              <w:rPr>
                <w:rFonts w:cs="Times New Roman"/>
                <w:b/>
                <w:sz w:val="24"/>
                <w:szCs w:val="24"/>
              </w:rPr>
            </w:pPr>
            <w:r w:rsidRPr="003C2BC2">
              <w:rPr>
                <w:b/>
                <w:sz w:val="24"/>
              </w:rPr>
              <w:t>X</w:t>
            </w:r>
          </w:p>
        </w:tc>
        <w:tc>
          <w:tcPr>
            <w:tcW w:w="1418" w:type="dxa"/>
            <w:vAlign w:val="center"/>
          </w:tcPr>
          <w:p w14:paraId="79F377F9" w14:textId="56E75567" w:rsidR="00D76F46" w:rsidRPr="003C2BC2" w:rsidRDefault="00D76F46" w:rsidP="00650125">
            <w:pPr>
              <w:jc w:val="center"/>
              <w:rPr>
                <w:rFonts w:cs="Times New Roman"/>
                <w:b/>
                <w:sz w:val="24"/>
                <w:szCs w:val="24"/>
              </w:rPr>
            </w:pPr>
            <w:r w:rsidRPr="003C2BC2">
              <w:rPr>
                <w:b/>
                <w:sz w:val="24"/>
              </w:rPr>
              <w:t>X</w:t>
            </w:r>
          </w:p>
        </w:tc>
        <w:tc>
          <w:tcPr>
            <w:tcW w:w="1417" w:type="dxa"/>
            <w:vAlign w:val="center"/>
          </w:tcPr>
          <w:p w14:paraId="0C4E80CC" w14:textId="466331C6" w:rsidR="00D76F46" w:rsidRPr="003C2BC2" w:rsidRDefault="00D76F46" w:rsidP="00650125">
            <w:pPr>
              <w:jc w:val="center"/>
              <w:rPr>
                <w:rFonts w:cs="Times New Roman"/>
                <w:b/>
                <w:sz w:val="24"/>
                <w:szCs w:val="24"/>
              </w:rPr>
            </w:pPr>
            <w:r w:rsidRPr="003C2BC2">
              <w:rPr>
                <w:b/>
                <w:sz w:val="24"/>
              </w:rPr>
              <w:t>X</w:t>
            </w:r>
          </w:p>
        </w:tc>
        <w:tc>
          <w:tcPr>
            <w:tcW w:w="1560" w:type="dxa"/>
            <w:vAlign w:val="center"/>
          </w:tcPr>
          <w:p w14:paraId="3AAFD6F8" w14:textId="5316CC6D" w:rsidR="00D76F46" w:rsidRPr="003C2BC2" w:rsidRDefault="00D76F46" w:rsidP="00650125">
            <w:pPr>
              <w:jc w:val="center"/>
              <w:rPr>
                <w:rFonts w:cs="Times New Roman"/>
                <w:b/>
                <w:sz w:val="24"/>
                <w:szCs w:val="24"/>
              </w:rPr>
            </w:pPr>
            <w:r w:rsidRPr="003C2BC2">
              <w:rPr>
                <w:b/>
                <w:sz w:val="24"/>
              </w:rPr>
              <w:t>X</w:t>
            </w:r>
          </w:p>
        </w:tc>
        <w:tc>
          <w:tcPr>
            <w:tcW w:w="1559" w:type="dxa"/>
            <w:vAlign w:val="center"/>
          </w:tcPr>
          <w:p w14:paraId="06D6BF2A" w14:textId="678C773F" w:rsidR="00D76F46" w:rsidRPr="003C2BC2" w:rsidRDefault="00D76F46" w:rsidP="00650125">
            <w:pPr>
              <w:jc w:val="center"/>
              <w:rPr>
                <w:rFonts w:cs="Times New Roman"/>
                <w:b/>
                <w:sz w:val="24"/>
                <w:szCs w:val="24"/>
              </w:rPr>
            </w:pPr>
            <w:r w:rsidRPr="003C2BC2">
              <w:rPr>
                <w:b/>
                <w:sz w:val="24"/>
              </w:rPr>
              <w:t>X</w:t>
            </w:r>
          </w:p>
        </w:tc>
      </w:tr>
      <w:tr w:rsidR="005B17F4" w:rsidRPr="003C2BC2" w14:paraId="06E9A9C4" w14:textId="77777777" w:rsidTr="00650125">
        <w:tc>
          <w:tcPr>
            <w:tcW w:w="1973" w:type="dxa"/>
          </w:tcPr>
          <w:p w14:paraId="4869298D" w14:textId="77777777" w:rsidR="00F23F1E" w:rsidRPr="003C2BC2" w:rsidRDefault="00F23F1E" w:rsidP="00650125">
            <w:pPr>
              <w:jc w:val="left"/>
              <w:rPr>
                <w:rFonts w:cs="Times New Roman"/>
                <w:sz w:val="18"/>
                <w:szCs w:val="18"/>
              </w:rPr>
            </w:pPr>
            <w:r w:rsidRPr="003C2BC2">
              <w:rPr>
                <w:sz w:val="18"/>
              </w:rPr>
              <w:t>Beverage cups (Annex 1, point 4)</w:t>
            </w:r>
          </w:p>
        </w:tc>
        <w:tc>
          <w:tcPr>
            <w:tcW w:w="1298" w:type="dxa"/>
            <w:vAlign w:val="center"/>
          </w:tcPr>
          <w:p w14:paraId="056BD8CC" w14:textId="77777777" w:rsidR="00F23F1E" w:rsidRPr="003C2BC2" w:rsidRDefault="00F23F1E" w:rsidP="00650125">
            <w:pPr>
              <w:jc w:val="center"/>
              <w:rPr>
                <w:rFonts w:cs="Times New Roman"/>
                <w:b/>
                <w:sz w:val="24"/>
                <w:szCs w:val="24"/>
              </w:rPr>
            </w:pPr>
            <w:r w:rsidRPr="003C2BC2">
              <w:rPr>
                <w:b/>
                <w:sz w:val="24"/>
              </w:rPr>
              <w:t>X</w:t>
            </w:r>
          </w:p>
        </w:tc>
        <w:tc>
          <w:tcPr>
            <w:tcW w:w="1418" w:type="dxa"/>
            <w:vAlign w:val="center"/>
          </w:tcPr>
          <w:p w14:paraId="1568C408" w14:textId="77777777" w:rsidR="00F23F1E" w:rsidRPr="003C2BC2" w:rsidRDefault="00F23F1E" w:rsidP="00650125">
            <w:pPr>
              <w:jc w:val="center"/>
              <w:rPr>
                <w:rFonts w:cs="Times New Roman"/>
                <w:b/>
                <w:sz w:val="24"/>
                <w:szCs w:val="24"/>
              </w:rPr>
            </w:pPr>
            <w:r w:rsidRPr="003C2BC2">
              <w:rPr>
                <w:b/>
                <w:sz w:val="24"/>
              </w:rPr>
              <w:t>X</w:t>
            </w:r>
          </w:p>
        </w:tc>
        <w:tc>
          <w:tcPr>
            <w:tcW w:w="1417" w:type="dxa"/>
            <w:vAlign w:val="center"/>
          </w:tcPr>
          <w:p w14:paraId="6F352A0A" w14:textId="77777777" w:rsidR="00F23F1E" w:rsidRPr="003C2BC2" w:rsidRDefault="00F23F1E" w:rsidP="00650125">
            <w:pPr>
              <w:jc w:val="center"/>
              <w:rPr>
                <w:rFonts w:cs="Times New Roman"/>
                <w:b/>
                <w:sz w:val="24"/>
                <w:szCs w:val="24"/>
              </w:rPr>
            </w:pPr>
            <w:r w:rsidRPr="003C2BC2">
              <w:rPr>
                <w:b/>
                <w:sz w:val="24"/>
              </w:rPr>
              <w:t>X</w:t>
            </w:r>
          </w:p>
        </w:tc>
        <w:tc>
          <w:tcPr>
            <w:tcW w:w="1560" w:type="dxa"/>
            <w:vAlign w:val="center"/>
          </w:tcPr>
          <w:p w14:paraId="659AB83E" w14:textId="77777777" w:rsidR="00F23F1E" w:rsidRPr="003C2BC2" w:rsidRDefault="00F23F1E" w:rsidP="00650125">
            <w:pPr>
              <w:jc w:val="center"/>
              <w:rPr>
                <w:rFonts w:cs="Times New Roman"/>
                <w:b/>
                <w:sz w:val="24"/>
                <w:szCs w:val="24"/>
              </w:rPr>
            </w:pPr>
            <w:r w:rsidRPr="003C2BC2">
              <w:rPr>
                <w:b/>
                <w:sz w:val="24"/>
              </w:rPr>
              <w:t>X</w:t>
            </w:r>
          </w:p>
        </w:tc>
        <w:tc>
          <w:tcPr>
            <w:tcW w:w="1559" w:type="dxa"/>
            <w:vAlign w:val="center"/>
          </w:tcPr>
          <w:p w14:paraId="7B9B110A" w14:textId="77777777" w:rsidR="00F23F1E" w:rsidRPr="003C2BC2" w:rsidRDefault="00F23F1E" w:rsidP="00650125">
            <w:pPr>
              <w:jc w:val="center"/>
              <w:rPr>
                <w:rFonts w:cs="Times New Roman"/>
                <w:b/>
                <w:sz w:val="24"/>
                <w:szCs w:val="24"/>
              </w:rPr>
            </w:pPr>
            <w:r w:rsidRPr="003C2BC2">
              <w:rPr>
                <w:b/>
                <w:sz w:val="24"/>
              </w:rPr>
              <w:t>X</w:t>
            </w:r>
          </w:p>
        </w:tc>
      </w:tr>
      <w:tr w:rsidR="005B17F4" w:rsidRPr="003C2BC2" w14:paraId="2918336D" w14:textId="77777777" w:rsidTr="00650125">
        <w:tc>
          <w:tcPr>
            <w:tcW w:w="1973" w:type="dxa"/>
          </w:tcPr>
          <w:p w14:paraId="4D2284DE" w14:textId="07F95591" w:rsidR="00B90AD1" w:rsidRPr="003C2BC2" w:rsidRDefault="00F23F1E" w:rsidP="00650125">
            <w:pPr>
              <w:jc w:val="left"/>
              <w:rPr>
                <w:rFonts w:cs="Times New Roman"/>
                <w:sz w:val="18"/>
                <w:szCs w:val="18"/>
              </w:rPr>
            </w:pPr>
            <w:r w:rsidRPr="003C2BC2">
              <w:rPr>
                <w:sz w:val="18"/>
              </w:rPr>
              <w:t>Lightweight plastic carrier bags (Annex 1, point 5)</w:t>
            </w:r>
          </w:p>
        </w:tc>
        <w:tc>
          <w:tcPr>
            <w:tcW w:w="1298" w:type="dxa"/>
            <w:vAlign w:val="center"/>
          </w:tcPr>
          <w:p w14:paraId="4050091F" w14:textId="77777777" w:rsidR="00F23F1E" w:rsidRPr="003C2BC2" w:rsidRDefault="00F23F1E" w:rsidP="00650125">
            <w:pPr>
              <w:jc w:val="center"/>
              <w:rPr>
                <w:rFonts w:cs="Times New Roman"/>
                <w:b/>
                <w:sz w:val="24"/>
                <w:szCs w:val="24"/>
              </w:rPr>
            </w:pPr>
            <w:r w:rsidRPr="003C2BC2">
              <w:rPr>
                <w:b/>
                <w:sz w:val="24"/>
              </w:rPr>
              <w:t>X</w:t>
            </w:r>
          </w:p>
        </w:tc>
        <w:tc>
          <w:tcPr>
            <w:tcW w:w="1418" w:type="dxa"/>
            <w:vAlign w:val="center"/>
          </w:tcPr>
          <w:p w14:paraId="597AC73F" w14:textId="77777777" w:rsidR="00F23F1E" w:rsidRPr="003C2BC2" w:rsidRDefault="00F23F1E" w:rsidP="00650125">
            <w:pPr>
              <w:jc w:val="center"/>
              <w:rPr>
                <w:rFonts w:cs="Times New Roman"/>
                <w:b/>
                <w:sz w:val="24"/>
                <w:szCs w:val="24"/>
              </w:rPr>
            </w:pPr>
            <w:r w:rsidRPr="003C2BC2">
              <w:rPr>
                <w:b/>
                <w:sz w:val="24"/>
              </w:rPr>
              <w:t>X</w:t>
            </w:r>
          </w:p>
        </w:tc>
        <w:tc>
          <w:tcPr>
            <w:tcW w:w="1417" w:type="dxa"/>
            <w:vAlign w:val="center"/>
          </w:tcPr>
          <w:p w14:paraId="563AA5AF" w14:textId="77777777" w:rsidR="00F23F1E" w:rsidRPr="003C2BC2" w:rsidRDefault="00F23F1E" w:rsidP="00650125">
            <w:pPr>
              <w:jc w:val="center"/>
              <w:rPr>
                <w:rFonts w:cs="Times New Roman"/>
                <w:b/>
                <w:sz w:val="24"/>
                <w:szCs w:val="24"/>
              </w:rPr>
            </w:pPr>
            <w:r w:rsidRPr="003C2BC2">
              <w:rPr>
                <w:b/>
                <w:sz w:val="24"/>
              </w:rPr>
              <w:t>X</w:t>
            </w:r>
          </w:p>
        </w:tc>
        <w:tc>
          <w:tcPr>
            <w:tcW w:w="1560" w:type="dxa"/>
            <w:vAlign w:val="center"/>
          </w:tcPr>
          <w:p w14:paraId="22F316B3" w14:textId="77777777" w:rsidR="00F23F1E" w:rsidRPr="003C2BC2" w:rsidRDefault="00F23F1E" w:rsidP="00650125">
            <w:pPr>
              <w:jc w:val="center"/>
              <w:rPr>
                <w:rFonts w:cs="Times New Roman"/>
                <w:b/>
                <w:sz w:val="24"/>
                <w:szCs w:val="24"/>
              </w:rPr>
            </w:pPr>
            <w:r w:rsidRPr="003C2BC2">
              <w:rPr>
                <w:b/>
                <w:sz w:val="24"/>
              </w:rPr>
              <w:t>X</w:t>
            </w:r>
          </w:p>
        </w:tc>
        <w:tc>
          <w:tcPr>
            <w:tcW w:w="1559" w:type="dxa"/>
            <w:vAlign w:val="center"/>
          </w:tcPr>
          <w:p w14:paraId="62BA889F" w14:textId="77777777" w:rsidR="00F23F1E" w:rsidRPr="003C2BC2" w:rsidRDefault="00F23F1E" w:rsidP="00650125">
            <w:pPr>
              <w:jc w:val="center"/>
              <w:rPr>
                <w:rFonts w:cs="Times New Roman"/>
                <w:b/>
                <w:sz w:val="24"/>
                <w:szCs w:val="24"/>
              </w:rPr>
            </w:pPr>
            <w:r w:rsidRPr="003C2BC2">
              <w:rPr>
                <w:b/>
                <w:sz w:val="24"/>
              </w:rPr>
              <w:t>X</w:t>
            </w:r>
          </w:p>
        </w:tc>
      </w:tr>
      <w:tr w:rsidR="005B17F4" w:rsidRPr="003C2BC2" w14:paraId="578BF0EA" w14:textId="77777777" w:rsidTr="00650125">
        <w:tc>
          <w:tcPr>
            <w:tcW w:w="1973" w:type="dxa"/>
          </w:tcPr>
          <w:p w14:paraId="20799326" w14:textId="77777777" w:rsidR="00F23F1E" w:rsidRPr="003C2BC2" w:rsidRDefault="00F23F1E" w:rsidP="00650125">
            <w:pPr>
              <w:jc w:val="left"/>
              <w:rPr>
                <w:rFonts w:cs="Times New Roman"/>
                <w:sz w:val="18"/>
                <w:szCs w:val="18"/>
              </w:rPr>
            </w:pPr>
            <w:r w:rsidRPr="003C2BC2">
              <w:rPr>
                <w:sz w:val="18"/>
              </w:rPr>
              <w:t>Wet wipes (Annex 1, point 6)</w:t>
            </w:r>
          </w:p>
        </w:tc>
        <w:tc>
          <w:tcPr>
            <w:tcW w:w="1298" w:type="dxa"/>
            <w:vAlign w:val="center"/>
          </w:tcPr>
          <w:p w14:paraId="730ED545" w14:textId="77777777" w:rsidR="00F23F1E" w:rsidRPr="003C2BC2" w:rsidRDefault="00F23F1E" w:rsidP="00650125">
            <w:pPr>
              <w:jc w:val="center"/>
              <w:rPr>
                <w:rFonts w:cs="Times New Roman"/>
                <w:b/>
                <w:sz w:val="24"/>
                <w:szCs w:val="24"/>
              </w:rPr>
            </w:pPr>
          </w:p>
        </w:tc>
        <w:tc>
          <w:tcPr>
            <w:tcW w:w="1418" w:type="dxa"/>
            <w:vAlign w:val="center"/>
          </w:tcPr>
          <w:p w14:paraId="1B18A850" w14:textId="77777777" w:rsidR="00F23F1E" w:rsidRPr="003C2BC2" w:rsidRDefault="00F23F1E" w:rsidP="00650125">
            <w:pPr>
              <w:jc w:val="center"/>
              <w:rPr>
                <w:rFonts w:cs="Times New Roman"/>
                <w:b/>
                <w:sz w:val="24"/>
                <w:szCs w:val="24"/>
              </w:rPr>
            </w:pPr>
            <w:r w:rsidRPr="003C2BC2">
              <w:rPr>
                <w:b/>
                <w:sz w:val="24"/>
              </w:rPr>
              <w:t>X</w:t>
            </w:r>
          </w:p>
        </w:tc>
        <w:tc>
          <w:tcPr>
            <w:tcW w:w="1417" w:type="dxa"/>
            <w:vAlign w:val="center"/>
          </w:tcPr>
          <w:p w14:paraId="1BFDBC70" w14:textId="77777777" w:rsidR="00F23F1E" w:rsidRPr="003C2BC2" w:rsidRDefault="00F23F1E" w:rsidP="00650125">
            <w:pPr>
              <w:jc w:val="center"/>
              <w:rPr>
                <w:rFonts w:cs="Times New Roman"/>
                <w:b/>
                <w:sz w:val="24"/>
                <w:szCs w:val="24"/>
              </w:rPr>
            </w:pPr>
            <w:r w:rsidRPr="003C2BC2">
              <w:rPr>
                <w:b/>
                <w:sz w:val="24"/>
              </w:rPr>
              <w:t>X</w:t>
            </w:r>
          </w:p>
        </w:tc>
        <w:tc>
          <w:tcPr>
            <w:tcW w:w="1560" w:type="dxa"/>
            <w:vAlign w:val="center"/>
          </w:tcPr>
          <w:p w14:paraId="7032D114" w14:textId="77777777" w:rsidR="00F23F1E" w:rsidRPr="003C2BC2" w:rsidRDefault="00F23F1E" w:rsidP="00650125">
            <w:pPr>
              <w:jc w:val="center"/>
              <w:rPr>
                <w:rFonts w:cs="Times New Roman"/>
                <w:b/>
                <w:sz w:val="24"/>
                <w:szCs w:val="24"/>
              </w:rPr>
            </w:pPr>
            <w:r w:rsidRPr="003C2BC2">
              <w:rPr>
                <w:b/>
                <w:sz w:val="24"/>
              </w:rPr>
              <w:t>X</w:t>
            </w:r>
          </w:p>
        </w:tc>
        <w:tc>
          <w:tcPr>
            <w:tcW w:w="1559" w:type="dxa"/>
            <w:vAlign w:val="center"/>
          </w:tcPr>
          <w:p w14:paraId="688BD58A" w14:textId="77777777" w:rsidR="00F23F1E" w:rsidRPr="003C2BC2" w:rsidRDefault="00F23F1E" w:rsidP="00650125">
            <w:pPr>
              <w:jc w:val="center"/>
              <w:rPr>
                <w:rFonts w:cs="Times New Roman"/>
                <w:b/>
                <w:sz w:val="24"/>
                <w:szCs w:val="24"/>
              </w:rPr>
            </w:pPr>
            <w:r w:rsidRPr="003C2BC2">
              <w:rPr>
                <w:b/>
                <w:sz w:val="24"/>
              </w:rPr>
              <w:t>X</w:t>
            </w:r>
          </w:p>
        </w:tc>
      </w:tr>
      <w:tr w:rsidR="005B17F4" w:rsidRPr="003C2BC2" w14:paraId="274CBAAF" w14:textId="77777777" w:rsidTr="00650125">
        <w:tc>
          <w:tcPr>
            <w:tcW w:w="1973" w:type="dxa"/>
          </w:tcPr>
          <w:p w14:paraId="2EA61C6C" w14:textId="6322F44A" w:rsidR="00F23F1E" w:rsidRPr="003C2BC2" w:rsidRDefault="00F23F1E" w:rsidP="00650125">
            <w:pPr>
              <w:jc w:val="left"/>
              <w:rPr>
                <w:rFonts w:cs="Times New Roman"/>
                <w:sz w:val="18"/>
                <w:szCs w:val="18"/>
              </w:rPr>
            </w:pPr>
            <w:r w:rsidRPr="003C2BC2">
              <w:rPr>
                <w:sz w:val="18"/>
              </w:rPr>
              <w:t>Balloons (Annex 1, point 7)</w:t>
            </w:r>
          </w:p>
        </w:tc>
        <w:tc>
          <w:tcPr>
            <w:tcW w:w="1298" w:type="dxa"/>
            <w:vAlign w:val="center"/>
          </w:tcPr>
          <w:p w14:paraId="359D25CA" w14:textId="77777777" w:rsidR="00F23F1E" w:rsidRPr="003C2BC2" w:rsidRDefault="00F23F1E" w:rsidP="00650125">
            <w:pPr>
              <w:jc w:val="center"/>
              <w:rPr>
                <w:rFonts w:cs="Times New Roman"/>
                <w:b/>
                <w:sz w:val="24"/>
                <w:szCs w:val="24"/>
              </w:rPr>
            </w:pPr>
          </w:p>
        </w:tc>
        <w:tc>
          <w:tcPr>
            <w:tcW w:w="1418" w:type="dxa"/>
            <w:vAlign w:val="center"/>
          </w:tcPr>
          <w:p w14:paraId="68BF85F4" w14:textId="77777777" w:rsidR="00F23F1E" w:rsidRPr="003C2BC2" w:rsidRDefault="00F23F1E" w:rsidP="00650125">
            <w:pPr>
              <w:jc w:val="center"/>
              <w:rPr>
                <w:rFonts w:cs="Times New Roman"/>
                <w:b/>
                <w:sz w:val="24"/>
                <w:szCs w:val="24"/>
              </w:rPr>
            </w:pPr>
            <w:r w:rsidRPr="003C2BC2">
              <w:rPr>
                <w:b/>
                <w:sz w:val="24"/>
              </w:rPr>
              <w:t>X</w:t>
            </w:r>
          </w:p>
        </w:tc>
        <w:tc>
          <w:tcPr>
            <w:tcW w:w="1417" w:type="dxa"/>
            <w:vAlign w:val="center"/>
          </w:tcPr>
          <w:p w14:paraId="1682DE19" w14:textId="77777777" w:rsidR="00F23F1E" w:rsidRPr="003C2BC2" w:rsidRDefault="00F23F1E" w:rsidP="00650125">
            <w:pPr>
              <w:jc w:val="center"/>
              <w:rPr>
                <w:rFonts w:cs="Times New Roman"/>
                <w:b/>
                <w:sz w:val="24"/>
                <w:szCs w:val="24"/>
              </w:rPr>
            </w:pPr>
            <w:r w:rsidRPr="003C2BC2">
              <w:rPr>
                <w:b/>
                <w:sz w:val="24"/>
              </w:rPr>
              <w:t>X</w:t>
            </w:r>
          </w:p>
        </w:tc>
        <w:tc>
          <w:tcPr>
            <w:tcW w:w="1560" w:type="dxa"/>
            <w:vAlign w:val="center"/>
          </w:tcPr>
          <w:p w14:paraId="358F339C" w14:textId="77777777" w:rsidR="00F23F1E" w:rsidRPr="003C2BC2" w:rsidRDefault="00F23F1E" w:rsidP="00650125">
            <w:pPr>
              <w:jc w:val="center"/>
              <w:rPr>
                <w:rFonts w:cs="Times New Roman"/>
                <w:b/>
                <w:sz w:val="24"/>
                <w:szCs w:val="24"/>
              </w:rPr>
            </w:pPr>
            <w:r w:rsidRPr="003C2BC2">
              <w:rPr>
                <w:b/>
                <w:sz w:val="24"/>
              </w:rPr>
              <w:t>X</w:t>
            </w:r>
          </w:p>
        </w:tc>
        <w:tc>
          <w:tcPr>
            <w:tcW w:w="1559" w:type="dxa"/>
            <w:vAlign w:val="center"/>
          </w:tcPr>
          <w:p w14:paraId="51BBA8EF" w14:textId="77777777" w:rsidR="00F23F1E" w:rsidRPr="003C2BC2" w:rsidRDefault="00F23F1E" w:rsidP="00650125">
            <w:pPr>
              <w:jc w:val="center"/>
              <w:rPr>
                <w:rFonts w:cs="Times New Roman"/>
                <w:b/>
                <w:sz w:val="24"/>
                <w:szCs w:val="24"/>
              </w:rPr>
            </w:pPr>
            <w:r w:rsidRPr="003C2BC2">
              <w:rPr>
                <w:b/>
                <w:sz w:val="24"/>
              </w:rPr>
              <w:t>X</w:t>
            </w:r>
          </w:p>
        </w:tc>
      </w:tr>
      <w:tr w:rsidR="005B17F4" w:rsidRPr="003C2BC2" w14:paraId="2CED7212" w14:textId="77777777" w:rsidTr="00650125">
        <w:tc>
          <w:tcPr>
            <w:tcW w:w="1973" w:type="dxa"/>
          </w:tcPr>
          <w:p w14:paraId="45A28797" w14:textId="03543EC0" w:rsidR="00F23F1E" w:rsidRPr="003C2BC2" w:rsidRDefault="00F23F1E" w:rsidP="00650125">
            <w:pPr>
              <w:jc w:val="left"/>
              <w:rPr>
                <w:rFonts w:cs="Times New Roman"/>
                <w:sz w:val="18"/>
                <w:szCs w:val="18"/>
              </w:rPr>
            </w:pPr>
            <w:r w:rsidRPr="003C2BC2">
              <w:rPr>
                <w:sz w:val="18"/>
              </w:rPr>
              <w:t>Tobacco products with filters and filters for tobacco products (Annex 1, point 8)</w:t>
            </w:r>
          </w:p>
        </w:tc>
        <w:tc>
          <w:tcPr>
            <w:tcW w:w="1298" w:type="dxa"/>
            <w:vAlign w:val="center"/>
          </w:tcPr>
          <w:p w14:paraId="073898A8" w14:textId="77777777" w:rsidR="00F23F1E" w:rsidRPr="003C2BC2" w:rsidRDefault="00F23F1E" w:rsidP="00650125">
            <w:pPr>
              <w:jc w:val="center"/>
              <w:rPr>
                <w:rFonts w:cs="Times New Roman"/>
                <w:b/>
                <w:sz w:val="24"/>
                <w:szCs w:val="24"/>
              </w:rPr>
            </w:pPr>
            <w:r w:rsidRPr="003C2BC2">
              <w:rPr>
                <w:b/>
                <w:sz w:val="24"/>
              </w:rPr>
              <w:t>X</w:t>
            </w:r>
          </w:p>
        </w:tc>
        <w:tc>
          <w:tcPr>
            <w:tcW w:w="1418" w:type="dxa"/>
            <w:vAlign w:val="center"/>
          </w:tcPr>
          <w:p w14:paraId="21450E9E" w14:textId="77777777" w:rsidR="00F23F1E" w:rsidRPr="003C2BC2" w:rsidRDefault="00F23F1E" w:rsidP="00650125">
            <w:pPr>
              <w:jc w:val="center"/>
              <w:rPr>
                <w:rFonts w:cs="Times New Roman"/>
                <w:b/>
                <w:sz w:val="24"/>
                <w:szCs w:val="24"/>
              </w:rPr>
            </w:pPr>
            <w:r w:rsidRPr="003C2BC2">
              <w:rPr>
                <w:b/>
                <w:sz w:val="24"/>
              </w:rPr>
              <w:t>X</w:t>
            </w:r>
          </w:p>
        </w:tc>
        <w:tc>
          <w:tcPr>
            <w:tcW w:w="1417" w:type="dxa"/>
            <w:vAlign w:val="center"/>
          </w:tcPr>
          <w:p w14:paraId="714E95F7" w14:textId="77777777" w:rsidR="00F23F1E" w:rsidRPr="003C2BC2" w:rsidRDefault="00F23F1E" w:rsidP="00650125">
            <w:pPr>
              <w:jc w:val="center"/>
              <w:rPr>
                <w:rFonts w:cs="Times New Roman"/>
                <w:b/>
                <w:sz w:val="24"/>
                <w:szCs w:val="24"/>
              </w:rPr>
            </w:pPr>
            <w:r w:rsidRPr="003C2BC2">
              <w:rPr>
                <w:b/>
                <w:sz w:val="24"/>
              </w:rPr>
              <w:t>X</w:t>
            </w:r>
          </w:p>
        </w:tc>
        <w:tc>
          <w:tcPr>
            <w:tcW w:w="1560" w:type="dxa"/>
            <w:vAlign w:val="center"/>
          </w:tcPr>
          <w:p w14:paraId="6EDC2B60" w14:textId="77777777" w:rsidR="00F23F1E" w:rsidRPr="003C2BC2" w:rsidRDefault="00F23F1E" w:rsidP="00650125">
            <w:pPr>
              <w:jc w:val="center"/>
              <w:rPr>
                <w:rFonts w:cs="Times New Roman"/>
                <w:b/>
                <w:sz w:val="24"/>
                <w:szCs w:val="24"/>
              </w:rPr>
            </w:pPr>
            <w:r w:rsidRPr="003C2BC2">
              <w:rPr>
                <w:b/>
                <w:sz w:val="24"/>
              </w:rPr>
              <w:t>X</w:t>
            </w:r>
          </w:p>
        </w:tc>
        <w:tc>
          <w:tcPr>
            <w:tcW w:w="1559" w:type="dxa"/>
            <w:vAlign w:val="center"/>
          </w:tcPr>
          <w:p w14:paraId="0F78EB74" w14:textId="77777777" w:rsidR="00F23F1E" w:rsidRPr="003C2BC2" w:rsidRDefault="00F23F1E" w:rsidP="00650125">
            <w:pPr>
              <w:jc w:val="center"/>
              <w:rPr>
                <w:rFonts w:cs="Times New Roman"/>
                <w:b/>
                <w:sz w:val="24"/>
                <w:szCs w:val="24"/>
              </w:rPr>
            </w:pPr>
            <w:r w:rsidRPr="003C2BC2">
              <w:rPr>
                <w:b/>
                <w:sz w:val="24"/>
              </w:rPr>
              <w:t>X</w:t>
            </w:r>
          </w:p>
        </w:tc>
      </w:tr>
    </w:tbl>
    <w:p w14:paraId="2C3DE778" w14:textId="77777777" w:rsidR="00F23F1E" w:rsidRPr="003C2BC2" w:rsidRDefault="00F23F1E" w:rsidP="00650125">
      <w:pPr>
        <w:pStyle w:val="ArtikelBezeichner"/>
        <w:pageBreakBefore/>
      </w:pPr>
    </w:p>
    <w:p w14:paraId="5DE5B2A5" w14:textId="77777777" w:rsidR="0080230A" w:rsidRPr="003C2BC2" w:rsidRDefault="00F23F1E" w:rsidP="006C7F22">
      <w:pPr>
        <w:pStyle w:val="Artikelberschrift"/>
      </w:pPr>
      <w:r w:rsidRPr="003C2BC2">
        <w:t>Amendments to the Packaging Act</w:t>
      </w:r>
    </w:p>
    <w:p w14:paraId="50034BCB" w14:textId="42A3516B" w:rsidR="0080230A" w:rsidRPr="003C2BC2" w:rsidRDefault="002A4CD3" w:rsidP="00FD3E3E">
      <w:pPr>
        <w:pStyle w:val="JuristischerAbsatznichtnummeriert"/>
      </w:pPr>
      <w:r w:rsidRPr="003C2BC2">
        <w:t>The Packaging Act of 5 July 2017 (Federal Law Gazette I p. 2234), as last amended by Article 2 of the Act of 22 September 2021 (Federal Law Gazette I p. 4363), is amended as follows:</w:t>
      </w:r>
    </w:p>
    <w:p w14:paraId="297F7B25" w14:textId="04802820" w:rsidR="0014685B" w:rsidRPr="003C2BC2" w:rsidRDefault="002A4CD3" w:rsidP="006C7F22">
      <w:pPr>
        <w:pStyle w:val="NummerierungStufe1"/>
      </w:pPr>
      <w:r w:rsidRPr="003C2BC2">
        <w:t>§ 26(1), second sentence is amended as follows:</w:t>
      </w:r>
    </w:p>
    <w:p w14:paraId="42CF6592" w14:textId="6AE4B6BB" w:rsidR="002A4CD3" w:rsidRPr="003C2BC2" w:rsidRDefault="002A4CD3" w:rsidP="0033204F">
      <w:pPr>
        <w:pStyle w:val="NummerierungStufe2"/>
      </w:pPr>
      <w:r w:rsidRPr="003C2BC2">
        <w:t xml:space="preserve">In subparagraph 29a, the word </w:t>
      </w:r>
      <w:r w:rsidRPr="003C2BC2">
        <w:rPr>
          <w:rStyle w:val="RevisionText"/>
        </w:rPr>
        <w:t>‘and’</w:t>
      </w:r>
      <w:r w:rsidRPr="003C2BC2">
        <w:t xml:space="preserve"> is deleted after the word </w:t>
      </w:r>
      <w:r w:rsidRPr="003C2BC2">
        <w:rPr>
          <w:rStyle w:val="RevisionText"/>
        </w:rPr>
        <w:t>‘present’</w:t>
      </w:r>
      <w:r w:rsidRPr="003C2BC2">
        <w:t>.</w:t>
      </w:r>
    </w:p>
    <w:p w14:paraId="14C7464D" w14:textId="2FC503C2" w:rsidR="002A4CD3" w:rsidRPr="003C2BC2" w:rsidRDefault="002A4CD3">
      <w:pPr>
        <w:pStyle w:val="NummerierungStufe2"/>
      </w:pPr>
      <w:r w:rsidRPr="003C2BC2">
        <w:t>The following subparagraphs 30 and 31 are inserted after subparagraph 29a:</w:t>
      </w:r>
    </w:p>
    <w:p w14:paraId="556CE8D7" w14:textId="7CF3F8CC" w:rsidR="0071616F" w:rsidRPr="003C2BC2" w:rsidRDefault="0033204F" w:rsidP="00452781">
      <w:pPr>
        <w:pStyle w:val="RevisionNummerierungStufe1"/>
        <w:numPr>
          <w:ilvl w:val="3"/>
          <w:numId w:val="12"/>
        </w:numPr>
        <w:tabs>
          <w:tab w:val="clear" w:pos="425"/>
          <w:tab w:val="left" w:pos="1350"/>
        </w:tabs>
        <w:ind w:left="1350"/>
      </w:pPr>
      <w:r w:rsidRPr="003C2BC2">
        <w:fldChar w:fldCharType="begin"/>
      </w:r>
      <w:r w:rsidRPr="003C2BC2">
        <w:instrText xml:space="preserve"> ADVANCE  \l 26  </w:instrText>
      </w:r>
      <w:r w:rsidRPr="003C2BC2">
        <w:fldChar w:fldCharType="end"/>
      </w:r>
      <w:r w:rsidRPr="003C2BC2">
        <w:t>‘</w:t>
      </w:r>
      <w:r w:rsidRPr="003C2BC2">
        <w:tab/>
        <w:t>will make available to the Federal Environment Agency for data retrieval, in accordance with the second to fourth sentences of Section 8(2) of the Single-Use Plastics Fund Act... [insert: date on which this Act is promulgated and reference in the Federal Law Gazette] as amended, the existing register information in accordance with Section 9 including the necessary technical information,</w:t>
      </w:r>
    </w:p>
    <w:p w14:paraId="22212528" w14:textId="0F149F25" w:rsidR="0033204F" w:rsidRPr="003C2BC2" w:rsidRDefault="00773A87" w:rsidP="0071616F">
      <w:pPr>
        <w:pStyle w:val="RevisionNummerierungStufe1"/>
        <w:numPr>
          <w:ilvl w:val="3"/>
          <w:numId w:val="12"/>
        </w:numPr>
        <w:tabs>
          <w:tab w:val="clear" w:pos="425"/>
          <w:tab w:val="left" w:pos="1350"/>
        </w:tabs>
        <w:ind w:left="1350"/>
      </w:pPr>
      <w:r w:rsidRPr="003C2BC2">
        <w:t>will use the register information provided by the Federal Environment Agency in accordance with the first sentence of Section 8(3) of the Single-Use Plastics Fund Act to fulfil its duties and will lay down the format for electronic data exchange in accordance with the second sentence of Section 8(3) of the Single-Use Plastics Fund Act in mutual agreement with the Federal Environment Agency, and’.</w:t>
      </w:r>
    </w:p>
    <w:p w14:paraId="770CBC42" w14:textId="54CFD57D" w:rsidR="0033204F" w:rsidRPr="003C2BC2" w:rsidRDefault="0033204F" w:rsidP="0033204F">
      <w:pPr>
        <w:pStyle w:val="NummerierungStufe2"/>
      </w:pPr>
      <w:bookmarkStart w:id="20" w:name="DQPErrorScope75270A1468DBF1A332FF83F62BB"/>
      <w:r w:rsidRPr="003C2BC2">
        <w:t>The previous subparagraph 30 becomes subparagraph 32.</w:t>
      </w:r>
      <w:bookmarkEnd w:id="20"/>
    </w:p>
    <w:p w14:paraId="1AA41076" w14:textId="7D3AC633" w:rsidR="0080230A" w:rsidRPr="003C2BC2" w:rsidRDefault="0033204F" w:rsidP="006C34C9">
      <w:pPr>
        <w:pStyle w:val="NummerierungStufe1"/>
      </w:pPr>
      <w:r w:rsidRPr="003C2BC2">
        <w:t xml:space="preserve">In Section 27(4), the words </w:t>
      </w:r>
      <w:r w:rsidRPr="003C2BC2">
        <w:rPr>
          <w:rStyle w:val="RevisionText"/>
        </w:rPr>
        <w:t>‘in accordance with this Act or the Single-Use Plastics Fund Act’</w:t>
      </w:r>
      <w:r w:rsidRPr="003C2BC2">
        <w:t xml:space="preserve"> are inserted after the words </w:t>
      </w:r>
      <w:r w:rsidRPr="003C2BC2">
        <w:rPr>
          <w:rStyle w:val="RevisionText"/>
        </w:rPr>
        <w:t>‘verification guidelines’</w:t>
      </w:r>
      <w:r w:rsidRPr="003C2BC2">
        <w:t>.</w:t>
      </w:r>
    </w:p>
    <w:p w14:paraId="7F66EDBB" w14:textId="77777777" w:rsidR="009F2911" w:rsidRPr="003C2BC2" w:rsidRDefault="009F2911" w:rsidP="009F2911">
      <w:pPr>
        <w:pStyle w:val="ArtikelBezeichner"/>
      </w:pPr>
    </w:p>
    <w:p w14:paraId="2ABB2761" w14:textId="2E90F6BA" w:rsidR="00CD6BA7" w:rsidRPr="003C2BC2" w:rsidRDefault="00CD6BA7" w:rsidP="00CD6BA7">
      <w:pPr>
        <w:pStyle w:val="Artikelberschrift"/>
      </w:pPr>
      <w:r w:rsidRPr="003C2BC2">
        <w:t>Entry into force</w:t>
      </w:r>
    </w:p>
    <w:p w14:paraId="10E5BB5B" w14:textId="369CAA50" w:rsidR="005A6026" w:rsidRPr="003C2BC2" w:rsidRDefault="005A6026" w:rsidP="00B9046A">
      <w:pPr>
        <w:pStyle w:val="JuristischerAbsatznummeriert"/>
      </w:pPr>
      <w:r w:rsidRPr="003C2BC2">
        <w:t>This Act, subject to paragraphs (2) and (3), shall enter into force on the day after its promulgation.</w:t>
      </w:r>
    </w:p>
    <w:p w14:paraId="42EDB309" w14:textId="732A5D57" w:rsidR="005A6026" w:rsidRPr="003C2BC2" w:rsidRDefault="005A6026" w:rsidP="00B9046A">
      <w:pPr>
        <w:pStyle w:val="JuristischerAbsatznummeriert"/>
      </w:pPr>
      <w:r w:rsidRPr="003C2BC2">
        <w:t>Article 1 Sections 7 to 9, Section 10(1) to (3) and (5), Sections 12,</w:t>
      </w:r>
      <w:bookmarkStart w:id="21" w:name="DQPErrorScope58865D4492DBF74D3277B5BAFB8"/>
      <w:r w:rsidRPr="003C2BC2">
        <w:t xml:space="preserve"> </w:t>
      </w:r>
      <w:bookmarkEnd w:id="21"/>
      <w:r w:rsidRPr="003C2BC2">
        <w:t>13,</w:t>
      </w:r>
      <w:bookmarkStart w:id="22" w:name="DQPErrorScope319850F44DE81E7EA9952632923"/>
      <w:r w:rsidRPr="003C2BC2">
        <w:t xml:space="preserve"> </w:t>
      </w:r>
      <w:bookmarkEnd w:id="22"/>
      <w:r w:rsidRPr="003C2BC2">
        <w:t>15, 16 and 22 shall enter into force on 1 January 2024.</w:t>
      </w:r>
    </w:p>
    <w:p w14:paraId="33FA28A7" w14:textId="1750225A" w:rsidR="005A6026" w:rsidRPr="003C2BC2" w:rsidRDefault="005A6026" w:rsidP="00B9046A">
      <w:pPr>
        <w:pStyle w:val="JuristischerAbsatznummeriert"/>
      </w:pPr>
      <w:r w:rsidRPr="003C2BC2">
        <w:t>Article 1 Sections 11, 17, 18, 20 and 21 shall enter into force on 1 January 2025.</w:t>
      </w:r>
    </w:p>
    <w:p w14:paraId="551E3632" w14:textId="77777777" w:rsidR="00611481" w:rsidRPr="003C2BC2" w:rsidRDefault="00611481" w:rsidP="007C73F0">
      <w:pPr>
        <w:sectPr w:rsidR="00611481" w:rsidRPr="003C2BC2" w:rsidSect="002B3C19">
          <w:pgSz w:w="11907" w:h="16839"/>
          <w:pgMar w:top="1134" w:right="1417" w:bottom="1134" w:left="1701" w:header="709" w:footer="709" w:gutter="0"/>
          <w:cols w:space="708"/>
          <w:docGrid w:linePitch="360"/>
        </w:sectPr>
      </w:pPr>
    </w:p>
    <w:p w14:paraId="03120F7C" w14:textId="70E12C6A" w:rsidR="00611481" w:rsidRPr="003C2BC2" w:rsidRDefault="00611481" w:rsidP="005978EC">
      <w:pPr>
        <w:pStyle w:val="BegrndungTitel"/>
      </w:pPr>
      <w:r w:rsidRPr="003C2BC2">
        <w:lastRenderedPageBreak/>
        <w:t>Explanatory notes</w:t>
      </w:r>
    </w:p>
    <w:p w14:paraId="66E8AA10" w14:textId="77777777" w:rsidR="00611481" w:rsidRPr="003C2BC2" w:rsidRDefault="00611481" w:rsidP="00B031F1">
      <w:pPr>
        <w:pStyle w:val="BegrndungAllgemeinerTeil"/>
      </w:pPr>
      <w:r w:rsidRPr="003C2BC2">
        <w:t>A.</w:t>
      </w:r>
      <w:r w:rsidRPr="003C2BC2">
        <w:tab/>
        <w:t>General part</w:t>
      </w:r>
    </w:p>
    <w:p w14:paraId="06D1137E" w14:textId="77777777" w:rsidR="00611481" w:rsidRPr="003C2BC2" w:rsidRDefault="00611481" w:rsidP="00611481">
      <w:pPr>
        <w:pStyle w:val="berschriftrmischBegrndung"/>
      </w:pPr>
      <w:r w:rsidRPr="003C2BC2">
        <w:t>Objective of and need for the provisions</w:t>
      </w:r>
    </w:p>
    <w:p w14:paraId="1DE56D91" w14:textId="7DFF9C14" w:rsidR="005B17F4" w:rsidRPr="003C2BC2" w:rsidRDefault="005B17F4" w:rsidP="005B17F4">
      <w:pPr>
        <w:pStyle w:val="Text"/>
      </w:pPr>
      <w:r w:rsidRPr="003C2BC2">
        <w:t>The objective of the Act is to transpose Article 8(1) to (7) and Article 14 of Directive (EU) 2019/904 into German law in a legally certain and efficient manner with as little bureaucracy as possible. The single-use plastic products covered by the Directive are the most common single-use plastic products found on the beaches of the European Union. They are estimated to account for about 86 % of all single-use plastics found on the beaches in the European Union (recitals 5 and 7 of Directive (EU) 2019/904). For single-use plastic products where suitable and more sustainable alternatives are not yet readily available, Article 8(1) of Directive (EU) 2019/904 stipulates that, in keeping with the polluter pays principle, Member States shall introduce extended producer responsibility schemes (recital 21 of Directive (EU) 2019/904). The list of single-use plastic products concerned is set out in Part E of the Annex to Directive (EU) 2019/904.</w:t>
      </w:r>
    </w:p>
    <w:p w14:paraId="05A90E46" w14:textId="77777777" w:rsidR="005B17F4" w:rsidRPr="003C2BC2" w:rsidRDefault="005B17F4" w:rsidP="005B17F4">
      <w:pPr>
        <w:pStyle w:val="Text"/>
      </w:pPr>
      <w:r w:rsidRPr="003C2BC2">
        <w:t>Extended producer responsibility means that producers of these single-use plastic products are required, in accordance with Article 8(2) and (3) of Directive (EU) 2019/904, to cover certain costs for waste management, i.e. collection in public collection systems and disposal of the waste collected, cleaning operations, awareness-raising activities and the necessary data collection and processing. The costs to be covered vary depending on the single-use plastic product and may not exceed, in accordance with Article 8(4) of Directive (EU) 2019/904, the costs that are necessary to provide the respective services in a cost-efficient way. The costs must also be established in a transparent manner between the actors concerned.</w:t>
      </w:r>
    </w:p>
    <w:p w14:paraId="4195488E" w14:textId="77777777" w:rsidR="005B17F4" w:rsidRPr="003C2BC2" w:rsidRDefault="005B17F4" w:rsidP="005B17F4">
      <w:pPr>
        <w:pStyle w:val="Text"/>
      </w:pPr>
      <w:r w:rsidRPr="003C2BC2">
        <w:t>Article 8(5) of Directive (EU) 2019/904 stipulates that Member States shall define the roles and responsibilities of all relevant actors in a clear way. Article 8(6) and (7) of Directive (EU) 2019/904 sets out rules for the placing of products on the market by foreign producers in Germany or by domestic producers abroad, in order to protect the competitiveness of the European internal market. In addition, Articles 8 and 8a of Directive 2008/98/EC contain further minimum requirements for extended producer responsibility schemes, which should also be observed, in so far as Directive (EU) 2019/904 does not contain more specific rules (see Article 2(2) and recital 22 of Directive (EU) 2019/904).</w:t>
      </w:r>
    </w:p>
    <w:p w14:paraId="170D411C" w14:textId="39FDAF2E" w:rsidR="005B17F4" w:rsidRPr="003C2BC2" w:rsidRDefault="005B17F4" w:rsidP="005B17F4">
      <w:pPr>
        <w:pStyle w:val="Text"/>
      </w:pPr>
      <w:r w:rsidRPr="003C2BC2">
        <w:t>Finally, Article 14 of Directive (EU) 2019/904 stipulates that Member States shall lay down suitable rules on penalties for infringements of the national provisions adopted pursuant to Directive (EU) 2019/904. This also applies to infringements of the national provisions adopted to transpose extended producer responsibility pursuant to Article 8(1) to (7) of Directive (EU) 2019/904.</w:t>
      </w:r>
    </w:p>
    <w:p w14:paraId="72879A9F" w14:textId="534CEF45" w:rsidR="005B17F4" w:rsidRPr="003C2BC2" w:rsidRDefault="005B17F4" w:rsidP="005B17F4">
      <w:pPr>
        <w:pStyle w:val="Text"/>
      </w:pPr>
      <w:r w:rsidRPr="003C2BC2">
        <w:t>In addition to the many other measures set out in Directive (EU) 2019/904, the reimbursement of certain costs by producers is intended to encourage more sustainable management of plastics along the value chain, to combat littering and to promote cleanliness of public spaces. This objective is fully in line with the objectives of the coalition agreement for the 20th legislative period, the decision of the Bundesrat on reducing unnecessary plastic waste (Bundesrat document 343/19 (resolution)) and the resolution passed at the 97th Conference of the Environment Ministers on 26 November 2021 (agenda item 25).</w:t>
      </w:r>
    </w:p>
    <w:p w14:paraId="5743C297" w14:textId="77777777" w:rsidR="00611481" w:rsidRPr="003C2BC2" w:rsidRDefault="00611481" w:rsidP="00B031F1">
      <w:pPr>
        <w:pStyle w:val="berschriftrmischBegrndung"/>
      </w:pPr>
      <w:r w:rsidRPr="003C2BC2">
        <w:lastRenderedPageBreak/>
        <w:t>Main content of the draft</w:t>
      </w:r>
    </w:p>
    <w:p w14:paraId="5D8D0C5F" w14:textId="77777777" w:rsidR="005B17F4" w:rsidRPr="003C2BC2" w:rsidRDefault="005B17F4" w:rsidP="005B17F4">
      <w:pPr>
        <w:pStyle w:val="Text"/>
      </w:pPr>
      <w:r w:rsidRPr="003C2BC2">
        <w:rPr>
          <w:b/>
        </w:rPr>
        <w:t>Article 1</w:t>
      </w:r>
      <w:r w:rsidRPr="003C2BC2">
        <w:t xml:space="preserve"> lays down the Act on the Single-Use Plastics Fund (Single-Use Plastics Fund Act).</w:t>
      </w:r>
    </w:p>
    <w:p w14:paraId="07207979" w14:textId="77777777" w:rsidR="005B17F4" w:rsidRPr="003C2BC2" w:rsidRDefault="005B17F4" w:rsidP="005B17F4">
      <w:pPr>
        <w:pStyle w:val="Text"/>
      </w:pPr>
      <w:r w:rsidRPr="003C2BC2">
        <w:t>Key content is as follows:</w:t>
      </w:r>
    </w:p>
    <w:p w14:paraId="03E0CC16" w14:textId="77777777" w:rsidR="005B17F4" w:rsidRPr="003C2BC2" w:rsidRDefault="005B17F4" w:rsidP="00941425">
      <w:pPr>
        <w:pStyle w:val="Text"/>
        <w:numPr>
          <w:ilvl w:val="0"/>
          <w:numId w:val="2"/>
        </w:numPr>
        <w:rPr>
          <w:b/>
        </w:rPr>
      </w:pPr>
      <w:r w:rsidRPr="003C2BC2">
        <w:rPr>
          <w:b/>
        </w:rPr>
        <w:t>Establishment and operation of the single-use plastics fund</w:t>
      </w:r>
    </w:p>
    <w:p w14:paraId="62021326" w14:textId="6BFC3E19" w:rsidR="005B17F4" w:rsidRPr="003C2BC2" w:rsidRDefault="005B17F4" w:rsidP="00AF3DF4">
      <w:pPr>
        <w:pStyle w:val="Text"/>
        <w:ind w:left="720"/>
      </w:pPr>
      <w:r w:rsidRPr="003C2BC2">
        <w:t>The central element of the Act is the introduction of a special levy with financing function and the administration of a single-use plastics fund by the Federal Environment Agency to manage revenue and expenditure. Producers will pay the single-use plastics levy into the fund. From the fund, public waste management providers and other eligible beneficiaries that are legal entities under public law will be compensated for the costs they have incurred under the requirements of Directive (EU) 2019/904. As a result, product responsibility within the meaning of Section 23 et seq. of the Circular Economy Act is ordered for these producers.</w:t>
      </w:r>
    </w:p>
    <w:p w14:paraId="04A58AA0" w14:textId="77777777" w:rsidR="005B17F4" w:rsidRPr="003C2BC2" w:rsidRDefault="005B17F4" w:rsidP="00941425">
      <w:pPr>
        <w:pStyle w:val="Text"/>
        <w:numPr>
          <w:ilvl w:val="0"/>
          <w:numId w:val="2"/>
        </w:numPr>
        <w:rPr>
          <w:b/>
        </w:rPr>
      </w:pPr>
      <w:r w:rsidRPr="003C2BC2">
        <w:rPr>
          <w:b/>
        </w:rPr>
        <w:t>Obligation of producers to register and provide annual notification</w:t>
      </w:r>
    </w:p>
    <w:p w14:paraId="5DC3CC3A" w14:textId="118305B6" w:rsidR="005B17F4" w:rsidRPr="003C2BC2" w:rsidRDefault="005B17F4" w:rsidP="00AF3DF4">
      <w:pPr>
        <w:pStyle w:val="Text"/>
        <w:ind w:left="720"/>
      </w:pPr>
      <w:r w:rsidRPr="003C2BC2">
        <w:t>To create a record of the obligated producers of single-use plastic products, these producers have to register electronically with the Federal Environment Agency and provide company data. Registration is confirmed by the Federal Environment Agency and is an administrative act. The data already available at the Central Agency can be used during registration. In order to calculate the single-use plastics levy, registered producers will notify each year, through an online portal, the type and mass of single-use plastic products they have made available on the market for the first time or sold.</w:t>
      </w:r>
    </w:p>
    <w:p w14:paraId="3B7EBE70" w14:textId="77777777" w:rsidR="005B17F4" w:rsidRPr="003C2BC2" w:rsidRDefault="005B17F4" w:rsidP="00941425">
      <w:pPr>
        <w:pStyle w:val="Text"/>
        <w:numPr>
          <w:ilvl w:val="0"/>
          <w:numId w:val="2"/>
        </w:numPr>
        <w:rPr>
          <w:b/>
        </w:rPr>
      </w:pPr>
      <w:r w:rsidRPr="003C2BC2">
        <w:rPr>
          <w:b/>
        </w:rPr>
        <w:t>Determination and collection of the single-use plastics levy</w:t>
      </w:r>
    </w:p>
    <w:p w14:paraId="085CA1B6" w14:textId="46E72C1C" w:rsidR="005B17F4" w:rsidRPr="003C2BC2" w:rsidRDefault="005B17F4" w:rsidP="00AF3DF4">
      <w:pPr>
        <w:pStyle w:val="Text"/>
        <w:ind w:left="720"/>
      </w:pPr>
      <w:r w:rsidRPr="003C2BC2">
        <w:t>From the type and mass of single-use plastic products notified by a producer and the respective levy rate, the Federal Environment Agency will determine the amount of the single-use plastics levy as a special levy with financing function. The Federal Environment Agency will determine this by administrative act and will collect it when due. The levy rate is to be established by Ordinance and subjected to regular review.</w:t>
      </w:r>
    </w:p>
    <w:p w14:paraId="64B4807B" w14:textId="77777777" w:rsidR="005B17F4" w:rsidRPr="003C2BC2" w:rsidRDefault="005B17F4" w:rsidP="00941425">
      <w:pPr>
        <w:pStyle w:val="Text"/>
        <w:numPr>
          <w:ilvl w:val="0"/>
          <w:numId w:val="2"/>
        </w:numPr>
        <w:rPr>
          <w:b/>
        </w:rPr>
      </w:pPr>
      <w:r w:rsidRPr="003C2BC2">
        <w:rPr>
          <w:b/>
        </w:rPr>
        <w:t>Obligation of beneficiaries to register and provide annual notification</w:t>
      </w:r>
    </w:p>
    <w:p w14:paraId="7BB1E5D1" w14:textId="2D93FEB9" w:rsidR="005B17F4" w:rsidRPr="003C2BC2" w:rsidRDefault="005B17F4" w:rsidP="00AF3DF4">
      <w:pPr>
        <w:pStyle w:val="Text"/>
        <w:ind w:left="720"/>
      </w:pPr>
      <w:r w:rsidRPr="003C2BC2">
        <w:t>To create a record of eligible public waste management providers and other beneficiaries that are legal entities under public law, they must also register and provide the necessary data. Registration is confirmed by the Federal Environment Agency and is an administrative act. In order to calculate the resources to be disbursed, the registered beneficiaries will provide notification each year, through an online portal, of the services that are eligible for reimbursement under the Act.</w:t>
      </w:r>
    </w:p>
    <w:p w14:paraId="72CA7BC8" w14:textId="77777777" w:rsidR="005B17F4" w:rsidRPr="003C2BC2" w:rsidRDefault="005B17F4" w:rsidP="00941425">
      <w:pPr>
        <w:pStyle w:val="Text"/>
        <w:numPr>
          <w:ilvl w:val="0"/>
          <w:numId w:val="2"/>
        </w:numPr>
        <w:rPr>
          <w:b/>
        </w:rPr>
      </w:pPr>
      <w:r w:rsidRPr="003C2BC2">
        <w:rPr>
          <w:b/>
        </w:rPr>
        <w:t>Determination and disbursement of funding</w:t>
      </w:r>
    </w:p>
    <w:p w14:paraId="5CFBA768" w14:textId="77777777" w:rsidR="005B17F4" w:rsidRPr="003C2BC2" w:rsidRDefault="005B17F4" w:rsidP="00AF3DF4">
      <w:pPr>
        <w:pStyle w:val="Text"/>
        <w:ind w:left="720"/>
      </w:pPr>
      <w:r w:rsidRPr="003C2BC2">
        <w:t>On the basis of the special levies collected and the services notified by the beneficiaries, the Federal Environment Agency will determine the disbursement shares according to a points system. The Federal Environment Agency will determine the resources to be disbursed by administrative act and will disburse them when due. The points system is to be established by Ordinance and subjected to regular review.</w:t>
      </w:r>
    </w:p>
    <w:p w14:paraId="3D523572" w14:textId="77777777" w:rsidR="005B17F4" w:rsidRPr="003C2BC2" w:rsidRDefault="005B17F4" w:rsidP="00650125">
      <w:pPr>
        <w:pStyle w:val="Text"/>
        <w:keepNext/>
        <w:numPr>
          <w:ilvl w:val="0"/>
          <w:numId w:val="2"/>
        </w:numPr>
        <w:ind w:left="714" w:hanging="357"/>
        <w:rPr>
          <w:b/>
        </w:rPr>
      </w:pPr>
      <w:r w:rsidRPr="003C2BC2">
        <w:rPr>
          <w:b/>
        </w:rPr>
        <w:lastRenderedPageBreak/>
        <w:t>Powers of designation with respect to the single-use plastic products concerned</w:t>
      </w:r>
    </w:p>
    <w:p w14:paraId="15D92923" w14:textId="0293953A" w:rsidR="005B17F4" w:rsidRPr="003C2BC2" w:rsidRDefault="005B17F4" w:rsidP="00AF3DF4">
      <w:pPr>
        <w:pStyle w:val="Text"/>
        <w:ind w:left="720"/>
      </w:pPr>
      <w:r w:rsidRPr="003C2BC2">
        <w:t>Although the Act lays down clear criteria for classifying a product as a single-use plastic product, such classification may still be difficult in individual cases. In order to create legal certainty and investment security, the Act therefore enables the Federal Environment Agency to designate a product as a single-use plastic product by means of an administrative act, on request or at its discretion. The same applies to the status of being a producer.</w:t>
      </w:r>
    </w:p>
    <w:p w14:paraId="470BEB92" w14:textId="77777777" w:rsidR="005B17F4" w:rsidRPr="003C2BC2" w:rsidRDefault="005B17F4" w:rsidP="00941425">
      <w:pPr>
        <w:pStyle w:val="Text"/>
        <w:numPr>
          <w:ilvl w:val="0"/>
          <w:numId w:val="2"/>
        </w:numPr>
        <w:rPr>
          <w:b/>
        </w:rPr>
      </w:pPr>
      <w:r w:rsidRPr="003C2BC2">
        <w:rPr>
          <w:b/>
        </w:rPr>
        <w:t>Establishment of a single-use plastics commission</w:t>
      </w:r>
    </w:p>
    <w:p w14:paraId="2F59214C" w14:textId="52681288" w:rsidR="005B17F4" w:rsidRPr="003C2BC2" w:rsidRDefault="005B17F4" w:rsidP="00AF3DF4">
      <w:pPr>
        <w:pStyle w:val="Text"/>
        <w:ind w:left="720"/>
      </w:pPr>
      <w:r w:rsidRPr="003C2BC2">
        <w:t>A single-use plastics commission composed of representatives from among producers and beneficiaries as well as environmental and consumer associations is to be established. The Federal Environment Agency will assume the function of commission office. The commission will provide support and advice by means of recommendations, both on the establishment of the levy rates and the disbursement criteria. It will also be involved in the annual determination of the points value for disbursements and in designating products as single-use plastic products.</w:t>
      </w:r>
    </w:p>
    <w:p w14:paraId="095F319C" w14:textId="77777777" w:rsidR="005B17F4" w:rsidRPr="003C2BC2" w:rsidRDefault="005B17F4" w:rsidP="005B17F4">
      <w:pPr>
        <w:pStyle w:val="Text"/>
      </w:pPr>
      <w:r w:rsidRPr="003C2BC2">
        <w:rPr>
          <w:b/>
        </w:rPr>
        <w:t>Article 2</w:t>
      </w:r>
      <w:r w:rsidRPr="003C2BC2">
        <w:t xml:space="preserve"> lays down the necessary amendments to the Packaging Act.</w:t>
      </w:r>
    </w:p>
    <w:p w14:paraId="23FEEEB6" w14:textId="51501F8E" w:rsidR="00611481" w:rsidRPr="003C2BC2" w:rsidRDefault="005B17F4" w:rsidP="005B17F4">
      <w:pPr>
        <w:pStyle w:val="Text"/>
      </w:pPr>
      <w:r w:rsidRPr="003C2BC2">
        <w:rPr>
          <w:b/>
        </w:rPr>
        <w:t>Article 3</w:t>
      </w:r>
      <w:r w:rsidRPr="003C2BC2">
        <w:t xml:space="preserve"> lays down the provisions governing entry into force of the Act.</w:t>
      </w:r>
    </w:p>
    <w:p w14:paraId="06188913" w14:textId="77777777" w:rsidR="00611481" w:rsidRPr="003C2BC2" w:rsidRDefault="00611481" w:rsidP="00B031F1">
      <w:pPr>
        <w:pStyle w:val="berschriftrmischBegrndung"/>
      </w:pPr>
      <w:r w:rsidRPr="003C2BC2">
        <w:t>Alternatives</w:t>
      </w:r>
    </w:p>
    <w:p w14:paraId="68E2C442" w14:textId="168BE75E" w:rsidR="001642C0" w:rsidRPr="003C2BC2" w:rsidRDefault="001642C0" w:rsidP="001642C0">
      <w:pPr>
        <w:pStyle w:val="Text"/>
      </w:pPr>
      <w:r w:rsidRPr="003C2BC2">
        <w:t>Article 8(1) to (7) of Directive (EU) 2019/904 constitutes EU law that must be transposed. This means that there is no possibility for Member States to abstain from cost reimbursement by producers. As part of the drafting of this Act, the possible alternatives to implementing the cost reimbursement obligation were examined in detail, with the involvement of all relevant groups of actors. These examinations have shown that the imposition of a special levy with financing function by the Federal Government is the only legally and practically feasible way to fulfil the above-mentioned EU transposition obligation.</w:t>
      </w:r>
    </w:p>
    <w:p w14:paraId="5E9010C2" w14:textId="77777777" w:rsidR="001642C0" w:rsidRPr="003C2BC2" w:rsidRDefault="001642C0" w:rsidP="001642C0">
      <w:pPr>
        <w:pStyle w:val="Text"/>
      </w:pPr>
      <w:r w:rsidRPr="003C2BC2">
        <w:t>1. No implementation by agreement</w:t>
      </w:r>
    </w:p>
    <w:p w14:paraId="57DFDB2F" w14:textId="081AC3CA" w:rsidR="001642C0" w:rsidRPr="003C2BC2" w:rsidRDefault="001642C0" w:rsidP="001642C0">
      <w:pPr>
        <w:pStyle w:val="Text"/>
      </w:pPr>
      <w:r w:rsidRPr="003C2BC2">
        <w:t>Under Article 17(3) of Directive (EU) 2019/904, extended producer responsibility may also be implemented by agreement with the relevant economic sectors. However, this explicitly does not apply to the single-use plastic products referred to in Section III of Part E of Directive (EU) 2019/904 (tobacco filters (products)). Apart from the fact that all synergy effects would be lost with a split solution (implementation by statute for tobacco filter products and by agreement for other products) and duplicate structures would have to be built up in all areas, implementation by agreement is also ruled out in practical terms due to the high number of obligated producers and eligible public bodies. The complex structures and the necessary legal certainty and investment security can only be achieved by statutory regulation. This is especially true given that such an agreement would only work if all or almost all producers voluntarily joined it, which seems almost impossible.</w:t>
      </w:r>
    </w:p>
    <w:p w14:paraId="41E88BD1" w14:textId="77777777" w:rsidR="001642C0" w:rsidRPr="003C2BC2" w:rsidRDefault="001642C0" w:rsidP="001642C0">
      <w:pPr>
        <w:pStyle w:val="Text"/>
      </w:pPr>
      <w:r w:rsidRPr="003C2BC2">
        <w:t>2. No implementation under a private sector model</w:t>
      </w:r>
    </w:p>
    <w:p w14:paraId="1148A06E" w14:textId="03542704" w:rsidR="001642C0" w:rsidRPr="003C2BC2" w:rsidRDefault="001642C0" w:rsidP="001642C0">
      <w:pPr>
        <w:pStyle w:val="Text"/>
      </w:pPr>
      <w:r w:rsidRPr="003C2BC2">
        <w:t xml:space="preserve">A fund model under private law, as proposed by the founder bodies of the Central Agency Packaging Register (ZSVR), was also assessed negatively. The model envisaged an extension of the ZSVR, establishment of a special fund under private law and a single-use plastics commission. Under such a model, the legal nature of the private-law fund remained unclear, and above all the question of who would be the decision-maker for imposing cost contributions and the costs to be reimbursed. In the absence of a public administration structure, legally binding establishment of levy rates and disbursement criteria would not be </w:t>
      </w:r>
      <w:r w:rsidRPr="003C2BC2">
        <w:lastRenderedPageBreak/>
        <w:t>possible. This would mean that each case would have to be decided individually. This would lead to an unmanageable number of individual examinations and thus of potential disputes, especially with regard to verifying the amounts stated in and the cost-effectiveness of submitted invoices.</w:t>
      </w:r>
    </w:p>
    <w:p w14:paraId="2A3F44B9" w14:textId="7842981B" w:rsidR="001642C0" w:rsidRPr="003C2BC2" w:rsidRDefault="001642C0" w:rsidP="001642C0">
      <w:pPr>
        <w:pStyle w:val="Text"/>
      </w:pPr>
      <w:r w:rsidRPr="003C2BC2">
        <w:t>Under the private-law model, beneficiaries would have a claim under civil law to the reimbursement of costs, although it remained unclear how defaults, insolvencies, etc. would be dealt with. The proposed obligation on lawfully acting producers to make additional payments would not only be problematic in terms of compatibility with the polluter pays principle; a long-term blockade on disbursements would also be pre-programmed. Another problem would be the unclear civil-law remedies on both sides and the associated impact on payment obligations and disbursements.</w:t>
      </w:r>
    </w:p>
    <w:p w14:paraId="583C3FDA" w14:textId="74127515" w:rsidR="001642C0" w:rsidRPr="003C2BC2" w:rsidRDefault="001642C0" w:rsidP="001642C0">
      <w:pPr>
        <w:pStyle w:val="Text"/>
      </w:pPr>
      <w:r w:rsidRPr="003C2BC2">
        <w:t>With regard to the duration of the procedure for embedding the new fund into the existing financing and organisational structures of the ZSVR, the timely fulfilment of the EU legal obligation would not only be difficult but effectively impossible. This particular model is rendered infeasible for transposing Article 8 of Directive (EU) 2019/904 for this reason alone. In view of the prohibition on the assumption of further tasks laid down in the first sentence of Section 26(3) of the Packaging Act, first the Packaging Act would have to be amended, followed by the foundation statutes of the ZSVR. The amended statutes would have to be submitted for approval not only to the Federal Ministry for the Environment, Nature Conservation, Nuclear Safety and Consumer Protection, but also to the foundation supervisory authority in Lower Saxony. Since the ZSVR, as a foundation, would not have any own resources or reserves to be able to assume the new task on an ad hoc basis, the issue of financing would then have to be clarified. The funding structure of the ZSVR would have to be completely reorganised, since the foundation has so far been financed on a pay-as-you-go basis by the dual systems pursuant to Section 25 of the Packaging Act. However, there would be no responsibility for financing with regard to a possible single-use plastics fund.</w:t>
      </w:r>
    </w:p>
    <w:p w14:paraId="1A6A7573" w14:textId="5DF2FFB2" w:rsidR="001642C0" w:rsidRPr="003C2BC2" w:rsidRDefault="001642C0" w:rsidP="001642C0">
      <w:pPr>
        <w:pStyle w:val="Text"/>
      </w:pPr>
      <w:r w:rsidRPr="003C2BC2">
        <w:t>3. No implementation by imposing taxes, fees or contributions</w:t>
      </w:r>
    </w:p>
    <w:p w14:paraId="01287BCC" w14:textId="0322942E" w:rsidR="001642C0" w:rsidRPr="003C2BC2" w:rsidRDefault="001642C0" w:rsidP="001642C0">
      <w:pPr>
        <w:pStyle w:val="Text"/>
      </w:pPr>
      <w:r w:rsidRPr="003C2BC2">
        <w:t>In addition, in designing the levy, the different financial instruments available under public finance law were examined. Recovering the costs arising from Article 8(2) and (3) of Directive (EU) 2019/904 by means of a tax, contribution or fee is infeasible and only a special levy with financing function is possible for transposition purposes.</w:t>
      </w:r>
    </w:p>
    <w:p w14:paraId="0921EB5F" w14:textId="77777777" w:rsidR="001642C0" w:rsidRPr="003C2BC2" w:rsidRDefault="001642C0" w:rsidP="001642C0">
      <w:pPr>
        <w:pStyle w:val="Text"/>
      </w:pPr>
      <w:r w:rsidRPr="003C2BC2">
        <w:t>a) Taxes</w:t>
      </w:r>
    </w:p>
    <w:p w14:paraId="754F6012" w14:textId="554C2D89" w:rsidR="001642C0" w:rsidRPr="003C2BC2" w:rsidRDefault="001642C0" w:rsidP="001642C0">
      <w:pPr>
        <w:pStyle w:val="Text"/>
      </w:pPr>
      <w:r w:rsidRPr="003C2BC2">
        <w:t>Pursuant to Section 3(1) of the Tax Code, which the Federal Constitutional Court also uses as a definition for the Basic Law (</w:t>
      </w:r>
      <w:proofErr w:type="spellStart"/>
      <w:r w:rsidRPr="003C2BC2">
        <w:t>BVerfGE</w:t>
      </w:r>
      <w:proofErr w:type="spellEnd"/>
      <w:r w:rsidRPr="003C2BC2">
        <w:t xml:space="preserve"> 149, 222 paragraph 53), taxes are such payments of money that are not payments made in consideration of the performance of a particular activity and which are collected by a public body for the purpose of raising revenue and imposed by the body on all persons to whom the characteristics on which the law bases liability for payment apply. The contributions to financing for transposing Article 8 of Directive (EU) 2019/904 are not being imposed ‘without restrictions’ to cover general financing needs, but only to cover the costs arising from Article 8(2) and (3) of Directive (EU) 2019/904. The contributions to financing cannot therefore, in principle, be imposed as a tax (e.g. as a special tax on consumption or tax on transactions).</w:t>
      </w:r>
    </w:p>
    <w:p w14:paraId="01257F9A" w14:textId="652406C8" w:rsidR="001642C0" w:rsidRPr="003C2BC2" w:rsidRDefault="001642C0" w:rsidP="001642C0">
      <w:pPr>
        <w:pStyle w:val="Text"/>
      </w:pPr>
      <w:r w:rsidRPr="003C2BC2">
        <w:t>This is compounded by the fact that a special tax on consumption (Article 106(1), subparagraph 2 Basic Law) is precisely intended to be shifted to consumers (</w:t>
      </w:r>
      <w:proofErr w:type="spellStart"/>
      <w:r w:rsidRPr="003C2BC2">
        <w:t>BVerfGE</w:t>
      </w:r>
      <w:proofErr w:type="spellEnd"/>
      <w:r w:rsidRPr="003C2BC2">
        <w:t xml:space="preserve"> 110, 274). Although it cannot be ruled out that producers may increase the prices of the relevant single-use plastic products, the assumption of costs in accordance with Article 8 of Directive (EU) 2019/904 is specifically not designed for consumers to bear the costs. The objective of extended producer responsibility is to impose a financial obligation on producers and not consumers.</w:t>
      </w:r>
    </w:p>
    <w:p w14:paraId="169CE5C7" w14:textId="40A88C15" w:rsidR="001642C0" w:rsidRPr="003C2BC2" w:rsidRDefault="001642C0" w:rsidP="001642C0">
      <w:pPr>
        <w:pStyle w:val="Text"/>
      </w:pPr>
      <w:r w:rsidRPr="003C2BC2">
        <w:lastRenderedPageBreak/>
        <w:t>Imposing a special tax on transactions (Article 106(2), subparagraph 2 Basic Law) is also therefore not possible because it is not clear which (legal or economic) transaction it could be linked to. The producer’s placing on the market of the products differs regionally and does not correspond to the allocation of the collection, cleaning and awareness-raising costs to be covered in accordance with Article 8(2) and (3) of Directive (EU) 2019/904. In addition, if a transaction tax were linked to the placing on the market, the tax revenue would, pursuant to Article 106(2) of the Basic Law, accrue to the Land (federal state) in which the placing on the market took place. There is no corresponding balancing mechanism between the federal states for earnings from special transaction taxes.</w:t>
      </w:r>
    </w:p>
    <w:p w14:paraId="1C27CAEE" w14:textId="77777777" w:rsidR="001642C0" w:rsidRPr="003C2BC2" w:rsidRDefault="001642C0" w:rsidP="001642C0">
      <w:pPr>
        <w:pStyle w:val="Text"/>
      </w:pPr>
      <w:r w:rsidRPr="003C2BC2">
        <w:t>b) Fees or contributions</w:t>
      </w:r>
    </w:p>
    <w:p w14:paraId="3DA0BDF4" w14:textId="77777777" w:rsidR="001642C0" w:rsidRPr="003C2BC2" w:rsidRDefault="001642C0" w:rsidP="001642C0">
      <w:pPr>
        <w:pStyle w:val="Text"/>
      </w:pPr>
      <w:r w:rsidRPr="003C2BC2">
        <w:t>The cost amounts to be collected on the basis of Article 8 of Directive (EU) 2019/904 cannot be imposed as fees or contributions.</w:t>
      </w:r>
    </w:p>
    <w:p w14:paraId="5AA3FF49" w14:textId="01AA9B99" w:rsidR="001642C0" w:rsidRPr="003C2BC2" w:rsidRDefault="001642C0" w:rsidP="001642C0">
      <w:pPr>
        <w:pStyle w:val="Text"/>
      </w:pPr>
      <w:r w:rsidRPr="003C2BC2">
        <w:t>Fees are public-law payments of money that are charged for an individually attributable public service in order to cover the costs of this in whole or in part. They are justified on the basis of their balancing-out function. The assumption of costs referred to in Article 8 of Directive (EU) 2019/904 is not consideration for a public service that is individually attributable specifically to the payer. Although the actions for which the costs are imposed fall under the responsibility for financing of producers in accordance with EU law, they do not give rise to any individual, attributable specific benefit to the paying producer of the single-use plastic products concerned. The measures that trigger the costs and thus the obligation to bear costs cannot be specifically attributed to the individual producer.</w:t>
      </w:r>
    </w:p>
    <w:p w14:paraId="60857A2B" w14:textId="2B882743" w:rsidR="001642C0" w:rsidRPr="003C2BC2" w:rsidRDefault="001642C0" w:rsidP="001642C0">
      <w:pPr>
        <w:pStyle w:val="Text"/>
      </w:pPr>
      <w:r w:rsidRPr="003C2BC2">
        <w:t>For the same reason, transposition of the above-mentioned EU law by means of imposing contributions is also infeasible. Contributions are intended to cover the costs of a public body and are to be imposed on those to whom the body confers a special benefit. By way of distinction from fees, the possibility of using a public body or service is sufficient for the imposition of contributions. The recovery of costs provided for in Article 8 of Directive (EU) 2019/904 does not meet these criteria. In this regard, too, there is no benefit individually attributable to the paying producer through implementation of the specific measures, for which Article 8 of Directive (EU) 2019/904 stipulates the participation of producers. There is no individual cost-service relationship between the public sector on the one hand and the producers concerned on the other.</w:t>
      </w:r>
    </w:p>
    <w:p w14:paraId="7BACBDFA" w14:textId="77777777" w:rsidR="001642C0" w:rsidRPr="003C2BC2" w:rsidRDefault="001642C0" w:rsidP="001642C0">
      <w:pPr>
        <w:pStyle w:val="Text"/>
      </w:pPr>
      <w:r w:rsidRPr="003C2BC2">
        <w:t>4. No implementation by imposition of the special levy by the Länder</w:t>
      </w:r>
    </w:p>
    <w:p w14:paraId="6ADDCD94" w14:textId="1D12CE0F" w:rsidR="001642C0" w:rsidRPr="003C2BC2" w:rsidRDefault="001642C0" w:rsidP="001642C0">
      <w:pPr>
        <w:pStyle w:val="Text"/>
      </w:pPr>
      <w:r w:rsidRPr="003C2BC2">
        <w:t>Due to the different actors involved at federal and Land level, accommodating the entire task at the Federal Environment Agency as a senior federal authority is the more efficient, legally certain and cost-effective option, compared to having the tasks carried out in whole or in part by the Länder. If registration and annual data notification were carried out at Land level, the relevant IT systems would have to be set up sixteen times and operated on a permanent basis. At the same time, numerous data interfaces would have to be created to exchange the data. Since the producers operate nationwide and beneficiaries are at both Land and federal level, a clearing house to be established by state treaty would also be necessary if the levy were collected by the Länder. The extensive balancing payments between the Federal Government and the Länder and among the Länder themselves would have to be recalculated each year. In addition, the synergy effects arising from uniform registration and data notification by producers and claimants, as well as uniform receipt, management and disbursement of the resources would be completely lost. Producers and beneficiaries would have to interact with a large number of authorities and other bodies. This would not only jeopardise the transposition of the cost reimbursement obligation under Article 8 of Directive (EU) 2019/904, but would, in fact, make it impossible.</w:t>
      </w:r>
    </w:p>
    <w:p w14:paraId="0778AE97" w14:textId="77777777" w:rsidR="00611481" w:rsidRPr="003C2BC2" w:rsidRDefault="00611481" w:rsidP="00B031F1">
      <w:pPr>
        <w:pStyle w:val="berschriftrmischBegrndung"/>
      </w:pPr>
      <w:r w:rsidRPr="003C2BC2">
        <w:lastRenderedPageBreak/>
        <w:t>Legislative powers</w:t>
      </w:r>
    </w:p>
    <w:p w14:paraId="3BCE7B1F" w14:textId="3FDC30E7" w:rsidR="005B17F4" w:rsidRPr="003C2BC2" w:rsidRDefault="005B17F4" w:rsidP="00DD6174">
      <w:pPr>
        <w:pStyle w:val="Text"/>
      </w:pPr>
      <w:r w:rsidRPr="003C2BC2">
        <w:t>The powers of the Federal Government to enact legislation arise from Article 74(1) subparagraph 24 of the Basic Law. Accordingly, Federal Government has the concurrent power to enact waste management legislation. Such powers relate to all phases of waste disposal and related activities and measures (cf. the explanatory notes to the Act amending the Basic Law of 28 August 2006 (Federal Law Gazette I 2006, p. 2034 et seq.), Bundestag document 16/813, p. 13 on double letter mm) and previously the settled case-law of the Federal Constitutional Court (</w:t>
      </w:r>
      <w:proofErr w:type="spellStart"/>
      <w:r w:rsidRPr="003C2BC2">
        <w:t>BVerfGE</w:t>
      </w:r>
      <w:proofErr w:type="spellEnd"/>
      <w:r w:rsidRPr="003C2BC2">
        <w:t xml:space="preserve"> 98, 106 (120); 102, 99 (115 f.)).</w:t>
      </w:r>
    </w:p>
    <w:p w14:paraId="7B562ACD" w14:textId="7577D369" w:rsidR="00611481" w:rsidRPr="003C2BC2" w:rsidRDefault="005B17F4" w:rsidP="005B17F4">
      <w:pPr>
        <w:pStyle w:val="Text"/>
      </w:pPr>
      <w:r w:rsidRPr="003C2BC2">
        <w:t>According to the relevant case-law of the Federal Constitutional Court (</w:t>
      </w:r>
      <w:proofErr w:type="spellStart"/>
      <w:r w:rsidRPr="003C2BC2">
        <w:t>BVerfGE</w:t>
      </w:r>
      <w:proofErr w:type="spellEnd"/>
      <w:r w:rsidRPr="003C2BC2">
        <w:t xml:space="preserve"> 137, 1 (paragraph 45); 135, 155 (paragraph 121)), legislative powers are based on the general rules laid down in Article 70 et seq. of the Basic Law when it comes to levies that are not taxes. The adoption of this Act imposing a special levy and establishing a single-use plastics fund falls under the legislative powers of the Federal Government.</w:t>
      </w:r>
    </w:p>
    <w:p w14:paraId="33B4F2CF" w14:textId="77777777" w:rsidR="00611481" w:rsidRPr="003C2BC2" w:rsidRDefault="00611481" w:rsidP="00B031F1">
      <w:pPr>
        <w:pStyle w:val="berschriftrmischBegrndung"/>
      </w:pPr>
      <w:r w:rsidRPr="003C2BC2">
        <w:t>Compatibility with European Union law and international treaties</w:t>
      </w:r>
    </w:p>
    <w:p w14:paraId="3FD3BE40" w14:textId="3757C335" w:rsidR="00611481" w:rsidRPr="003C2BC2" w:rsidRDefault="005B17F4" w:rsidP="00B031F1">
      <w:pPr>
        <w:pStyle w:val="Text"/>
      </w:pPr>
      <w:r w:rsidRPr="003C2BC2">
        <w:t>The provisions laid down in this Act transpose into German law Article 8(1) to (7) and Article 14 of Directive (EU) 2019/904 on a one-to-one basis (see section I). In doing so, compliance with the relevant requirements laid down in Articles 8 and 8a of Directive 2008/98/EC for extended producer responsibility schemes is achieved.</w:t>
      </w:r>
    </w:p>
    <w:p w14:paraId="393668EE" w14:textId="77777777" w:rsidR="00611481" w:rsidRPr="003C2BC2" w:rsidRDefault="00611481" w:rsidP="00B031F1">
      <w:pPr>
        <w:pStyle w:val="berschriftrmischBegrndung"/>
      </w:pPr>
      <w:r w:rsidRPr="003C2BC2">
        <w:t>Impact of the Act</w:t>
      </w:r>
    </w:p>
    <w:p w14:paraId="77643778" w14:textId="77777777" w:rsidR="00611481" w:rsidRPr="003C2BC2" w:rsidRDefault="00611481" w:rsidP="00B031F1">
      <w:pPr>
        <w:pStyle w:val="berschriftarabischBegrndung"/>
      </w:pPr>
      <w:r w:rsidRPr="003C2BC2">
        <w:t>Legislative and administrative simplification</w:t>
      </w:r>
    </w:p>
    <w:p w14:paraId="5AB0DB99" w14:textId="77777777" w:rsidR="00611481" w:rsidRPr="003C2BC2" w:rsidRDefault="005B17F4" w:rsidP="00B031F1">
      <w:pPr>
        <w:pStyle w:val="Text"/>
      </w:pPr>
      <w:r w:rsidRPr="003C2BC2">
        <w:t>No direct legislative and administrative simplification is associated with the Act. However, when designing the extended producer responsibility scheme, attention was paid to creating administrative procedures that are as unbureaucratic and simple as possible. In particular, by means of bundling the tasks at the Federal Environment Agency using the producer data already available at the Central Agency and through electronic processing of all administrative and payment procedures, it is ensured that there is no excessive bureaucratic burden on the companies concerned and the authorities.</w:t>
      </w:r>
    </w:p>
    <w:p w14:paraId="4DE550BA" w14:textId="77777777" w:rsidR="00611481" w:rsidRPr="003C2BC2" w:rsidRDefault="00611481" w:rsidP="00B031F1">
      <w:pPr>
        <w:pStyle w:val="berschriftarabischBegrndung"/>
      </w:pPr>
      <w:r w:rsidRPr="003C2BC2">
        <w:t>Sustainability aspects</w:t>
      </w:r>
    </w:p>
    <w:p w14:paraId="7156C8BB" w14:textId="77777777" w:rsidR="005B17F4" w:rsidRPr="003C2BC2" w:rsidRDefault="005B17F4" w:rsidP="005B17F4">
      <w:pPr>
        <w:pStyle w:val="Text"/>
      </w:pPr>
      <w:r w:rsidRPr="003C2BC2">
        <w:t>The Act contributes as follows to the realisation of the UN Sustainable Development Goals (SDGs) and the principles of sustainable development as part of the German Sustainability Strategy (update 2018) of the Federal Government:</w:t>
      </w:r>
    </w:p>
    <w:p w14:paraId="295FB3FB" w14:textId="77777777" w:rsidR="005B17F4" w:rsidRPr="003C2BC2" w:rsidRDefault="005B17F4" w:rsidP="005B17F4">
      <w:pPr>
        <w:pStyle w:val="Text"/>
        <w:rPr>
          <w:b/>
        </w:rPr>
      </w:pPr>
      <w:r w:rsidRPr="003C2BC2">
        <w:rPr>
          <w:b/>
        </w:rPr>
        <w:t>a) UN sustainability goals</w:t>
      </w:r>
    </w:p>
    <w:p w14:paraId="57887C60" w14:textId="77777777" w:rsidR="005B17F4" w:rsidRPr="003C2BC2" w:rsidRDefault="005B17F4" w:rsidP="005B17F4">
      <w:pPr>
        <w:pStyle w:val="Text"/>
      </w:pPr>
      <w:r w:rsidRPr="003C2BC2">
        <w:t>SDG 7.1 Resource conservation</w:t>
      </w:r>
    </w:p>
    <w:p w14:paraId="2A1840B3" w14:textId="77777777" w:rsidR="005B17F4" w:rsidRPr="003C2BC2" w:rsidRDefault="005B17F4" w:rsidP="005B17F4">
      <w:pPr>
        <w:pStyle w:val="Text"/>
      </w:pPr>
      <w:r w:rsidRPr="003C2BC2">
        <w:t>The draft legislation is intended to support resource-efficient reusable solutions.</w:t>
      </w:r>
    </w:p>
    <w:p w14:paraId="7F76D3FD" w14:textId="77777777" w:rsidR="005B17F4" w:rsidRPr="003C2BC2" w:rsidRDefault="005B17F4" w:rsidP="005B17F4">
      <w:pPr>
        <w:pStyle w:val="Text"/>
      </w:pPr>
      <w:r w:rsidRPr="003C2BC2">
        <w:t>SDG 9.1 Innovation</w:t>
      </w:r>
    </w:p>
    <w:p w14:paraId="0CAF7D43" w14:textId="77777777" w:rsidR="005B17F4" w:rsidRPr="003C2BC2" w:rsidRDefault="005B17F4" w:rsidP="005B17F4">
      <w:pPr>
        <w:pStyle w:val="Text"/>
      </w:pPr>
      <w:r w:rsidRPr="003C2BC2">
        <w:t>The draft legislation contributes to the industry concerned developing more sustainable solutions through reusability, moving away from short-lived single-use products.</w:t>
      </w:r>
    </w:p>
    <w:p w14:paraId="436519A1" w14:textId="77777777" w:rsidR="005B17F4" w:rsidRPr="003C2BC2" w:rsidRDefault="005B17F4" w:rsidP="005B17F4">
      <w:pPr>
        <w:pStyle w:val="Text"/>
      </w:pPr>
      <w:r w:rsidRPr="003C2BC2">
        <w:t>SDG 10.2 Distributive justice</w:t>
      </w:r>
    </w:p>
    <w:p w14:paraId="1895085D" w14:textId="77777777" w:rsidR="005B17F4" w:rsidRPr="003C2BC2" w:rsidRDefault="005B17F4" w:rsidP="005B17F4">
      <w:pPr>
        <w:pStyle w:val="Text"/>
      </w:pPr>
      <w:r w:rsidRPr="003C2BC2">
        <w:lastRenderedPageBreak/>
        <w:t>The draft legislation ensures that the costs for disposing of and cleaning up waste generated from single-use plastic products, which has so far been borne by the general public through disposal fees, are to be borne in the future by the producers of these short-lived products.</w:t>
      </w:r>
    </w:p>
    <w:p w14:paraId="286E8737" w14:textId="77777777" w:rsidR="005B17F4" w:rsidRPr="003C2BC2" w:rsidRDefault="005B17F4" w:rsidP="005B17F4">
      <w:pPr>
        <w:pStyle w:val="Text"/>
      </w:pPr>
      <w:r w:rsidRPr="003C2BC2">
        <w:t>SDG 11 Sustainable cities and communities</w:t>
      </w:r>
    </w:p>
    <w:p w14:paraId="334621FF" w14:textId="77777777" w:rsidR="005B17F4" w:rsidRPr="003C2BC2" w:rsidRDefault="005B17F4" w:rsidP="005B17F4">
      <w:pPr>
        <w:pStyle w:val="Text"/>
      </w:pPr>
      <w:r w:rsidRPr="003C2BC2">
        <w:t>The draft legislation ensures that incentives are created to improve the cleanliness of cities and landscapes through the reimbursement of costs.</w:t>
      </w:r>
    </w:p>
    <w:p w14:paraId="24930563" w14:textId="77777777" w:rsidR="005B17F4" w:rsidRPr="003C2BC2" w:rsidRDefault="005B17F4" w:rsidP="005B17F4">
      <w:pPr>
        <w:pStyle w:val="Text"/>
      </w:pPr>
      <w:r w:rsidRPr="003C2BC2">
        <w:t>SDG 12.1 Sustainable consumption</w:t>
      </w:r>
    </w:p>
    <w:p w14:paraId="374260F6" w14:textId="46C4BF3B" w:rsidR="005B17F4" w:rsidRPr="003C2BC2" w:rsidRDefault="005B17F4" w:rsidP="005B17F4">
      <w:pPr>
        <w:pStyle w:val="Text"/>
      </w:pPr>
      <w:r w:rsidRPr="003C2BC2">
        <w:t>Through awareness-raising measures, the draft legislation encourages consumers to switch from single-use plastic products to more sustainable alternatives such as reusable products.</w:t>
      </w:r>
    </w:p>
    <w:p w14:paraId="088E877A" w14:textId="77777777" w:rsidR="005B17F4" w:rsidRPr="003C2BC2" w:rsidRDefault="005B17F4" w:rsidP="005B17F4">
      <w:pPr>
        <w:pStyle w:val="Text"/>
      </w:pPr>
      <w:r w:rsidRPr="003C2BC2">
        <w:t>SDG 12.2 Sustainable production</w:t>
      </w:r>
    </w:p>
    <w:p w14:paraId="5EEFF915" w14:textId="77777777" w:rsidR="005B17F4" w:rsidRPr="003C2BC2" w:rsidRDefault="005B17F4" w:rsidP="005B17F4">
      <w:pPr>
        <w:pStyle w:val="Text"/>
      </w:pPr>
      <w:r w:rsidRPr="003C2BC2">
        <w:t>The draft legislation will help reduce the production of single-use plastic products in favour of more sustainable products, in particular reusable solutions.</w:t>
      </w:r>
    </w:p>
    <w:p w14:paraId="37338973" w14:textId="77777777" w:rsidR="005B17F4" w:rsidRPr="003C2BC2" w:rsidRDefault="005B17F4" w:rsidP="005B17F4">
      <w:pPr>
        <w:pStyle w:val="Text"/>
      </w:pPr>
      <w:r w:rsidRPr="003C2BC2">
        <w:t>SDG 14 Life below water</w:t>
      </w:r>
    </w:p>
    <w:p w14:paraId="4F2CCD0E" w14:textId="77777777" w:rsidR="005B17F4" w:rsidRPr="003C2BC2" w:rsidRDefault="005B17F4" w:rsidP="005B17F4">
      <w:pPr>
        <w:pStyle w:val="Text"/>
      </w:pPr>
      <w:r w:rsidRPr="003C2BC2">
        <w:t>The draft legislation aims to reduce the introduction of plastics from land into the seas and thereby protect life below water.</w:t>
      </w:r>
    </w:p>
    <w:p w14:paraId="04C3687B" w14:textId="77777777" w:rsidR="005B17F4" w:rsidRPr="003C2BC2" w:rsidRDefault="005B17F4" w:rsidP="005B17F4">
      <w:pPr>
        <w:pStyle w:val="Text"/>
      </w:pPr>
      <w:r w:rsidRPr="003C2BC2">
        <w:t>SDG 15 Life on land</w:t>
      </w:r>
    </w:p>
    <w:p w14:paraId="578BFAB8" w14:textId="77777777" w:rsidR="005B17F4" w:rsidRPr="003C2BC2" w:rsidRDefault="005B17F4" w:rsidP="005B17F4">
      <w:pPr>
        <w:pStyle w:val="Text"/>
      </w:pPr>
      <w:r w:rsidRPr="003C2BC2">
        <w:t>The draft legislation aims to combat the introduction of plastics into the landscape and soils and to promote cleanliness of the environment.</w:t>
      </w:r>
    </w:p>
    <w:p w14:paraId="301E3BFD" w14:textId="77777777" w:rsidR="005B17F4" w:rsidRPr="003C2BC2" w:rsidRDefault="005B17F4" w:rsidP="005B17F4">
      <w:pPr>
        <w:pStyle w:val="Text"/>
        <w:rPr>
          <w:b/>
        </w:rPr>
      </w:pPr>
      <w:r w:rsidRPr="003C2BC2">
        <w:rPr>
          <w:b/>
        </w:rPr>
        <w:t>b) Principles of sustainable development according to the German Sustainability Strategy:</w:t>
      </w:r>
    </w:p>
    <w:p w14:paraId="12F015E8" w14:textId="77777777" w:rsidR="005B17F4" w:rsidRPr="003C2BC2" w:rsidRDefault="005B17F4" w:rsidP="005B17F4">
      <w:pPr>
        <w:pStyle w:val="Text"/>
      </w:pPr>
      <w:r w:rsidRPr="003C2BC2">
        <w:t>Principle 1: Apply sustainable development as a guiding principle consistently in all areas and in all decisions</w:t>
      </w:r>
    </w:p>
    <w:p w14:paraId="1F851337" w14:textId="77777777" w:rsidR="005B17F4" w:rsidRPr="003C2BC2" w:rsidRDefault="005B17F4" w:rsidP="005B17F4">
      <w:pPr>
        <w:pStyle w:val="Text"/>
      </w:pPr>
      <w:r w:rsidRPr="003C2BC2">
        <w:t>The draft legislation makes an important contribution to more sustainable use of plastics, a fair distribution of disposal and cleaning costs and a cleaner environment.</w:t>
      </w:r>
    </w:p>
    <w:p w14:paraId="4F3EE5B8" w14:textId="77777777" w:rsidR="005B17F4" w:rsidRPr="003C2BC2" w:rsidRDefault="005B17F4" w:rsidP="005B17F4">
      <w:pPr>
        <w:pStyle w:val="Text"/>
      </w:pPr>
      <w:r w:rsidRPr="003C2BC2">
        <w:t>Principle 2: Assume global responsibility</w:t>
      </w:r>
    </w:p>
    <w:p w14:paraId="3AFF9B49" w14:textId="10F66BAB" w:rsidR="005B17F4" w:rsidRPr="003C2BC2" w:rsidRDefault="005B17F4" w:rsidP="005B17F4">
      <w:pPr>
        <w:pStyle w:val="Text"/>
      </w:pPr>
      <w:r w:rsidRPr="003C2BC2">
        <w:t>Precisely because of the global dimension of the problem of marine pollution, the draft legislation is intended to contribute to further limiting the introduction of plastic from the land into the marine environment.</w:t>
      </w:r>
    </w:p>
    <w:p w14:paraId="7AF51862" w14:textId="77777777" w:rsidR="005B17F4" w:rsidRPr="003C2BC2" w:rsidRDefault="005B17F4" w:rsidP="005B17F4">
      <w:pPr>
        <w:pStyle w:val="Text"/>
      </w:pPr>
      <w:r w:rsidRPr="003C2BC2">
        <w:t>Principle 3: Strengthen the natural resource base on which life depends</w:t>
      </w:r>
    </w:p>
    <w:p w14:paraId="27B551C7" w14:textId="77777777" w:rsidR="005B17F4" w:rsidRPr="003C2BC2" w:rsidRDefault="005B17F4" w:rsidP="005B17F4">
      <w:pPr>
        <w:pStyle w:val="Text"/>
      </w:pPr>
      <w:r w:rsidRPr="003C2BC2">
        <w:t>With regard to the harmful effects of plastics and microplastics on marine biology, the draft legislation aims to contribute to preserving the natural resource base on which life depends.</w:t>
      </w:r>
    </w:p>
    <w:p w14:paraId="720F019A" w14:textId="77777777" w:rsidR="005B17F4" w:rsidRPr="003C2BC2" w:rsidRDefault="005B17F4" w:rsidP="005B17F4">
      <w:pPr>
        <w:pStyle w:val="Text"/>
      </w:pPr>
      <w:r w:rsidRPr="003C2BC2">
        <w:t>Principle 4: Strengthen sustainable management</w:t>
      </w:r>
    </w:p>
    <w:p w14:paraId="44BD67A2" w14:textId="08B9A453" w:rsidR="005B17F4" w:rsidRPr="003C2BC2" w:rsidRDefault="005B17F4" w:rsidP="005B17F4">
      <w:pPr>
        <w:pStyle w:val="Text"/>
      </w:pPr>
      <w:r w:rsidRPr="003C2BC2">
        <w:t>The draft legislation aims to sustainably manage plastic as a resource, to reduce overall resource consumption and to promote the supply of reusable alternatives to the economy.</w:t>
      </w:r>
    </w:p>
    <w:p w14:paraId="313D80E7" w14:textId="77777777" w:rsidR="005B17F4" w:rsidRPr="003C2BC2" w:rsidRDefault="005B17F4" w:rsidP="005B17F4">
      <w:pPr>
        <w:pStyle w:val="Text"/>
      </w:pPr>
      <w:r w:rsidRPr="003C2BC2">
        <w:t>Principle 6: Use education, science and innovation as drivers of sustainable development</w:t>
      </w:r>
    </w:p>
    <w:p w14:paraId="1F86E999" w14:textId="77777777" w:rsidR="00611481" w:rsidRPr="003C2BC2" w:rsidRDefault="005B17F4" w:rsidP="005B17F4">
      <w:pPr>
        <w:pStyle w:val="Text"/>
      </w:pPr>
      <w:r w:rsidRPr="003C2BC2">
        <w:lastRenderedPageBreak/>
        <w:t>The draft legislation will act as a driver of innovation for more sustainable products and more sustainable consumer models.</w:t>
      </w:r>
    </w:p>
    <w:p w14:paraId="757920DB" w14:textId="5D27C3A7" w:rsidR="00611481" w:rsidRPr="003C2BC2" w:rsidRDefault="00611481" w:rsidP="00B031F1">
      <w:pPr>
        <w:pStyle w:val="berschriftarabischBegrndung"/>
      </w:pPr>
      <w:r w:rsidRPr="003C2BC2">
        <w:t>Budgetary expenditures exclusive of compliance costs</w:t>
      </w:r>
    </w:p>
    <w:p w14:paraId="42EE6C11" w14:textId="1D61E8FD" w:rsidR="00F150BA" w:rsidRPr="003C2BC2" w:rsidRDefault="00F150BA" w:rsidP="004A3104">
      <w:r w:rsidRPr="003C2BC2">
        <w:t>The Act primarily creates budgetary expenditure for the Federal Budget (Environment Agency) with respect to the administration of a single-use plastics fund, the establishment and management of the necessary registers and reporting portals as well as the necessary preparation of decisions and verification procedures for validating data. In addition, budgetary expenditure for the Federal Budget (Federal Ministry for the Environment, Nature Conservation, Nuclear Safety and Consumer Protection) is created with respect to the legal and technical supervision of the Federal Environment Agency in the performance of the various tasks under this Act. According to the financial planning carried out on the basis of existing implementation tasks of the Federal Environment Agency, the expenditure is broken down as follows:</w:t>
      </w:r>
    </w:p>
    <w:p w14:paraId="490D66E4" w14:textId="5E627EF7" w:rsidR="00F150BA" w:rsidRPr="003C2BC2" w:rsidRDefault="00F150BA" w:rsidP="004A3104">
      <w:r w:rsidRPr="003C2BC2">
        <w:t>a) Federal Ministry for the Environment, Nature Conservation, Nuclear Safety and Consumer Protection</w:t>
      </w:r>
    </w:p>
    <w:tbl>
      <w:tblPr>
        <w:tblStyle w:val="TableGrid"/>
        <w:tblW w:w="0" w:type="auto"/>
        <w:tblLook w:val="04A0" w:firstRow="1" w:lastRow="0" w:firstColumn="1" w:lastColumn="0" w:noHBand="0" w:noVBand="1"/>
      </w:tblPr>
      <w:tblGrid>
        <w:gridCol w:w="2184"/>
        <w:gridCol w:w="2201"/>
        <w:gridCol w:w="2202"/>
        <w:gridCol w:w="2192"/>
      </w:tblGrid>
      <w:tr w:rsidR="00F150BA" w:rsidRPr="003C2BC2" w14:paraId="6F434C59" w14:textId="77777777" w:rsidTr="001D6D6E">
        <w:tc>
          <w:tcPr>
            <w:tcW w:w="2184" w:type="dxa"/>
          </w:tcPr>
          <w:p w14:paraId="2231040F" w14:textId="77777777" w:rsidR="00F150BA" w:rsidRPr="003C2BC2" w:rsidRDefault="00F150BA" w:rsidP="004A3104">
            <w:pPr>
              <w:rPr>
                <w:b/>
              </w:rPr>
            </w:pPr>
            <w:r w:rsidRPr="003C2BC2">
              <w:rPr>
                <w:b/>
              </w:rPr>
              <w:t>Year</w:t>
            </w:r>
          </w:p>
        </w:tc>
        <w:tc>
          <w:tcPr>
            <w:tcW w:w="2201" w:type="dxa"/>
          </w:tcPr>
          <w:p w14:paraId="4D757503" w14:textId="77777777" w:rsidR="00F150BA" w:rsidRPr="003C2BC2" w:rsidRDefault="00F150BA" w:rsidP="004A3104">
            <w:pPr>
              <w:rPr>
                <w:b/>
              </w:rPr>
            </w:pPr>
            <w:r w:rsidRPr="003C2BC2">
              <w:rPr>
                <w:b/>
              </w:rPr>
              <w:t xml:space="preserve">Budgetary expenditure </w:t>
            </w:r>
          </w:p>
        </w:tc>
        <w:tc>
          <w:tcPr>
            <w:tcW w:w="2202" w:type="dxa"/>
          </w:tcPr>
          <w:p w14:paraId="2E16CB75" w14:textId="588D30CC" w:rsidR="00F150BA" w:rsidRPr="003C2BC2" w:rsidRDefault="00F150BA" w:rsidP="00965B5C">
            <w:pPr>
              <w:rPr>
                <w:b/>
              </w:rPr>
            </w:pPr>
            <w:r w:rsidRPr="003C2BC2">
              <w:rPr>
                <w:b/>
              </w:rPr>
              <w:t>of which personnel expenditure</w:t>
            </w:r>
          </w:p>
        </w:tc>
        <w:tc>
          <w:tcPr>
            <w:tcW w:w="2192" w:type="dxa"/>
          </w:tcPr>
          <w:p w14:paraId="3B881967" w14:textId="3B95EC5C" w:rsidR="00F150BA" w:rsidRPr="003C2BC2" w:rsidRDefault="00F150BA" w:rsidP="00965B5C">
            <w:pPr>
              <w:rPr>
                <w:b/>
              </w:rPr>
            </w:pPr>
            <w:r w:rsidRPr="003C2BC2">
              <w:rPr>
                <w:b/>
              </w:rPr>
              <w:t>of which material expenditure</w:t>
            </w:r>
          </w:p>
        </w:tc>
      </w:tr>
      <w:tr w:rsidR="00F150BA" w:rsidRPr="003C2BC2" w14:paraId="72E73B04" w14:textId="77777777" w:rsidTr="001D6D6E">
        <w:tc>
          <w:tcPr>
            <w:tcW w:w="2184" w:type="dxa"/>
          </w:tcPr>
          <w:p w14:paraId="74884F24" w14:textId="77777777" w:rsidR="00F150BA" w:rsidRPr="003C2BC2" w:rsidRDefault="00F150BA" w:rsidP="004A3104">
            <w:r w:rsidRPr="003C2BC2">
              <w:t>2023</w:t>
            </w:r>
          </w:p>
        </w:tc>
        <w:tc>
          <w:tcPr>
            <w:tcW w:w="2201" w:type="dxa"/>
          </w:tcPr>
          <w:p w14:paraId="2C51191B" w14:textId="01994EA2" w:rsidR="00F150BA" w:rsidRPr="003C2BC2" w:rsidRDefault="00F7330A" w:rsidP="004A3104">
            <w:r w:rsidRPr="003C2BC2">
              <w:t>216 123 euro</w:t>
            </w:r>
          </w:p>
        </w:tc>
        <w:tc>
          <w:tcPr>
            <w:tcW w:w="2202" w:type="dxa"/>
          </w:tcPr>
          <w:p w14:paraId="3E3CF28E" w14:textId="716A3BB8" w:rsidR="00F150BA" w:rsidRPr="003C2BC2" w:rsidRDefault="00F7330A" w:rsidP="004A3104">
            <w:r w:rsidRPr="003C2BC2">
              <w:t>216 123 euro</w:t>
            </w:r>
          </w:p>
        </w:tc>
        <w:tc>
          <w:tcPr>
            <w:tcW w:w="2192" w:type="dxa"/>
          </w:tcPr>
          <w:p w14:paraId="433211F2" w14:textId="77777777" w:rsidR="00F150BA" w:rsidRPr="003C2BC2" w:rsidRDefault="00F150BA" w:rsidP="004A3104"/>
        </w:tc>
      </w:tr>
      <w:tr w:rsidR="00F150BA" w:rsidRPr="003C2BC2" w14:paraId="04AD0355" w14:textId="77777777" w:rsidTr="001D6D6E">
        <w:tc>
          <w:tcPr>
            <w:tcW w:w="2184" w:type="dxa"/>
          </w:tcPr>
          <w:p w14:paraId="2BCFFAF2" w14:textId="77777777" w:rsidR="00F150BA" w:rsidRPr="003C2BC2" w:rsidRDefault="00F150BA" w:rsidP="004A3104">
            <w:r w:rsidRPr="003C2BC2">
              <w:t>2024</w:t>
            </w:r>
          </w:p>
        </w:tc>
        <w:tc>
          <w:tcPr>
            <w:tcW w:w="2201" w:type="dxa"/>
          </w:tcPr>
          <w:p w14:paraId="64DADE5E" w14:textId="1381FBC2" w:rsidR="00F150BA" w:rsidRPr="003C2BC2" w:rsidRDefault="00F7330A" w:rsidP="004A3104">
            <w:r w:rsidRPr="003C2BC2">
              <w:t>216 123 euro</w:t>
            </w:r>
          </w:p>
        </w:tc>
        <w:tc>
          <w:tcPr>
            <w:tcW w:w="2202" w:type="dxa"/>
          </w:tcPr>
          <w:p w14:paraId="3B91AECA" w14:textId="7CA3EE81" w:rsidR="00F150BA" w:rsidRPr="003C2BC2" w:rsidRDefault="00F7330A" w:rsidP="004A3104">
            <w:r w:rsidRPr="003C2BC2">
              <w:t>216 123 euro</w:t>
            </w:r>
          </w:p>
        </w:tc>
        <w:tc>
          <w:tcPr>
            <w:tcW w:w="2192" w:type="dxa"/>
          </w:tcPr>
          <w:p w14:paraId="5EEB51C6" w14:textId="77777777" w:rsidR="00F150BA" w:rsidRPr="003C2BC2" w:rsidRDefault="00F150BA" w:rsidP="004A3104"/>
        </w:tc>
      </w:tr>
      <w:tr w:rsidR="00F150BA" w:rsidRPr="003C2BC2" w14:paraId="177BF77E" w14:textId="77777777" w:rsidTr="001D6D6E">
        <w:tc>
          <w:tcPr>
            <w:tcW w:w="2184" w:type="dxa"/>
          </w:tcPr>
          <w:p w14:paraId="7C6584A7" w14:textId="77777777" w:rsidR="00F150BA" w:rsidRPr="003C2BC2" w:rsidRDefault="00F150BA" w:rsidP="004A3104">
            <w:r w:rsidRPr="003C2BC2">
              <w:t>2025</w:t>
            </w:r>
          </w:p>
        </w:tc>
        <w:tc>
          <w:tcPr>
            <w:tcW w:w="2201" w:type="dxa"/>
          </w:tcPr>
          <w:p w14:paraId="5D9F0462" w14:textId="3801D16F" w:rsidR="00F150BA" w:rsidRPr="003C2BC2" w:rsidRDefault="00F7330A" w:rsidP="004A3104">
            <w:r w:rsidRPr="003C2BC2">
              <w:t>216 123 euro</w:t>
            </w:r>
          </w:p>
        </w:tc>
        <w:tc>
          <w:tcPr>
            <w:tcW w:w="2202" w:type="dxa"/>
          </w:tcPr>
          <w:p w14:paraId="38781E69" w14:textId="38CC71DB" w:rsidR="00F150BA" w:rsidRPr="003C2BC2" w:rsidRDefault="00F7330A" w:rsidP="004A3104">
            <w:r w:rsidRPr="003C2BC2">
              <w:t>216 123 euro</w:t>
            </w:r>
          </w:p>
        </w:tc>
        <w:tc>
          <w:tcPr>
            <w:tcW w:w="2192" w:type="dxa"/>
          </w:tcPr>
          <w:p w14:paraId="733370D1" w14:textId="77777777" w:rsidR="00F150BA" w:rsidRPr="003C2BC2" w:rsidRDefault="00F150BA" w:rsidP="004A3104"/>
        </w:tc>
      </w:tr>
      <w:tr w:rsidR="00F150BA" w:rsidRPr="003C2BC2" w14:paraId="5E0FE435" w14:textId="77777777" w:rsidTr="001D6D6E">
        <w:tc>
          <w:tcPr>
            <w:tcW w:w="2184" w:type="dxa"/>
          </w:tcPr>
          <w:p w14:paraId="09D2501A" w14:textId="77777777" w:rsidR="00F150BA" w:rsidRPr="003C2BC2" w:rsidRDefault="00F150BA" w:rsidP="004A3104">
            <w:r w:rsidRPr="003C2BC2">
              <w:t>2026</w:t>
            </w:r>
          </w:p>
        </w:tc>
        <w:tc>
          <w:tcPr>
            <w:tcW w:w="2201" w:type="dxa"/>
          </w:tcPr>
          <w:p w14:paraId="6457B92E" w14:textId="1638B2EE" w:rsidR="00F150BA" w:rsidRPr="003C2BC2" w:rsidRDefault="00F7330A" w:rsidP="004A3104">
            <w:r w:rsidRPr="003C2BC2">
              <w:t>216 123 euro</w:t>
            </w:r>
          </w:p>
        </w:tc>
        <w:tc>
          <w:tcPr>
            <w:tcW w:w="2202" w:type="dxa"/>
          </w:tcPr>
          <w:p w14:paraId="1467FB58" w14:textId="18351C2C" w:rsidR="00F150BA" w:rsidRPr="003C2BC2" w:rsidRDefault="00F7330A" w:rsidP="004A3104">
            <w:r w:rsidRPr="003C2BC2">
              <w:t>216 123 euro</w:t>
            </w:r>
          </w:p>
        </w:tc>
        <w:tc>
          <w:tcPr>
            <w:tcW w:w="2192" w:type="dxa"/>
          </w:tcPr>
          <w:p w14:paraId="74222C71" w14:textId="77777777" w:rsidR="00F150BA" w:rsidRPr="003C2BC2" w:rsidRDefault="00F150BA" w:rsidP="004A3104"/>
        </w:tc>
      </w:tr>
    </w:tbl>
    <w:p w14:paraId="3DAA3E0F" w14:textId="49B7BDA1" w:rsidR="00F150BA" w:rsidRPr="003C2BC2" w:rsidRDefault="00F150BA" w:rsidP="004A3104">
      <w:r w:rsidRPr="003C2BC2">
        <w:t>With regard to personnel costs, two new posts at the Federal Ministry for the Environment, Nature Conservation, Nuclear Safety and Consumer Protection have been costed for the exercise of legal and technical supervision, which fall into the following pay scales (amounts according to the BMF circular of 18 June 2020 – II A 3 – H 1012-10/07/0001:016; DOC 2020/0052465):</w:t>
      </w:r>
    </w:p>
    <w:p w14:paraId="7B1EC257" w14:textId="1C2A7EFF" w:rsidR="00F150BA" w:rsidRPr="003C2BC2" w:rsidRDefault="00F150BA" w:rsidP="004A3104">
      <w:r w:rsidRPr="003C2BC2">
        <w:t>For the financial year 2023 and the following years, the following new posts are needed:</w:t>
      </w:r>
    </w:p>
    <w:tbl>
      <w:tblPr>
        <w:tblStyle w:val="TableGrid"/>
        <w:tblW w:w="0" w:type="auto"/>
        <w:tblLook w:val="04A0" w:firstRow="1" w:lastRow="0" w:firstColumn="1" w:lastColumn="0" w:noHBand="0" w:noVBand="1"/>
      </w:tblPr>
      <w:tblGrid>
        <w:gridCol w:w="1114"/>
        <w:gridCol w:w="1854"/>
        <w:gridCol w:w="3102"/>
        <w:gridCol w:w="2283"/>
      </w:tblGrid>
      <w:tr w:rsidR="00F150BA" w:rsidRPr="003C2BC2" w14:paraId="72185922" w14:textId="77777777" w:rsidTr="00E604D3">
        <w:tc>
          <w:tcPr>
            <w:tcW w:w="1114" w:type="dxa"/>
            <w:tcBorders>
              <w:top w:val="single" w:sz="4" w:space="0" w:color="auto"/>
              <w:left w:val="single" w:sz="4" w:space="0" w:color="auto"/>
              <w:bottom w:val="single" w:sz="4" w:space="0" w:color="auto"/>
              <w:right w:val="single" w:sz="4" w:space="0" w:color="auto"/>
            </w:tcBorders>
            <w:hideMark/>
          </w:tcPr>
          <w:p w14:paraId="661285FB" w14:textId="67BC9DA3" w:rsidR="00F150BA" w:rsidRPr="003C2BC2" w:rsidRDefault="00F150BA" w:rsidP="004A3104">
            <w:pPr>
              <w:rPr>
                <w:b/>
              </w:rPr>
            </w:pPr>
            <w:r w:rsidRPr="003C2BC2">
              <w:rPr>
                <w:b/>
              </w:rPr>
              <w:t>Number of posts</w:t>
            </w:r>
          </w:p>
        </w:tc>
        <w:tc>
          <w:tcPr>
            <w:tcW w:w="1854" w:type="dxa"/>
            <w:tcBorders>
              <w:top w:val="single" w:sz="4" w:space="0" w:color="auto"/>
              <w:left w:val="single" w:sz="4" w:space="0" w:color="auto"/>
              <w:bottom w:val="single" w:sz="4" w:space="0" w:color="auto"/>
              <w:right w:val="single" w:sz="4" w:space="0" w:color="auto"/>
            </w:tcBorders>
            <w:hideMark/>
          </w:tcPr>
          <w:p w14:paraId="6FAACA1E" w14:textId="77777777" w:rsidR="00F150BA" w:rsidRPr="003C2BC2" w:rsidRDefault="00F150BA" w:rsidP="004A3104">
            <w:pPr>
              <w:rPr>
                <w:b/>
              </w:rPr>
            </w:pPr>
            <w:r w:rsidRPr="003C2BC2">
              <w:rPr>
                <w:b/>
              </w:rPr>
              <w:t>Pay scale</w:t>
            </w:r>
          </w:p>
        </w:tc>
        <w:tc>
          <w:tcPr>
            <w:tcW w:w="3102" w:type="dxa"/>
            <w:tcBorders>
              <w:top w:val="single" w:sz="4" w:space="0" w:color="auto"/>
              <w:left w:val="single" w:sz="4" w:space="0" w:color="auto"/>
              <w:bottom w:val="single" w:sz="4" w:space="0" w:color="auto"/>
              <w:right w:val="single" w:sz="4" w:space="0" w:color="auto"/>
            </w:tcBorders>
            <w:hideMark/>
          </w:tcPr>
          <w:p w14:paraId="0618DC3C" w14:textId="77777777" w:rsidR="00F150BA" w:rsidRPr="003C2BC2" w:rsidRDefault="00F150BA" w:rsidP="004A3104">
            <w:pPr>
              <w:rPr>
                <w:b/>
              </w:rPr>
            </w:pPr>
            <w:r w:rsidRPr="003C2BC2">
              <w:rPr>
                <w:b/>
              </w:rPr>
              <w:t>Activity</w:t>
            </w:r>
          </w:p>
        </w:tc>
        <w:tc>
          <w:tcPr>
            <w:tcW w:w="2283" w:type="dxa"/>
            <w:tcBorders>
              <w:top w:val="single" w:sz="4" w:space="0" w:color="auto"/>
              <w:left w:val="single" w:sz="4" w:space="0" w:color="auto"/>
              <w:bottom w:val="single" w:sz="4" w:space="0" w:color="auto"/>
              <w:right w:val="single" w:sz="4" w:space="0" w:color="auto"/>
            </w:tcBorders>
            <w:hideMark/>
          </w:tcPr>
          <w:p w14:paraId="02C59CAD" w14:textId="77777777" w:rsidR="00F150BA" w:rsidRPr="003C2BC2" w:rsidRDefault="00F150BA" w:rsidP="004A3104">
            <w:pPr>
              <w:rPr>
                <w:b/>
              </w:rPr>
            </w:pPr>
            <w:r w:rsidRPr="003C2BC2">
              <w:rPr>
                <w:b/>
              </w:rPr>
              <w:t>Personnel rate p.a.</w:t>
            </w:r>
          </w:p>
        </w:tc>
      </w:tr>
      <w:tr w:rsidR="00F150BA" w:rsidRPr="003C2BC2" w14:paraId="03138D0D" w14:textId="77777777" w:rsidTr="00E604D3">
        <w:tc>
          <w:tcPr>
            <w:tcW w:w="1114" w:type="dxa"/>
            <w:vMerge w:val="restart"/>
            <w:tcBorders>
              <w:top w:val="single" w:sz="4" w:space="0" w:color="auto"/>
              <w:left w:val="single" w:sz="4" w:space="0" w:color="auto"/>
              <w:right w:val="single" w:sz="4" w:space="0" w:color="auto"/>
            </w:tcBorders>
            <w:hideMark/>
          </w:tcPr>
          <w:p w14:paraId="2B2067B7" w14:textId="77777777" w:rsidR="00F150BA" w:rsidRPr="003C2BC2" w:rsidRDefault="00F150BA" w:rsidP="004A3104">
            <w:r w:rsidRPr="003C2BC2">
              <w:t>2</w:t>
            </w:r>
          </w:p>
          <w:p w14:paraId="1537935A" w14:textId="2BDF8D99" w:rsidR="00F150BA" w:rsidRPr="003C2BC2" w:rsidRDefault="00F150BA" w:rsidP="004A3104"/>
        </w:tc>
        <w:tc>
          <w:tcPr>
            <w:tcW w:w="1854" w:type="dxa"/>
            <w:tcBorders>
              <w:top w:val="single" w:sz="4" w:space="0" w:color="auto"/>
              <w:left w:val="single" w:sz="4" w:space="0" w:color="auto"/>
              <w:bottom w:val="single" w:sz="4" w:space="0" w:color="auto"/>
              <w:right w:val="single" w:sz="4" w:space="0" w:color="auto"/>
            </w:tcBorders>
            <w:hideMark/>
          </w:tcPr>
          <w:p w14:paraId="101C9C32" w14:textId="34FAF942" w:rsidR="00F150BA" w:rsidRPr="003C2BC2" w:rsidRDefault="00F150BA" w:rsidP="004A3104">
            <w:r w:rsidRPr="003C2BC2">
              <w:t xml:space="preserve">1 x </w:t>
            </w:r>
            <w:proofErr w:type="spellStart"/>
            <w:r w:rsidRPr="003C2BC2">
              <w:t>höherer</w:t>
            </w:r>
            <w:proofErr w:type="spellEnd"/>
            <w:r w:rsidRPr="003C2BC2">
              <w:t xml:space="preserve"> </w:t>
            </w:r>
            <w:proofErr w:type="spellStart"/>
            <w:r w:rsidRPr="003C2BC2">
              <w:t>Dienst</w:t>
            </w:r>
            <w:proofErr w:type="spellEnd"/>
            <w:r w:rsidRPr="003C2BC2">
              <w:t xml:space="preserve"> (senior service level) post (A 15)</w:t>
            </w:r>
          </w:p>
        </w:tc>
        <w:tc>
          <w:tcPr>
            <w:tcW w:w="3102" w:type="dxa"/>
            <w:tcBorders>
              <w:top w:val="single" w:sz="4" w:space="0" w:color="auto"/>
              <w:left w:val="single" w:sz="4" w:space="0" w:color="auto"/>
              <w:bottom w:val="single" w:sz="4" w:space="0" w:color="auto"/>
              <w:right w:val="single" w:sz="4" w:space="0" w:color="auto"/>
            </w:tcBorders>
            <w:hideMark/>
          </w:tcPr>
          <w:p w14:paraId="34A0DBFE" w14:textId="77777777" w:rsidR="00F150BA" w:rsidRPr="003C2BC2" w:rsidRDefault="00F150BA" w:rsidP="004A3104">
            <w:r w:rsidRPr="003C2BC2">
              <w:t>Exercise of legal and technical supervision</w:t>
            </w:r>
          </w:p>
        </w:tc>
        <w:tc>
          <w:tcPr>
            <w:tcW w:w="2283" w:type="dxa"/>
            <w:tcBorders>
              <w:top w:val="single" w:sz="4" w:space="0" w:color="auto"/>
              <w:left w:val="single" w:sz="4" w:space="0" w:color="auto"/>
              <w:bottom w:val="single" w:sz="4" w:space="0" w:color="auto"/>
              <w:right w:val="single" w:sz="4" w:space="0" w:color="auto"/>
            </w:tcBorders>
            <w:hideMark/>
          </w:tcPr>
          <w:p w14:paraId="1A247119" w14:textId="28F29C36" w:rsidR="00F150BA" w:rsidRPr="003C2BC2" w:rsidRDefault="00F150BA" w:rsidP="00F7330A">
            <w:r w:rsidRPr="003C2BC2">
              <w:t>1 x EUR 120 996</w:t>
            </w:r>
          </w:p>
        </w:tc>
      </w:tr>
      <w:tr w:rsidR="00F150BA" w:rsidRPr="003C2BC2" w14:paraId="30A017FC" w14:textId="77777777" w:rsidTr="00E604D3">
        <w:tc>
          <w:tcPr>
            <w:tcW w:w="1114" w:type="dxa"/>
            <w:vMerge/>
            <w:tcBorders>
              <w:left w:val="single" w:sz="4" w:space="0" w:color="auto"/>
              <w:right w:val="single" w:sz="4" w:space="0" w:color="auto"/>
            </w:tcBorders>
          </w:tcPr>
          <w:p w14:paraId="2016CB58" w14:textId="77777777" w:rsidR="00F150BA" w:rsidRPr="003C2BC2" w:rsidRDefault="00F150BA" w:rsidP="004A3104"/>
        </w:tc>
        <w:tc>
          <w:tcPr>
            <w:tcW w:w="1854" w:type="dxa"/>
            <w:tcBorders>
              <w:top w:val="single" w:sz="4" w:space="0" w:color="auto"/>
              <w:left w:val="single" w:sz="4" w:space="0" w:color="auto"/>
              <w:bottom w:val="single" w:sz="4" w:space="0" w:color="auto"/>
              <w:right w:val="single" w:sz="4" w:space="0" w:color="auto"/>
            </w:tcBorders>
            <w:hideMark/>
          </w:tcPr>
          <w:p w14:paraId="2583BB7A" w14:textId="069C8D3F" w:rsidR="00F150BA" w:rsidRPr="003C2BC2" w:rsidRDefault="00F150BA" w:rsidP="004A3104">
            <w:r w:rsidRPr="003C2BC2">
              <w:t xml:space="preserve">1 x </w:t>
            </w:r>
            <w:proofErr w:type="spellStart"/>
            <w:r w:rsidRPr="003C2BC2">
              <w:t>gehobener</w:t>
            </w:r>
            <w:proofErr w:type="spellEnd"/>
            <w:r w:rsidRPr="003C2BC2">
              <w:t xml:space="preserve"> </w:t>
            </w:r>
            <w:proofErr w:type="spellStart"/>
            <w:r w:rsidRPr="003C2BC2">
              <w:t>Dienst</w:t>
            </w:r>
            <w:proofErr w:type="spellEnd"/>
            <w:r w:rsidRPr="003C2BC2">
              <w:t xml:space="preserve"> (higher service level) post (A 13 g)</w:t>
            </w:r>
          </w:p>
        </w:tc>
        <w:tc>
          <w:tcPr>
            <w:tcW w:w="3102" w:type="dxa"/>
            <w:tcBorders>
              <w:top w:val="single" w:sz="4" w:space="0" w:color="auto"/>
              <w:left w:val="single" w:sz="4" w:space="0" w:color="auto"/>
              <w:bottom w:val="single" w:sz="4" w:space="0" w:color="auto"/>
              <w:right w:val="single" w:sz="4" w:space="0" w:color="auto"/>
            </w:tcBorders>
            <w:hideMark/>
          </w:tcPr>
          <w:p w14:paraId="49BBECE5" w14:textId="77777777" w:rsidR="00F150BA" w:rsidRPr="003C2BC2" w:rsidRDefault="00F150BA" w:rsidP="004A3104">
            <w:r w:rsidRPr="003C2BC2">
              <w:t>Exercise of legal and technical supervision</w:t>
            </w:r>
          </w:p>
        </w:tc>
        <w:tc>
          <w:tcPr>
            <w:tcW w:w="2283" w:type="dxa"/>
            <w:tcBorders>
              <w:top w:val="single" w:sz="4" w:space="0" w:color="auto"/>
              <w:left w:val="single" w:sz="4" w:space="0" w:color="auto"/>
              <w:bottom w:val="single" w:sz="4" w:space="0" w:color="auto"/>
              <w:right w:val="single" w:sz="4" w:space="0" w:color="auto"/>
            </w:tcBorders>
            <w:hideMark/>
          </w:tcPr>
          <w:p w14:paraId="497BE229" w14:textId="32768237" w:rsidR="00F150BA" w:rsidRPr="003C2BC2" w:rsidRDefault="00F150BA" w:rsidP="00F7330A">
            <w:r w:rsidRPr="003C2BC2">
              <w:t>1 x EUR 95 127</w:t>
            </w:r>
          </w:p>
        </w:tc>
      </w:tr>
      <w:tr w:rsidR="00F150BA" w:rsidRPr="003C2BC2" w14:paraId="2B864E10" w14:textId="77777777" w:rsidTr="00E604D3">
        <w:tc>
          <w:tcPr>
            <w:tcW w:w="1114" w:type="dxa"/>
            <w:vMerge/>
            <w:tcBorders>
              <w:left w:val="single" w:sz="4" w:space="0" w:color="auto"/>
              <w:bottom w:val="single" w:sz="4" w:space="0" w:color="auto"/>
              <w:right w:val="single" w:sz="4" w:space="0" w:color="auto"/>
            </w:tcBorders>
          </w:tcPr>
          <w:p w14:paraId="08C4F744" w14:textId="77777777" w:rsidR="00F150BA" w:rsidRPr="003C2BC2" w:rsidRDefault="00F150BA" w:rsidP="004A3104"/>
        </w:tc>
        <w:tc>
          <w:tcPr>
            <w:tcW w:w="1854" w:type="dxa"/>
            <w:tcBorders>
              <w:top w:val="single" w:sz="4" w:space="0" w:color="auto"/>
              <w:left w:val="single" w:sz="4" w:space="0" w:color="auto"/>
              <w:bottom w:val="single" w:sz="4" w:space="0" w:color="auto"/>
              <w:right w:val="single" w:sz="4" w:space="0" w:color="auto"/>
            </w:tcBorders>
          </w:tcPr>
          <w:p w14:paraId="074EA195" w14:textId="77777777" w:rsidR="00F150BA" w:rsidRPr="003C2BC2" w:rsidRDefault="00F150BA" w:rsidP="004A3104"/>
        </w:tc>
        <w:tc>
          <w:tcPr>
            <w:tcW w:w="3102" w:type="dxa"/>
            <w:tcBorders>
              <w:top w:val="single" w:sz="4" w:space="0" w:color="auto"/>
              <w:left w:val="single" w:sz="4" w:space="0" w:color="auto"/>
              <w:bottom w:val="single" w:sz="4" w:space="0" w:color="auto"/>
              <w:right w:val="single" w:sz="4" w:space="0" w:color="auto"/>
            </w:tcBorders>
          </w:tcPr>
          <w:p w14:paraId="6E99753E" w14:textId="77777777" w:rsidR="00F150BA" w:rsidRPr="003C2BC2" w:rsidRDefault="00F150BA" w:rsidP="004A3104">
            <w:pPr>
              <w:rPr>
                <w:u w:val="single"/>
              </w:rPr>
            </w:pPr>
          </w:p>
        </w:tc>
        <w:tc>
          <w:tcPr>
            <w:tcW w:w="2283" w:type="dxa"/>
            <w:tcBorders>
              <w:top w:val="single" w:sz="4" w:space="0" w:color="auto"/>
              <w:left w:val="single" w:sz="4" w:space="0" w:color="auto"/>
              <w:bottom w:val="single" w:sz="4" w:space="0" w:color="auto"/>
              <w:right w:val="single" w:sz="4" w:space="0" w:color="auto"/>
            </w:tcBorders>
          </w:tcPr>
          <w:p w14:paraId="1033BA7F" w14:textId="076E4922" w:rsidR="00F150BA" w:rsidRPr="003C2BC2" w:rsidRDefault="00F7330A" w:rsidP="004A3104">
            <w:pPr>
              <w:rPr>
                <w:u w:val="single"/>
              </w:rPr>
            </w:pPr>
            <w:r w:rsidRPr="003C2BC2">
              <w:t>216 123 euro</w:t>
            </w:r>
          </w:p>
        </w:tc>
      </w:tr>
    </w:tbl>
    <w:p w14:paraId="19CCACCB" w14:textId="5D621087" w:rsidR="00F150BA" w:rsidRPr="003C2BC2" w:rsidRDefault="00F150BA" w:rsidP="00650125">
      <w:pPr>
        <w:keepNext/>
      </w:pPr>
      <w:r w:rsidRPr="003C2BC2">
        <w:lastRenderedPageBreak/>
        <w:t>b) Federal Environment Agency</w:t>
      </w:r>
    </w:p>
    <w:tbl>
      <w:tblPr>
        <w:tblStyle w:val="Tabellenraster1"/>
        <w:tblW w:w="0" w:type="auto"/>
        <w:tblLook w:val="04A0" w:firstRow="1" w:lastRow="0" w:firstColumn="1" w:lastColumn="0" w:noHBand="0" w:noVBand="1"/>
      </w:tblPr>
      <w:tblGrid>
        <w:gridCol w:w="2173"/>
        <w:gridCol w:w="2202"/>
        <w:gridCol w:w="2202"/>
        <w:gridCol w:w="2202"/>
      </w:tblGrid>
      <w:tr w:rsidR="00F150BA" w:rsidRPr="003C2BC2" w14:paraId="0F2849F3" w14:textId="77777777" w:rsidTr="001D6D6E">
        <w:tc>
          <w:tcPr>
            <w:tcW w:w="2173" w:type="dxa"/>
            <w:tcBorders>
              <w:top w:val="single" w:sz="4" w:space="0" w:color="auto"/>
              <w:left w:val="single" w:sz="4" w:space="0" w:color="auto"/>
              <w:bottom w:val="single" w:sz="4" w:space="0" w:color="auto"/>
              <w:right w:val="single" w:sz="4" w:space="0" w:color="auto"/>
            </w:tcBorders>
            <w:hideMark/>
          </w:tcPr>
          <w:p w14:paraId="5C0DAD81" w14:textId="77777777" w:rsidR="00F150BA" w:rsidRPr="003C2BC2" w:rsidRDefault="00F150BA" w:rsidP="00650125">
            <w:pPr>
              <w:keepNext/>
              <w:rPr>
                <w:b/>
              </w:rPr>
            </w:pPr>
            <w:r w:rsidRPr="003C2BC2">
              <w:rPr>
                <w:b/>
              </w:rPr>
              <w:t>Year</w:t>
            </w:r>
          </w:p>
        </w:tc>
        <w:tc>
          <w:tcPr>
            <w:tcW w:w="2202" w:type="dxa"/>
            <w:tcBorders>
              <w:top w:val="single" w:sz="4" w:space="0" w:color="auto"/>
              <w:left w:val="single" w:sz="4" w:space="0" w:color="auto"/>
              <w:bottom w:val="single" w:sz="4" w:space="0" w:color="auto"/>
              <w:right w:val="single" w:sz="4" w:space="0" w:color="auto"/>
            </w:tcBorders>
            <w:hideMark/>
          </w:tcPr>
          <w:p w14:paraId="13C60BD4" w14:textId="77777777" w:rsidR="00F150BA" w:rsidRPr="003C2BC2" w:rsidRDefault="00F150BA" w:rsidP="00650125">
            <w:pPr>
              <w:keepNext/>
              <w:rPr>
                <w:b/>
              </w:rPr>
            </w:pPr>
            <w:r w:rsidRPr="003C2BC2">
              <w:rPr>
                <w:b/>
              </w:rPr>
              <w:t>Budgetary expenditure</w:t>
            </w:r>
          </w:p>
        </w:tc>
        <w:tc>
          <w:tcPr>
            <w:tcW w:w="2202" w:type="dxa"/>
            <w:tcBorders>
              <w:top w:val="single" w:sz="4" w:space="0" w:color="auto"/>
              <w:left w:val="single" w:sz="4" w:space="0" w:color="auto"/>
              <w:bottom w:val="single" w:sz="4" w:space="0" w:color="auto"/>
              <w:right w:val="single" w:sz="4" w:space="0" w:color="auto"/>
            </w:tcBorders>
            <w:hideMark/>
          </w:tcPr>
          <w:p w14:paraId="2FC06EF3" w14:textId="77777777" w:rsidR="00F150BA" w:rsidRPr="003C2BC2" w:rsidRDefault="00F150BA" w:rsidP="00650125">
            <w:pPr>
              <w:keepNext/>
              <w:rPr>
                <w:b/>
              </w:rPr>
            </w:pPr>
            <w:r w:rsidRPr="003C2BC2">
              <w:rPr>
                <w:b/>
              </w:rPr>
              <w:t>of which personnel costs</w:t>
            </w:r>
          </w:p>
        </w:tc>
        <w:tc>
          <w:tcPr>
            <w:tcW w:w="2202" w:type="dxa"/>
            <w:tcBorders>
              <w:top w:val="single" w:sz="4" w:space="0" w:color="auto"/>
              <w:left w:val="single" w:sz="4" w:space="0" w:color="auto"/>
              <w:bottom w:val="single" w:sz="4" w:space="0" w:color="auto"/>
              <w:right w:val="single" w:sz="4" w:space="0" w:color="auto"/>
            </w:tcBorders>
            <w:hideMark/>
          </w:tcPr>
          <w:p w14:paraId="046D3D31" w14:textId="77777777" w:rsidR="00F150BA" w:rsidRPr="003C2BC2" w:rsidRDefault="00F150BA" w:rsidP="00650125">
            <w:pPr>
              <w:keepNext/>
              <w:rPr>
                <w:b/>
              </w:rPr>
            </w:pPr>
            <w:r w:rsidRPr="003C2BC2">
              <w:rPr>
                <w:b/>
              </w:rPr>
              <w:t xml:space="preserve">of which </w:t>
            </w:r>
          </w:p>
          <w:p w14:paraId="6DD13D44" w14:textId="77777777" w:rsidR="00F150BA" w:rsidRPr="003C2BC2" w:rsidRDefault="00F150BA" w:rsidP="00650125">
            <w:pPr>
              <w:keepNext/>
              <w:rPr>
                <w:b/>
              </w:rPr>
            </w:pPr>
            <w:r w:rsidRPr="003C2BC2">
              <w:rPr>
                <w:b/>
              </w:rPr>
              <w:t>material costs</w:t>
            </w:r>
          </w:p>
        </w:tc>
      </w:tr>
      <w:tr w:rsidR="00F150BA" w:rsidRPr="003C2BC2" w14:paraId="4545EDA3" w14:textId="77777777" w:rsidTr="001D6D6E">
        <w:tc>
          <w:tcPr>
            <w:tcW w:w="2173" w:type="dxa"/>
            <w:tcBorders>
              <w:top w:val="single" w:sz="4" w:space="0" w:color="auto"/>
              <w:left w:val="single" w:sz="4" w:space="0" w:color="auto"/>
              <w:bottom w:val="single" w:sz="4" w:space="0" w:color="auto"/>
              <w:right w:val="single" w:sz="4" w:space="0" w:color="auto"/>
            </w:tcBorders>
            <w:hideMark/>
          </w:tcPr>
          <w:p w14:paraId="2DE0F4D1" w14:textId="77777777" w:rsidR="00F150BA" w:rsidRPr="003C2BC2" w:rsidRDefault="00F150BA" w:rsidP="00E604D3">
            <w:r w:rsidRPr="003C2BC2">
              <w:t>2023</w:t>
            </w:r>
          </w:p>
        </w:tc>
        <w:tc>
          <w:tcPr>
            <w:tcW w:w="2202" w:type="dxa"/>
            <w:tcBorders>
              <w:top w:val="single" w:sz="4" w:space="0" w:color="auto"/>
              <w:left w:val="single" w:sz="4" w:space="0" w:color="auto"/>
              <w:bottom w:val="single" w:sz="4" w:space="0" w:color="auto"/>
              <w:right w:val="single" w:sz="4" w:space="0" w:color="auto"/>
            </w:tcBorders>
            <w:hideMark/>
          </w:tcPr>
          <w:p w14:paraId="2A1CC520" w14:textId="60F1D8BD" w:rsidR="00F150BA" w:rsidRPr="003C2BC2" w:rsidRDefault="00A06B0E" w:rsidP="00832A05">
            <w:r w:rsidRPr="003C2BC2">
              <w:t>3 270 784 euro</w:t>
            </w:r>
          </w:p>
        </w:tc>
        <w:tc>
          <w:tcPr>
            <w:tcW w:w="2202" w:type="dxa"/>
            <w:tcBorders>
              <w:top w:val="single" w:sz="4" w:space="0" w:color="auto"/>
              <w:left w:val="single" w:sz="4" w:space="0" w:color="auto"/>
              <w:bottom w:val="single" w:sz="4" w:space="0" w:color="auto"/>
              <w:right w:val="single" w:sz="4" w:space="0" w:color="auto"/>
            </w:tcBorders>
            <w:hideMark/>
          </w:tcPr>
          <w:p w14:paraId="2CC3363E" w14:textId="6C4482A3" w:rsidR="00F150BA" w:rsidRPr="003C2BC2" w:rsidRDefault="00BE0180" w:rsidP="00832A05">
            <w:r w:rsidRPr="003C2BC2">
              <w:t>1 608 784 euro</w:t>
            </w:r>
          </w:p>
        </w:tc>
        <w:tc>
          <w:tcPr>
            <w:tcW w:w="2202" w:type="dxa"/>
            <w:tcBorders>
              <w:top w:val="single" w:sz="4" w:space="0" w:color="auto"/>
              <w:left w:val="single" w:sz="4" w:space="0" w:color="auto"/>
              <w:bottom w:val="single" w:sz="4" w:space="0" w:color="auto"/>
              <w:right w:val="single" w:sz="4" w:space="0" w:color="auto"/>
            </w:tcBorders>
            <w:hideMark/>
          </w:tcPr>
          <w:p w14:paraId="5804A54A" w14:textId="1B54A180" w:rsidR="00F150BA" w:rsidRPr="003C2BC2" w:rsidRDefault="00BE0180" w:rsidP="00E604D3">
            <w:r w:rsidRPr="003C2BC2">
              <w:t>1 662 000 euro</w:t>
            </w:r>
          </w:p>
        </w:tc>
      </w:tr>
      <w:tr w:rsidR="00F150BA" w:rsidRPr="003C2BC2" w14:paraId="2D135766" w14:textId="77777777" w:rsidTr="001D6D6E">
        <w:tc>
          <w:tcPr>
            <w:tcW w:w="2173" w:type="dxa"/>
            <w:tcBorders>
              <w:top w:val="single" w:sz="4" w:space="0" w:color="auto"/>
              <w:left w:val="single" w:sz="4" w:space="0" w:color="auto"/>
              <w:bottom w:val="single" w:sz="4" w:space="0" w:color="auto"/>
              <w:right w:val="single" w:sz="4" w:space="0" w:color="auto"/>
            </w:tcBorders>
            <w:hideMark/>
          </w:tcPr>
          <w:p w14:paraId="26BA5351" w14:textId="77777777" w:rsidR="00F150BA" w:rsidRPr="003C2BC2" w:rsidRDefault="00F150BA" w:rsidP="00E604D3">
            <w:r w:rsidRPr="003C2BC2">
              <w:t>2024</w:t>
            </w:r>
          </w:p>
        </w:tc>
        <w:tc>
          <w:tcPr>
            <w:tcW w:w="2202" w:type="dxa"/>
            <w:tcBorders>
              <w:top w:val="single" w:sz="4" w:space="0" w:color="auto"/>
              <w:left w:val="single" w:sz="4" w:space="0" w:color="auto"/>
              <w:bottom w:val="single" w:sz="4" w:space="0" w:color="auto"/>
              <w:right w:val="single" w:sz="4" w:space="0" w:color="auto"/>
            </w:tcBorders>
            <w:hideMark/>
          </w:tcPr>
          <w:p w14:paraId="551B20BE" w14:textId="43005186" w:rsidR="00F150BA" w:rsidRPr="003C2BC2" w:rsidRDefault="00A06B0E" w:rsidP="00832A05">
            <w:r w:rsidRPr="003C2BC2">
              <w:t>3 888 964 euro</w:t>
            </w:r>
          </w:p>
        </w:tc>
        <w:tc>
          <w:tcPr>
            <w:tcW w:w="2202" w:type="dxa"/>
            <w:tcBorders>
              <w:top w:val="single" w:sz="4" w:space="0" w:color="auto"/>
              <w:left w:val="single" w:sz="4" w:space="0" w:color="auto"/>
              <w:bottom w:val="single" w:sz="4" w:space="0" w:color="auto"/>
              <w:right w:val="single" w:sz="4" w:space="0" w:color="auto"/>
            </w:tcBorders>
            <w:hideMark/>
          </w:tcPr>
          <w:p w14:paraId="0CC3FC75" w14:textId="1F0A93E8" w:rsidR="00F150BA" w:rsidRPr="003C2BC2" w:rsidRDefault="00BE0180" w:rsidP="00832A05">
            <w:r w:rsidRPr="003C2BC2">
              <w:t>2 274 964 euro</w:t>
            </w:r>
          </w:p>
        </w:tc>
        <w:tc>
          <w:tcPr>
            <w:tcW w:w="2202" w:type="dxa"/>
            <w:tcBorders>
              <w:top w:val="single" w:sz="4" w:space="0" w:color="auto"/>
              <w:left w:val="single" w:sz="4" w:space="0" w:color="auto"/>
              <w:bottom w:val="single" w:sz="4" w:space="0" w:color="auto"/>
              <w:right w:val="single" w:sz="4" w:space="0" w:color="auto"/>
            </w:tcBorders>
            <w:hideMark/>
          </w:tcPr>
          <w:p w14:paraId="55B8C967" w14:textId="3A0F4B39" w:rsidR="00F150BA" w:rsidRPr="003C2BC2" w:rsidRDefault="000A75C4" w:rsidP="00E604D3">
            <w:r w:rsidRPr="003C2BC2">
              <w:t>1 614 000 euro</w:t>
            </w:r>
          </w:p>
        </w:tc>
      </w:tr>
      <w:tr w:rsidR="00F150BA" w:rsidRPr="003C2BC2" w14:paraId="394BC2C5" w14:textId="77777777" w:rsidTr="001D6D6E">
        <w:tc>
          <w:tcPr>
            <w:tcW w:w="2173" w:type="dxa"/>
            <w:tcBorders>
              <w:top w:val="single" w:sz="4" w:space="0" w:color="auto"/>
              <w:left w:val="single" w:sz="4" w:space="0" w:color="auto"/>
              <w:bottom w:val="single" w:sz="4" w:space="0" w:color="auto"/>
              <w:right w:val="single" w:sz="4" w:space="0" w:color="auto"/>
            </w:tcBorders>
            <w:hideMark/>
          </w:tcPr>
          <w:p w14:paraId="5A0CBBDF" w14:textId="77777777" w:rsidR="00F150BA" w:rsidRPr="003C2BC2" w:rsidRDefault="00F150BA" w:rsidP="00E604D3">
            <w:r w:rsidRPr="003C2BC2">
              <w:t>2025</w:t>
            </w:r>
          </w:p>
        </w:tc>
        <w:tc>
          <w:tcPr>
            <w:tcW w:w="2202" w:type="dxa"/>
            <w:tcBorders>
              <w:top w:val="single" w:sz="4" w:space="0" w:color="auto"/>
              <w:left w:val="single" w:sz="4" w:space="0" w:color="auto"/>
              <w:bottom w:val="single" w:sz="4" w:space="0" w:color="auto"/>
              <w:right w:val="single" w:sz="4" w:space="0" w:color="auto"/>
            </w:tcBorders>
            <w:hideMark/>
          </w:tcPr>
          <w:p w14:paraId="35902F5B" w14:textId="7A94583D" w:rsidR="00F150BA" w:rsidRPr="003C2BC2" w:rsidRDefault="00CD0F1A" w:rsidP="00832A05">
            <w:r w:rsidRPr="003C2BC2">
              <w:t>3 445 964 euro</w:t>
            </w:r>
          </w:p>
        </w:tc>
        <w:tc>
          <w:tcPr>
            <w:tcW w:w="2202" w:type="dxa"/>
            <w:tcBorders>
              <w:top w:val="single" w:sz="4" w:space="0" w:color="auto"/>
              <w:left w:val="single" w:sz="4" w:space="0" w:color="auto"/>
              <w:bottom w:val="single" w:sz="4" w:space="0" w:color="auto"/>
              <w:right w:val="single" w:sz="4" w:space="0" w:color="auto"/>
            </w:tcBorders>
            <w:hideMark/>
          </w:tcPr>
          <w:p w14:paraId="77758BA0" w14:textId="372C08C2" w:rsidR="00F150BA" w:rsidRPr="003C2BC2" w:rsidRDefault="00CD0F1A" w:rsidP="00832A05">
            <w:r w:rsidRPr="003C2BC2">
              <w:t>2 274 964 euro</w:t>
            </w:r>
          </w:p>
        </w:tc>
        <w:tc>
          <w:tcPr>
            <w:tcW w:w="2202" w:type="dxa"/>
            <w:tcBorders>
              <w:top w:val="single" w:sz="4" w:space="0" w:color="auto"/>
              <w:left w:val="single" w:sz="4" w:space="0" w:color="auto"/>
              <w:bottom w:val="single" w:sz="4" w:space="0" w:color="auto"/>
              <w:right w:val="single" w:sz="4" w:space="0" w:color="auto"/>
            </w:tcBorders>
            <w:hideMark/>
          </w:tcPr>
          <w:p w14:paraId="737A6398" w14:textId="7D8BE1EE" w:rsidR="00F150BA" w:rsidRPr="003C2BC2" w:rsidRDefault="00CD0F1A" w:rsidP="00E604D3">
            <w:r w:rsidRPr="003C2BC2">
              <w:t>1 171 000 euro</w:t>
            </w:r>
          </w:p>
        </w:tc>
      </w:tr>
      <w:tr w:rsidR="00F150BA" w:rsidRPr="003C2BC2" w14:paraId="4F868EEE" w14:textId="77777777" w:rsidTr="001D6D6E">
        <w:tc>
          <w:tcPr>
            <w:tcW w:w="2173" w:type="dxa"/>
            <w:tcBorders>
              <w:top w:val="single" w:sz="4" w:space="0" w:color="auto"/>
              <w:left w:val="single" w:sz="4" w:space="0" w:color="auto"/>
              <w:bottom w:val="single" w:sz="4" w:space="0" w:color="auto"/>
              <w:right w:val="single" w:sz="4" w:space="0" w:color="auto"/>
            </w:tcBorders>
            <w:hideMark/>
          </w:tcPr>
          <w:p w14:paraId="2A7BBF7B" w14:textId="45E09C25" w:rsidR="00F150BA" w:rsidRPr="003C2BC2" w:rsidRDefault="00F150BA" w:rsidP="00E604D3">
            <w:r w:rsidRPr="003C2BC2">
              <w:t>2026</w:t>
            </w:r>
          </w:p>
        </w:tc>
        <w:tc>
          <w:tcPr>
            <w:tcW w:w="2202" w:type="dxa"/>
            <w:tcBorders>
              <w:top w:val="single" w:sz="4" w:space="0" w:color="auto"/>
              <w:left w:val="single" w:sz="4" w:space="0" w:color="auto"/>
              <w:bottom w:val="single" w:sz="4" w:space="0" w:color="auto"/>
              <w:right w:val="single" w:sz="4" w:space="0" w:color="auto"/>
            </w:tcBorders>
            <w:hideMark/>
          </w:tcPr>
          <w:p w14:paraId="686DA933" w14:textId="0F4B7117" w:rsidR="00F150BA" w:rsidRPr="003C2BC2" w:rsidRDefault="00CD0F1A" w:rsidP="00832A05">
            <w:r w:rsidRPr="003C2BC2">
              <w:t>3 445 964 euro</w:t>
            </w:r>
          </w:p>
        </w:tc>
        <w:tc>
          <w:tcPr>
            <w:tcW w:w="2202" w:type="dxa"/>
            <w:tcBorders>
              <w:top w:val="single" w:sz="4" w:space="0" w:color="auto"/>
              <w:left w:val="single" w:sz="4" w:space="0" w:color="auto"/>
              <w:bottom w:val="single" w:sz="4" w:space="0" w:color="auto"/>
              <w:right w:val="single" w:sz="4" w:space="0" w:color="auto"/>
            </w:tcBorders>
            <w:hideMark/>
          </w:tcPr>
          <w:p w14:paraId="5200E95C" w14:textId="0A38894D" w:rsidR="00F150BA" w:rsidRPr="003C2BC2" w:rsidRDefault="00CD0F1A" w:rsidP="00832A05">
            <w:r w:rsidRPr="003C2BC2">
              <w:t>2 274 964 euro</w:t>
            </w:r>
          </w:p>
        </w:tc>
        <w:tc>
          <w:tcPr>
            <w:tcW w:w="2202" w:type="dxa"/>
            <w:tcBorders>
              <w:top w:val="single" w:sz="4" w:space="0" w:color="auto"/>
              <w:left w:val="single" w:sz="4" w:space="0" w:color="auto"/>
              <w:bottom w:val="single" w:sz="4" w:space="0" w:color="auto"/>
              <w:right w:val="single" w:sz="4" w:space="0" w:color="auto"/>
            </w:tcBorders>
            <w:hideMark/>
          </w:tcPr>
          <w:p w14:paraId="0805547A" w14:textId="2EB1B3AF" w:rsidR="00F150BA" w:rsidRPr="003C2BC2" w:rsidRDefault="00CD0F1A" w:rsidP="00E604D3">
            <w:r w:rsidRPr="003C2BC2">
              <w:t>1 171 000 euro</w:t>
            </w:r>
          </w:p>
        </w:tc>
      </w:tr>
    </w:tbl>
    <w:p w14:paraId="6B8C0DF5" w14:textId="2CF845F7" w:rsidR="00F150BA" w:rsidRPr="003C2BC2" w:rsidRDefault="00F150BA" w:rsidP="004A3104">
      <w:r w:rsidRPr="003C2BC2">
        <w:t>With regard to personnel costs, 30 new posts for the Federal Environment Agency have been costed, which fall into the fields of activity and pay scales presented in the respective tables (amounts according to the BMF circular of 28 May 2021 – II A 3 – H 1012-10/07/0001:023; DOC 2021/0242683). As the single-use plastics fund is being established from scratch, these new posts will be filled gradually in 2023 and 2024 (establishment phase). The operational phase begins from 2025. Should it become apparent during the establishment phase that staffing is insufficient for the operational phase, adjustments can be made in subsequent years on the basis of current knowledge.</w:t>
      </w:r>
    </w:p>
    <w:p w14:paraId="56F09933" w14:textId="7A24645C" w:rsidR="00D22EBD" w:rsidRPr="003C2BC2" w:rsidRDefault="00F150BA" w:rsidP="004A3104">
      <w:r w:rsidRPr="003C2BC2">
        <w:t>For the financial year 2023, the following new posts are needed:</w:t>
      </w:r>
    </w:p>
    <w:tbl>
      <w:tblPr>
        <w:tblStyle w:val="TableGrid"/>
        <w:tblW w:w="0" w:type="auto"/>
        <w:tblLook w:val="04A0" w:firstRow="1" w:lastRow="0" w:firstColumn="1" w:lastColumn="0" w:noHBand="0" w:noVBand="1"/>
      </w:tblPr>
      <w:tblGrid>
        <w:gridCol w:w="1114"/>
        <w:gridCol w:w="2000"/>
        <w:gridCol w:w="3102"/>
        <w:gridCol w:w="2283"/>
      </w:tblGrid>
      <w:tr w:rsidR="00F150BA" w:rsidRPr="003C2BC2" w14:paraId="1387E188" w14:textId="77777777" w:rsidTr="00650125">
        <w:tc>
          <w:tcPr>
            <w:tcW w:w="1114" w:type="dxa"/>
            <w:tcBorders>
              <w:top w:val="single" w:sz="4" w:space="0" w:color="auto"/>
              <w:left w:val="single" w:sz="4" w:space="0" w:color="auto"/>
              <w:bottom w:val="single" w:sz="4" w:space="0" w:color="auto"/>
              <w:right w:val="single" w:sz="4" w:space="0" w:color="auto"/>
            </w:tcBorders>
            <w:hideMark/>
          </w:tcPr>
          <w:p w14:paraId="7A5C29CC" w14:textId="6FCA019E" w:rsidR="00F150BA" w:rsidRPr="003C2BC2" w:rsidRDefault="00F150BA" w:rsidP="004A3104">
            <w:pPr>
              <w:rPr>
                <w:b/>
              </w:rPr>
            </w:pPr>
            <w:r w:rsidRPr="003C2BC2">
              <w:rPr>
                <w:b/>
              </w:rPr>
              <w:t>Number of posts</w:t>
            </w:r>
          </w:p>
        </w:tc>
        <w:tc>
          <w:tcPr>
            <w:tcW w:w="2000" w:type="dxa"/>
            <w:tcBorders>
              <w:top w:val="single" w:sz="4" w:space="0" w:color="auto"/>
              <w:left w:val="single" w:sz="4" w:space="0" w:color="auto"/>
              <w:bottom w:val="single" w:sz="4" w:space="0" w:color="auto"/>
              <w:right w:val="single" w:sz="4" w:space="0" w:color="auto"/>
            </w:tcBorders>
            <w:hideMark/>
          </w:tcPr>
          <w:p w14:paraId="3CBC7C55" w14:textId="77777777" w:rsidR="00F150BA" w:rsidRPr="003C2BC2" w:rsidRDefault="00F150BA" w:rsidP="004A3104">
            <w:pPr>
              <w:rPr>
                <w:b/>
              </w:rPr>
            </w:pPr>
            <w:r w:rsidRPr="003C2BC2">
              <w:rPr>
                <w:b/>
              </w:rPr>
              <w:t>Pay scale</w:t>
            </w:r>
          </w:p>
        </w:tc>
        <w:tc>
          <w:tcPr>
            <w:tcW w:w="3102" w:type="dxa"/>
            <w:tcBorders>
              <w:top w:val="single" w:sz="4" w:space="0" w:color="auto"/>
              <w:left w:val="single" w:sz="4" w:space="0" w:color="auto"/>
              <w:bottom w:val="single" w:sz="4" w:space="0" w:color="auto"/>
              <w:right w:val="single" w:sz="4" w:space="0" w:color="auto"/>
            </w:tcBorders>
            <w:hideMark/>
          </w:tcPr>
          <w:p w14:paraId="25FAA139" w14:textId="77777777" w:rsidR="00F150BA" w:rsidRPr="003C2BC2" w:rsidRDefault="00F150BA" w:rsidP="004A3104">
            <w:pPr>
              <w:rPr>
                <w:b/>
              </w:rPr>
            </w:pPr>
            <w:r w:rsidRPr="003C2BC2">
              <w:rPr>
                <w:b/>
              </w:rPr>
              <w:t>Activity</w:t>
            </w:r>
          </w:p>
        </w:tc>
        <w:tc>
          <w:tcPr>
            <w:tcW w:w="2283" w:type="dxa"/>
            <w:tcBorders>
              <w:top w:val="single" w:sz="4" w:space="0" w:color="auto"/>
              <w:left w:val="single" w:sz="4" w:space="0" w:color="auto"/>
              <w:bottom w:val="single" w:sz="4" w:space="0" w:color="auto"/>
              <w:right w:val="single" w:sz="4" w:space="0" w:color="auto"/>
            </w:tcBorders>
            <w:hideMark/>
          </w:tcPr>
          <w:p w14:paraId="1B07C11B" w14:textId="77777777" w:rsidR="00F150BA" w:rsidRPr="003C2BC2" w:rsidRDefault="00F150BA" w:rsidP="004A3104">
            <w:pPr>
              <w:rPr>
                <w:b/>
              </w:rPr>
            </w:pPr>
            <w:r w:rsidRPr="003C2BC2">
              <w:rPr>
                <w:b/>
              </w:rPr>
              <w:t>Personnel rate p.a.</w:t>
            </w:r>
          </w:p>
        </w:tc>
      </w:tr>
      <w:tr w:rsidR="00F150BA" w:rsidRPr="003C2BC2" w14:paraId="3CD90F03" w14:textId="77777777" w:rsidTr="00650125">
        <w:tc>
          <w:tcPr>
            <w:tcW w:w="1114" w:type="dxa"/>
            <w:vMerge w:val="restart"/>
            <w:tcBorders>
              <w:top w:val="single" w:sz="4" w:space="0" w:color="auto"/>
              <w:left w:val="single" w:sz="4" w:space="0" w:color="auto"/>
              <w:right w:val="single" w:sz="4" w:space="0" w:color="auto"/>
            </w:tcBorders>
            <w:hideMark/>
          </w:tcPr>
          <w:p w14:paraId="5EE3E523" w14:textId="612B1E39" w:rsidR="00F150BA" w:rsidRPr="003C2BC2" w:rsidRDefault="00D97045" w:rsidP="004A3104">
            <w:r w:rsidRPr="003C2BC2">
              <w:t>21</w:t>
            </w:r>
          </w:p>
          <w:p w14:paraId="67DA5B89" w14:textId="2BE2D7EB"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hideMark/>
          </w:tcPr>
          <w:p w14:paraId="3EF67F38" w14:textId="77777777" w:rsidR="00F150BA" w:rsidRPr="003C2BC2" w:rsidRDefault="00F150BA" w:rsidP="004A3104">
            <w:r w:rsidRPr="003C2BC2">
              <w:t xml:space="preserve">1 x </w:t>
            </w:r>
            <w:proofErr w:type="spellStart"/>
            <w:r w:rsidRPr="003C2BC2">
              <w:t>höherer</w:t>
            </w:r>
            <w:proofErr w:type="spellEnd"/>
            <w:r w:rsidRPr="003C2BC2">
              <w:t xml:space="preserve"> </w:t>
            </w:r>
            <w:proofErr w:type="spellStart"/>
            <w:r w:rsidRPr="003C2BC2">
              <w:t>Dienst</w:t>
            </w:r>
            <w:proofErr w:type="spellEnd"/>
            <w:r w:rsidRPr="003C2BC2">
              <w:t xml:space="preserve"> post (A 15)</w:t>
            </w:r>
          </w:p>
        </w:tc>
        <w:tc>
          <w:tcPr>
            <w:tcW w:w="3102" w:type="dxa"/>
            <w:tcBorders>
              <w:top w:val="single" w:sz="4" w:space="0" w:color="auto"/>
              <w:left w:val="single" w:sz="4" w:space="0" w:color="auto"/>
              <w:bottom w:val="single" w:sz="4" w:space="0" w:color="auto"/>
              <w:right w:val="single" w:sz="4" w:space="0" w:color="auto"/>
            </w:tcBorders>
            <w:hideMark/>
          </w:tcPr>
          <w:p w14:paraId="117B6921" w14:textId="77777777" w:rsidR="00F150BA" w:rsidRPr="003C2BC2" w:rsidRDefault="00F150BA" w:rsidP="004A3104">
            <w:pPr>
              <w:rPr>
                <w:u w:val="single"/>
              </w:rPr>
            </w:pPr>
            <w:r w:rsidRPr="003C2BC2">
              <w:rPr>
                <w:u w:val="single"/>
              </w:rPr>
              <w:t>Fund:</w:t>
            </w:r>
          </w:p>
          <w:p w14:paraId="467CCC0A" w14:textId="295CBA9A" w:rsidR="00F150BA" w:rsidRPr="003C2BC2" w:rsidRDefault="00F150BA" w:rsidP="004A3104">
            <w:r w:rsidRPr="003C2BC2">
              <w:t>Head of the work unit</w:t>
            </w:r>
          </w:p>
        </w:tc>
        <w:tc>
          <w:tcPr>
            <w:tcW w:w="2283" w:type="dxa"/>
            <w:tcBorders>
              <w:top w:val="single" w:sz="4" w:space="0" w:color="auto"/>
              <w:left w:val="single" w:sz="4" w:space="0" w:color="auto"/>
              <w:bottom w:val="single" w:sz="4" w:space="0" w:color="auto"/>
              <w:right w:val="single" w:sz="4" w:space="0" w:color="auto"/>
            </w:tcBorders>
            <w:hideMark/>
          </w:tcPr>
          <w:p w14:paraId="3CAC6630" w14:textId="4E3353D6" w:rsidR="00F150BA" w:rsidRPr="003C2BC2" w:rsidRDefault="00F150BA" w:rsidP="004A3104">
            <w:r w:rsidRPr="003C2BC2">
              <w:t>1 x EUR 122 217</w:t>
            </w:r>
          </w:p>
        </w:tc>
      </w:tr>
      <w:tr w:rsidR="00F150BA" w:rsidRPr="003C2BC2" w14:paraId="59585B04" w14:textId="77777777" w:rsidTr="00650125">
        <w:tc>
          <w:tcPr>
            <w:tcW w:w="1114" w:type="dxa"/>
            <w:vMerge/>
            <w:tcBorders>
              <w:left w:val="single" w:sz="4" w:space="0" w:color="auto"/>
              <w:right w:val="single" w:sz="4" w:space="0" w:color="auto"/>
            </w:tcBorders>
          </w:tcPr>
          <w:p w14:paraId="6E21BC2E"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hideMark/>
          </w:tcPr>
          <w:p w14:paraId="1F3D259A" w14:textId="77777777" w:rsidR="00F150BA" w:rsidRPr="003C2BC2" w:rsidRDefault="00F150BA" w:rsidP="004A3104">
            <w:r w:rsidRPr="003C2BC2">
              <w:t xml:space="preserve">1 x </w:t>
            </w:r>
            <w:proofErr w:type="spellStart"/>
            <w:r w:rsidRPr="003C2BC2">
              <w:t>höherer</w:t>
            </w:r>
            <w:proofErr w:type="spellEnd"/>
            <w:r w:rsidRPr="003C2BC2">
              <w:t xml:space="preserve"> </w:t>
            </w:r>
            <w:proofErr w:type="spellStart"/>
            <w:r w:rsidRPr="003C2BC2">
              <w:t>Dienst</w:t>
            </w:r>
            <w:proofErr w:type="spellEnd"/>
            <w:r w:rsidRPr="003C2BC2">
              <w:t xml:space="preserve"> post (A 14)</w:t>
            </w:r>
          </w:p>
        </w:tc>
        <w:tc>
          <w:tcPr>
            <w:tcW w:w="3102" w:type="dxa"/>
            <w:tcBorders>
              <w:top w:val="single" w:sz="4" w:space="0" w:color="auto"/>
              <w:left w:val="single" w:sz="4" w:space="0" w:color="auto"/>
              <w:bottom w:val="single" w:sz="4" w:space="0" w:color="auto"/>
              <w:right w:val="single" w:sz="4" w:space="0" w:color="auto"/>
            </w:tcBorders>
            <w:hideMark/>
          </w:tcPr>
          <w:p w14:paraId="07D84636" w14:textId="77777777" w:rsidR="00F150BA" w:rsidRPr="003C2BC2" w:rsidRDefault="00F150BA" w:rsidP="004A3104">
            <w:pPr>
              <w:rPr>
                <w:u w:val="single"/>
              </w:rPr>
            </w:pPr>
            <w:r w:rsidRPr="003C2BC2">
              <w:rPr>
                <w:u w:val="single"/>
              </w:rPr>
              <w:t>Fund:</w:t>
            </w:r>
          </w:p>
          <w:p w14:paraId="0F0A411D" w14:textId="7A3933DA" w:rsidR="00F150BA" w:rsidRPr="003C2BC2" w:rsidRDefault="00F150BA" w:rsidP="004A3104">
            <w:r w:rsidRPr="003C2BC2">
              <w:t>Financial controlling, internal cost planning, accounting, revenue and expenditure monitoring, enforcement</w:t>
            </w:r>
          </w:p>
        </w:tc>
        <w:tc>
          <w:tcPr>
            <w:tcW w:w="2283" w:type="dxa"/>
            <w:tcBorders>
              <w:top w:val="single" w:sz="4" w:space="0" w:color="auto"/>
              <w:left w:val="single" w:sz="4" w:space="0" w:color="auto"/>
              <w:bottom w:val="single" w:sz="4" w:space="0" w:color="auto"/>
              <w:right w:val="single" w:sz="4" w:space="0" w:color="auto"/>
            </w:tcBorders>
            <w:hideMark/>
          </w:tcPr>
          <w:p w14:paraId="1770B18E" w14:textId="22241E7F" w:rsidR="00F150BA" w:rsidRPr="003C2BC2" w:rsidRDefault="00F150BA" w:rsidP="004A3104">
            <w:r w:rsidRPr="003C2BC2">
              <w:t>1 x EUR 106 179</w:t>
            </w:r>
          </w:p>
        </w:tc>
      </w:tr>
      <w:tr w:rsidR="00D97045" w:rsidRPr="003C2BC2" w14:paraId="47026FBE" w14:textId="77777777" w:rsidTr="00650125">
        <w:tc>
          <w:tcPr>
            <w:tcW w:w="1114" w:type="dxa"/>
            <w:vMerge/>
            <w:tcBorders>
              <w:left w:val="single" w:sz="4" w:space="0" w:color="auto"/>
              <w:right w:val="single" w:sz="4" w:space="0" w:color="auto"/>
            </w:tcBorders>
          </w:tcPr>
          <w:p w14:paraId="65CC83DE" w14:textId="77777777" w:rsidR="00D97045" w:rsidRPr="003C2BC2" w:rsidRDefault="00D97045" w:rsidP="004A3104"/>
        </w:tc>
        <w:tc>
          <w:tcPr>
            <w:tcW w:w="2000" w:type="dxa"/>
            <w:tcBorders>
              <w:top w:val="single" w:sz="4" w:space="0" w:color="auto"/>
              <w:left w:val="single" w:sz="4" w:space="0" w:color="auto"/>
              <w:bottom w:val="single" w:sz="4" w:space="0" w:color="auto"/>
              <w:right w:val="single" w:sz="4" w:space="0" w:color="auto"/>
            </w:tcBorders>
          </w:tcPr>
          <w:p w14:paraId="71EBCD76" w14:textId="64713863" w:rsidR="00D97045" w:rsidRPr="003C2BC2" w:rsidRDefault="00D97045" w:rsidP="004A3104">
            <w:r w:rsidRPr="003C2BC2">
              <w:t xml:space="preserve">1 x </w:t>
            </w:r>
            <w:proofErr w:type="spellStart"/>
            <w:r w:rsidRPr="003C2BC2">
              <w:t>höherer</w:t>
            </w:r>
            <w:proofErr w:type="spellEnd"/>
            <w:r w:rsidRPr="003C2BC2">
              <w:t xml:space="preserve"> </w:t>
            </w:r>
            <w:proofErr w:type="spellStart"/>
            <w:r w:rsidRPr="003C2BC2">
              <w:t>Dienst</w:t>
            </w:r>
            <w:proofErr w:type="spellEnd"/>
            <w:r w:rsidRPr="003C2BC2">
              <w:t xml:space="preserve"> post (A 13h)</w:t>
            </w:r>
          </w:p>
        </w:tc>
        <w:tc>
          <w:tcPr>
            <w:tcW w:w="3102" w:type="dxa"/>
            <w:tcBorders>
              <w:top w:val="single" w:sz="4" w:space="0" w:color="auto"/>
              <w:left w:val="single" w:sz="4" w:space="0" w:color="auto"/>
              <w:bottom w:val="single" w:sz="4" w:space="0" w:color="auto"/>
              <w:right w:val="single" w:sz="4" w:space="0" w:color="auto"/>
            </w:tcBorders>
          </w:tcPr>
          <w:p w14:paraId="54BF7AFF" w14:textId="77777777" w:rsidR="00D97045" w:rsidRPr="003C2BC2" w:rsidRDefault="00D97045" w:rsidP="004A3104">
            <w:pPr>
              <w:rPr>
                <w:u w:val="single"/>
              </w:rPr>
            </w:pPr>
            <w:r w:rsidRPr="003C2BC2">
              <w:rPr>
                <w:u w:val="single"/>
              </w:rPr>
              <w:t>Fund</w:t>
            </w:r>
          </w:p>
          <w:p w14:paraId="7E3624B2" w14:textId="4BA0D970" w:rsidR="00AE4D43" w:rsidRPr="003C2BC2" w:rsidRDefault="00437FF0" w:rsidP="004A3104">
            <w:r w:rsidRPr="003C2BC2">
              <w:t>Data notifications by producers and beneficiaries, examination and decision, regulatory offence cases</w:t>
            </w:r>
          </w:p>
        </w:tc>
        <w:tc>
          <w:tcPr>
            <w:tcW w:w="2283" w:type="dxa"/>
            <w:tcBorders>
              <w:top w:val="single" w:sz="4" w:space="0" w:color="auto"/>
              <w:left w:val="single" w:sz="4" w:space="0" w:color="auto"/>
              <w:bottom w:val="single" w:sz="4" w:space="0" w:color="auto"/>
              <w:right w:val="single" w:sz="4" w:space="0" w:color="auto"/>
            </w:tcBorders>
          </w:tcPr>
          <w:p w14:paraId="7E2AB22D" w14:textId="796AC9FA" w:rsidR="00D97045" w:rsidRPr="003C2BC2" w:rsidRDefault="00D97045" w:rsidP="00D97045">
            <w:r w:rsidRPr="003C2BC2">
              <w:t>1 x EUR 93 528</w:t>
            </w:r>
          </w:p>
        </w:tc>
      </w:tr>
      <w:tr w:rsidR="00F150BA" w:rsidRPr="003C2BC2" w14:paraId="68C8A3F2" w14:textId="77777777" w:rsidTr="00650125">
        <w:tc>
          <w:tcPr>
            <w:tcW w:w="1114" w:type="dxa"/>
            <w:vMerge/>
            <w:tcBorders>
              <w:left w:val="single" w:sz="4" w:space="0" w:color="auto"/>
              <w:right w:val="single" w:sz="4" w:space="0" w:color="auto"/>
            </w:tcBorders>
          </w:tcPr>
          <w:p w14:paraId="32E8EC44"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hideMark/>
          </w:tcPr>
          <w:p w14:paraId="2CBCBCF4" w14:textId="77777777" w:rsidR="00F150BA" w:rsidRPr="003C2BC2" w:rsidRDefault="00F150BA" w:rsidP="004A3104">
            <w:r w:rsidRPr="003C2BC2">
              <w:t xml:space="preserve">1 x </w:t>
            </w:r>
            <w:proofErr w:type="spellStart"/>
            <w:r w:rsidRPr="003C2BC2">
              <w:t>höherer</w:t>
            </w:r>
            <w:proofErr w:type="spellEnd"/>
            <w:r w:rsidRPr="003C2BC2">
              <w:t xml:space="preserve"> </w:t>
            </w:r>
            <w:proofErr w:type="spellStart"/>
            <w:r w:rsidRPr="003C2BC2">
              <w:t>Dienst</w:t>
            </w:r>
            <w:proofErr w:type="spellEnd"/>
            <w:r w:rsidRPr="003C2BC2">
              <w:t xml:space="preserve"> post (E 13)</w:t>
            </w:r>
          </w:p>
        </w:tc>
        <w:tc>
          <w:tcPr>
            <w:tcW w:w="3102" w:type="dxa"/>
            <w:tcBorders>
              <w:top w:val="single" w:sz="4" w:space="0" w:color="auto"/>
              <w:left w:val="single" w:sz="4" w:space="0" w:color="auto"/>
              <w:bottom w:val="single" w:sz="4" w:space="0" w:color="auto"/>
              <w:right w:val="single" w:sz="4" w:space="0" w:color="auto"/>
            </w:tcBorders>
            <w:hideMark/>
          </w:tcPr>
          <w:p w14:paraId="5FA9A4B8" w14:textId="77777777" w:rsidR="00F150BA" w:rsidRPr="003C2BC2" w:rsidRDefault="00F150BA" w:rsidP="004A3104">
            <w:pPr>
              <w:rPr>
                <w:u w:val="single"/>
              </w:rPr>
            </w:pPr>
            <w:r w:rsidRPr="003C2BC2">
              <w:rPr>
                <w:u w:val="single"/>
              </w:rPr>
              <w:t>Fund:</w:t>
            </w:r>
          </w:p>
          <w:p w14:paraId="0A211D02" w14:textId="09C5E97B" w:rsidR="00F150BA" w:rsidRPr="003C2BC2" w:rsidRDefault="00F150BA" w:rsidP="00D86975">
            <w:r w:rsidRPr="003C2BC2">
              <w:t>Support of single-use plastics commission, determination of the cost rates for single-use plastic products, later also data notifications from producers and beneficiaries</w:t>
            </w:r>
          </w:p>
        </w:tc>
        <w:tc>
          <w:tcPr>
            <w:tcW w:w="2283" w:type="dxa"/>
            <w:tcBorders>
              <w:top w:val="single" w:sz="4" w:space="0" w:color="auto"/>
              <w:left w:val="single" w:sz="4" w:space="0" w:color="auto"/>
              <w:bottom w:val="single" w:sz="4" w:space="0" w:color="auto"/>
              <w:right w:val="single" w:sz="4" w:space="0" w:color="auto"/>
            </w:tcBorders>
            <w:hideMark/>
          </w:tcPr>
          <w:p w14:paraId="33629A5D" w14:textId="089AD0C1" w:rsidR="00F150BA" w:rsidRPr="003C2BC2" w:rsidRDefault="00F150BA" w:rsidP="004A3104">
            <w:r w:rsidRPr="003C2BC2">
              <w:t>1 x EUR 79 829</w:t>
            </w:r>
          </w:p>
        </w:tc>
      </w:tr>
      <w:tr w:rsidR="00D97045" w:rsidRPr="003C2BC2" w14:paraId="7B2D835A" w14:textId="77777777" w:rsidTr="00650125">
        <w:tc>
          <w:tcPr>
            <w:tcW w:w="1114" w:type="dxa"/>
            <w:vMerge/>
            <w:tcBorders>
              <w:left w:val="single" w:sz="4" w:space="0" w:color="auto"/>
              <w:right w:val="single" w:sz="4" w:space="0" w:color="auto"/>
            </w:tcBorders>
          </w:tcPr>
          <w:p w14:paraId="1755CD3F" w14:textId="77777777" w:rsidR="00D97045" w:rsidRPr="003C2BC2" w:rsidRDefault="00D97045" w:rsidP="00D97045"/>
        </w:tc>
        <w:tc>
          <w:tcPr>
            <w:tcW w:w="2000" w:type="dxa"/>
            <w:tcBorders>
              <w:top w:val="single" w:sz="4" w:space="0" w:color="auto"/>
              <w:left w:val="single" w:sz="4" w:space="0" w:color="auto"/>
              <w:bottom w:val="single" w:sz="4" w:space="0" w:color="auto"/>
              <w:right w:val="single" w:sz="4" w:space="0" w:color="auto"/>
            </w:tcBorders>
          </w:tcPr>
          <w:p w14:paraId="51AF9652" w14:textId="6C5FBBA6" w:rsidR="00D97045" w:rsidRPr="003C2BC2" w:rsidRDefault="00D97045" w:rsidP="00D97045">
            <w:r w:rsidRPr="003C2BC2">
              <w:t xml:space="preserve">3 x </w:t>
            </w:r>
            <w:proofErr w:type="spellStart"/>
            <w:r w:rsidRPr="003C2BC2">
              <w:t>gehobener</w:t>
            </w:r>
            <w:proofErr w:type="spellEnd"/>
            <w:r w:rsidRPr="003C2BC2">
              <w:t xml:space="preserve"> </w:t>
            </w:r>
            <w:proofErr w:type="spellStart"/>
            <w:r w:rsidRPr="003C2BC2">
              <w:t>Dienst</w:t>
            </w:r>
            <w:proofErr w:type="spellEnd"/>
            <w:r w:rsidRPr="003C2BC2">
              <w:t xml:space="preserve"> post (A 12)</w:t>
            </w:r>
          </w:p>
        </w:tc>
        <w:tc>
          <w:tcPr>
            <w:tcW w:w="3102" w:type="dxa"/>
            <w:tcBorders>
              <w:top w:val="single" w:sz="4" w:space="0" w:color="auto"/>
              <w:left w:val="single" w:sz="4" w:space="0" w:color="auto"/>
              <w:bottom w:val="single" w:sz="4" w:space="0" w:color="auto"/>
              <w:right w:val="single" w:sz="4" w:space="0" w:color="auto"/>
            </w:tcBorders>
          </w:tcPr>
          <w:p w14:paraId="2D438D31" w14:textId="77777777" w:rsidR="00D97045" w:rsidRPr="003C2BC2" w:rsidRDefault="00D97045" w:rsidP="00D97045">
            <w:pPr>
              <w:rPr>
                <w:u w:val="single"/>
              </w:rPr>
            </w:pPr>
            <w:r w:rsidRPr="003C2BC2">
              <w:rPr>
                <w:u w:val="single"/>
              </w:rPr>
              <w:t>Fund:</w:t>
            </w:r>
          </w:p>
          <w:p w14:paraId="78886CA9" w14:textId="2B1555A0" w:rsidR="00437FF0" w:rsidRPr="003C2BC2" w:rsidRDefault="00437FF0" w:rsidP="00D97045">
            <w:r w:rsidRPr="003C2BC2">
              <w:lastRenderedPageBreak/>
              <w:t>1 x financial controlling, internal cost planning, accounting, revenue and expenditure monitoring, enforcement, producer data notification;</w:t>
            </w:r>
          </w:p>
          <w:p w14:paraId="5826969D" w14:textId="70B20576" w:rsidR="00D97045" w:rsidRPr="003C2BC2" w:rsidRDefault="00437FF0" w:rsidP="00D97045">
            <w:pPr>
              <w:rPr>
                <w:u w:val="single"/>
              </w:rPr>
            </w:pPr>
            <w:r w:rsidRPr="003C2BC2">
              <w:t>2 x data notifications from producers and beneficiaries, examination and decision, regulatory offence cases</w:t>
            </w:r>
          </w:p>
        </w:tc>
        <w:tc>
          <w:tcPr>
            <w:tcW w:w="2283" w:type="dxa"/>
            <w:tcBorders>
              <w:top w:val="single" w:sz="4" w:space="0" w:color="auto"/>
              <w:left w:val="single" w:sz="4" w:space="0" w:color="auto"/>
              <w:bottom w:val="single" w:sz="4" w:space="0" w:color="auto"/>
              <w:right w:val="single" w:sz="4" w:space="0" w:color="auto"/>
            </w:tcBorders>
          </w:tcPr>
          <w:p w14:paraId="5B6CE22B" w14:textId="69528B06" w:rsidR="00D97045" w:rsidRPr="003C2BC2" w:rsidRDefault="00D97045" w:rsidP="00D97045">
            <w:r w:rsidRPr="003C2BC2">
              <w:lastRenderedPageBreak/>
              <w:t>3 x EUR 86 825</w:t>
            </w:r>
          </w:p>
        </w:tc>
      </w:tr>
      <w:tr w:rsidR="00F150BA" w:rsidRPr="003C2BC2" w14:paraId="0FAE7A45" w14:textId="77777777" w:rsidTr="00650125">
        <w:tc>
          <w:tcPr>
            <w:tcW w:w="1114" w:type="dxa"/>
            <w:vMerge/>
            <w:tcBorders>
              <w:left w:val="single" w:sz="4" w:space="0" w:color="auto"/>
              <w:right w:val="single" w:sz="4" w:space="0" w:color="auto"/>
            </w:tcBorders>
          </w:tcPr>
          <w:p w14:paraId="744663A9"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hideMark/>
          </w:tcPr>
          <w:p w14:paraId="4B6A480D" w14:textId="64302311" w:rsidR="00F150BA" w:rsidRPr="003C2BC2" w:rsidRDefault="00D97045" w:rsidP="004A3104">
            <w:r w:rsidRPr="003C2BC2">
              <w:t xml:space="preserve">2 x </w:t>
            </w:r>
            <w:proofErr w:type="spellStart"/>
            <w:r w:rsidRPr="003C2BC2">
              <w:t>gehobener</w:t>
            </w:r>
            <w:proofErr w:type="spellEnd"/>
            <w:r w:rsidRPr="003C2BC2">
              <w:t xml:space="preserve"> </w:t>
            </w:r>
            <w:proofErr w:type="spellStart"/>
            <w:r w:rsidRPr="003C2BC2">
              <w:t>Dienst</w:t>
            </w:r>
            <w:proofErr w:type="spellEnd"/>
            <w:r w:rsidRPr="003C2BC2">
              <w:t xml:space="preserve"> post (A 11)</w:t>
            </w:r>
          </w:p>
        </w:tc>
        <w:tc>
          <w:tcPr>
            <w:tcW w:w="3102" w:type="dxa"/>
            <w:tcBorders>
              <w:top w:val="single" w:sz="4" w:space="0" w:color="auto"/>
              <w:left w:val="single" w:sz="4" w:space="0" w:color="auto"/>
              <w:bottom w:val="single" w:sz="4" w:space="0" w:color="auto"/>
              <w:right w:val="single" w:sz="4" w:space="0" w:color="auto"/>
            </w:tcBorders>
            <w:hideMark/>
          </w:tcPr>
          <w:p w14:paraId="475AE5BA" w14:textId="77777777" w:rsidR="00F150BA" w:rsidRPr="003C2BC2" w:rsidRDefault="00F150BA" w:rsidP="004A3104">
            <w:pPr>
              <w:rPr>
                <w:u w:val="single"/>
              </w:rPr>
            </w:pPr>
            <w:r w:rsidRPr="003C2BC2">
              <w:rPr>
                <w:u w:val="single"/>
              </w:rPr>
              <w:t>Fund:</w:t>
            </w:r>
          </w:p>
          <w:p w14:paraId="052BE398" w14:textId="74C28D2E" w:rsidR="00F150BA" w:rsidRPr="003C2BC2" w:rsidRDefault="00437FF0" w:rsidP="004A3104">
            <w:r w:rsidRPr="003C2BC2">
              <w:t>Maintenance and updating of specialist IT applications, possibly IT interface to the ZSVR</w:t>
            </w:r>
          </w:p>
        </w:tc>
        <w:tc>
          <w:tcPr>
            <w:tcW w:w="2283" w:type="dxa"/>
            <w:tcBorders>
              <w:top w:val="single" w:sz="4" w:space="0" w:color="auto"/>
              <w:left w:val="single" w:sz="4" w:space="0" w:color="auto"/>
              <w:bottom w:val="single" w:sz="4" w:space="0" w:color="auto"/>
              <w:right w:val="single" w:sz="4" w:space="0" w:color="auto"/>
            </w:tcBorders>
            <w:hideMark/>
          </w:tcPr>
          <w:p w14:paraId="7FC6FB95" w14:textId="0EDE1568" w:rsidR="00F150BA" w:rsidRPr="003C2BC2" w:rsidRDefault="00D97045" w:rsidP="004A3104">
            <w:r w:rsidRPr="003C2BC2">
              <w:t>2 x EUR 79 712</w:t>
            </w:r>
          </w:p>
        </w:tc>
      </w:tr>
      <w:tr w:rsidR="00F150BA" w:rsidRPr="003C2BC2" w14:paraId="5D2BBAFE" w14:textId="77777777" w:rsidTr="00650125">
        <w:tc>
          <w:tcPr>
            <w:tcW w:w="1114" w:type="dxa"/>
            <w:vMerge/>
            <w:tcBorders>
              <w:left w:val="single" w:sz="4" w:space="0" w:color="auto"/>
              <w:right w:val="single" w:sz="4" w:space="0" w:color="auto"/>
            </w:tcBorders>
          </w:tcPr>
          <w:p w14:paraId="3395555A"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hideMark/>
          </w:tcPr>
          <w:p w14:paraId="02F81E96" w14:textId="78E7E5FC" w:rsidR="00F150BA" w:rsidRPr="003C2BC2" w:rsidRDefault="00F150BA" w:rsidP="004A3104">
            <w:r w:rsidRPr="003C2BC2">
              <w:t xml:space="preserve">2 x </w:t>
            </w:r>
            <w:proofErr w:type="spellStart"/>
            <w:r w:rsidRPr="003C2BC2">
              <w:t>gehobener</w:t>
            </w:r>
            <w:proofErr w:type="spellEnd"/>
            <w:r w:rsidRPr="003C2BC2">
              <w:t xml:space="preserve"> </w:t>
            </w:r>
            <w:proofErr w:type="spellStart"/>
            <w:r w:rsidRPr="003C2BC2">
              <w:t>Dienst</w:t>
            </w:r>
            <w:proofErr w:type="spellEnd"/>
            <w:r w:rsidRPr="003C2BC2">
              <w:t xml:space="preserve"> post (A 10)</w:t>
            </w:r>
          </w:p>
        </w:tc>
        <w:tc>
          <w:tcPr>
            <w:tcW w:w="3102" w:type="dxa"/>
            <w:tcBorders>
              <w:top w:val="single" w:sz="4" w:space="0" w:color="auto"/>
              <w:left w:val="single" w:sz="4" w:space="0" w:color="auto"/>
              <w:bottom w:val="single" w:sz="4" w:space="0" w:color="auto"/>
              <w:right w:val="single" w:sz="4" w:space="0" w:color="auto"/>
            </w:tcBorders>
            <w:hideMark/>
          </w:tcPr>
          <w:p w14:paraId="03BA1F83" w14:textId="77777777" w:rsidR="00F150BA" w:rsidRPr="003C2BC2" w:rsidRDefault="00F150BA" w:rsidP="004A3104">
            <w:pPr>
              <w:rPr>
                <w:u w:val="single"/>
              </w:rPr>
            </w:pPr>
            <w:r w:rsidRPr="003C2BC2">
              <w:rPr>
                <w:u w:val="single"/>
              </w:rPr>
              <w:t>Fund:</w:t>
            </w:r>
          </w:p>
          <w:p w14:paraId="16578EDB" w14:textId="66AF0256" w:rsidR="00F150BA" w:rsidRPr="003C2BC2" w:rsidRDefault="00437FF0" w:rsidP="004A3104">
            <w:r w:rsidRPr="003C2BC2">
              <w:t>Support for producers and beneficiaries, in particular phone, enquiries, design preparations for data notifications from producers and beneficiaries, examination and decision, regulatory offence cases, subsequently implementation</w:t>
            </w:r>
          </w:p>
        </w:tc>
        <w:tc>
          <w:tcPr>
            <w:tcW w:w="2283" w:type="dxa"/>
            <w:tcBorders>
              <w:top w:val="single" w:sz="4" w:space="0" w:color="auto"/>
              <w:left w:val="single" w:sz="4" w:space="0" w:color="auto"/>
              <w:bottom w:val="single" w:sz="4" w:space="0" w:color="auto"/>
              <w:right w:val="single" w:sz="4" w:space="0" w:color="auto"/>
            </w:tcBorders>
            <w:hideMark/>
          </w:tcPr>
          <w:p w14:paraId="38101CC0" w14:textId="736EDF04" w:rsidR="00F150BA" w:rsidRPr="003C2BC2" w:rsidRDefault="00F150BA" w:rsidP="004A3104">
            <w:r w:rsidRPr="003C2BC2">
              <w:t>2 x EUR 69 735</w:t>
            </w:r>
          </w:p>
        </w:tc>
      </w:tr>
      <w:tr w:rsidR="00F150BA" w:rsidRPr="003C2BC2" w14:paraId="549C8687" w14:textId="77777777" w:rsidTr="00650125">
        <w:tc>
          <w:tcPr>
            <w:tcW w:w="1114" w:type="dxa"/>
            <w:vMerge/>
            <w:tcBorders>
              <w:left w:val="single" w:sz="4" w:space="0" w:color="auto"/>
              <w:right w:val="single" w:sz="4" w:space="0" w:color="auto"/>
            </w:tcBorders>
          </w:tcPr>
          <w:p w14:paraId="71B17E22"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hideMark/>
          </w:tcPr>
          <w:p w14:paraId="4140D2B7" w14:textId="77777777" w:rsidR="00F150BA" w:rsidRPr="003C2BC2" w:rsidRDefault="00F150BA" w:rsidP="004A3104">
            <w:r w:rsidRPr="003C2BC2">
              <w:t xml:space="preserve">1 x </w:t>
            </w:r>
            <w:proofErr w:type="spellStart"/>
            <w:r w:rsidRPr="003C2BC2">
              <w:t>mittlerer</w:t>
            </w:r>
            <w:proofErr w:type="spellEnd"/>
            <w:r w:rsidRPr="003C2BC2">
              <w:t xml:space="preserve"> </w:t>
            </w:r>
            <w:proofErr w:type="spellStart"/>
            <w:r w:rsidRPr="003C2BC2">
              <w:t>Dienst</w:t>
            </w:r>
            <w:proofErr w:type="spellEnd"/>
            <w:r w:rsidRPr="003C2BC2">
              <w:t xml:space="preserve"> (medium service level) post (A 7)</w:t>
            </w:r>
          </w:p>
        </w:tc>
        <w:tc>
          <w:tcPr>
            <w:tcW w:w="3102" w:type="dxa"/>
            <w:tcBorders>
              <w:top w:val="single" w:sz="4" w:space="0" w:color="auto"/>
              <w:left w:val="single" w:sz="4" w:space="0" w:color="auto"/>
              <w:bottom w:val="single" w:sz="4" w:space="0" w:color="auto"/>
              <w:right w:val="single" w:sz="4" w:space="0" w:color="auto"/>
            </w:tcBorders>
            <w:hideMark/>
          </w:tcPr>
          <w:p w14:paraId="6EE093C3" w14:textId="77777777" w:rsidR="00F150BA" w:rsidRPr="003C2BC2" w:rsidRDefault="00F150BA" w:rsidP="004A3104">
            <w:pPr>
              <w:rPr>
                <w:u w:val="single"/>
              </w:rPr>
            </w:pPr>
            <w:r w:rsidRPr="003C2BC2">
              <w:rPr>
                <w:u w:val="single"/>
              </w:rPr>
              <w:t>Fund:</w:t>
            </w:r>
          </w:p>
          <w:p w14:paraId="3891A583" w14:textId="77777777" w:rsidR="00F150BA" w:rsidRPr="003C2BC2" w:rsidRDefault="00F150BA" w:rsidP="004A3104">
            <w:r w:rsidRPr="003C2BC2">
              <w:t>Monitoring of revenue and expenditure, enforcement</w:t>
            </w:r>
          </w:p>
        </w:tc>
        <w:tc>
          <w:tcPr>
            <w:tcW w:w="2283" w:type="dxa"/>
            <w:tcBorders>
              <w:top w:val="single" w:sz="4" w:space="0" w:color="auto"/>
              <w:left w:val="single" w:sz="4" w:space="0" w:color="auto"/>
              <w:bottom w:val="single" w:sz="4" w:space="0" w:color="auto"/>
              <w:right w:val="single" w:sz="4" w:space="0" w:color="auto"/>
            </w:tcBorders>
            <w:hideMark/>
          </w:tcPr>
          <w:p w14:paraId="46876E3A" w14:textId="7F6EA0FF" w:rsidR="00F150BA" w:rsidRPr="003C2BC2" w:rsidRDefault="00F150BA" w:rsidP="004A3104">
            <w:r w:rsidRPr="003C2BC2">
              <w:t>1 x EUR 49 234</w:t>
            </w:r>
          </w:p>
        </w:tc>
      </w:tr>
      <w:tr w:rsidR="00F150BA" w:rsidRPr="003C2BC2" w14:paraId="1E3E02B2" w14:textId="77777777" w:rsidTr="00650125">
        <w:tc>
          <w:tcPr>
            <w:tcW w:w="1114" w:type="dxa"/>
            <w:vMerge/>
            <w:tcBorders>
              <w:left w:val="single" w:sz="4" w:space="0" w:color="auto"/>
              <w:right w:val="single" w:sz="4" w:space="0" w:color="auto"/>
            </w:tcBorders>
          </w:tcPr>
          <w:p w14:paraId="13E1D29F"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tcPr>
          <w:p w14:paraId="5959CE9D" w14:textId="77777777" w:rsidR="00F150BA" w:rsidRPr="003C2BC2" w:rsidRDefault="00F150BA" w:rsidP="004A3104"/>
        </w:tc>
        <w:tc>
          <w:tcPr>
            <w:tcW w:w="3102" w:type="dxa"/>
            <w:tcBorders>
              <w:top w:val="single" w:sz="4" w:space="0" w:color="auto"/>
              <w:left w:val="single" w:sz="4" w:space="0" w:color="auto"/>
              <w:bottom w:val="single" w:sz="4" w:space="0" w:color="auto"/>
              <w:right w:val="single" w:sz="4" w:space="0" w:color="auto"/>
            </w:tcBorders>
          </w:tcPr>
          <w:p w14:paraId="6558475B" w14:textId="77777777" w:rsidR="00F150BA" w:rsidRPr="003C2BC2" w:rsidRDefault="00F150BA" w:rsidP="004A3104"/>
        </w:tc>
        <w:tc>
          <w:tcPr>
            <w:tcW w:w="2283" w:type="dxa"/>
            <w:tcBorders>
              <w:top w:val="single" w:sz="4" w:space="0" w:color="auto"/>
              <w:left w:val="single" w:sz="4" w:space="0" w:color="auto"/>
              <w:bottom w:val="single" w:sz="4" w:space="0" w:color="auto"/>
              <w:right w:val="single" w:sz="4" w:space="0" w:color="auto"/>
            </w:tcBorders>
          </w:tcPr>
          <w:p w14:paraId="06B66499" w14:textId="77777777" w:rsidR="00F150BA" w:rsidRPr="003C2BC2" w:rsidRDefault="00F150BA" w:rsidP="004A3104"/>
        </w:tc>
      </w:tr>
      <w:tr w:rsidR="00F150BA" w:rsidRPr="003C2BC2" w14:paraId="3C87C2D2" w14:textId="77777777" w:rsidTr="00650125">
        <w:tc>
          <w:tcPr>
            <w:tcW w:w="1114" w:type="dxa"/>
            <w:vMerge/>
            <w:tcBorders>
              <w:left w:val="single" w:sz="4" w:space="0" w:color="auto"/>
              <w:right w:val="single" w:sz="4" w:space="0" w:color="auto"/>
            </w:tcBorders>
          </w:tcPr>
          <w:p w14:paraId="4BFA3A95"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hideMark/>
          </w:tcPr>
          <w:p w14:paraId="59A650C0" w14:textId="32A47263" w:rsidR="00F150BA" w:rsidRPr="003C2BC2" w:rsidRDefault="00F150BA" w:rsidP="004A3104">
            <w:r w:rsidRPr="003C2BC2">
              <w:t xml:space="preserve">1 x </w:t>
            </w:r>
            <w:proofErr w:type="spellStart"/>
            <w:r w:rsidRPr="003C2BC2">
              <w:t>gehobener</w:t>
            </w:r>
            <w:proofErr w:type="spellEnd"/>
            <w:r w:rsidRPr="003C2BC2">
              <w:t xml:space="preserve"> </w:t>
            </w:r>
            <w:proofErr w:type="spellStart"/>
            <w:r w:rsidRPr="003C2BC2">
              <w:t>Dienst</w:t>
            </w:r>
            <w:proofErr w:type="spellEnd"/>
            <w:r w:rsidRPr="003C2BC2">
              <w:t xml:space="preserve"> post (A 10)</w:t>
            </w:r>
          </w:p>
        </w:tc>
        <w:tc>
          <w:tcPr>
            <w:tcW w:w="3102" w:type="dxa"/>
            <w:tcBorders>
              <w:top w:val="single" w:sz="4" w:space="0" w:color="auto"/>
              <w:left w:val="single" w:sz="4" w:space="0" w:color="auto"/>
              <w:bottom w:val="single" w:sz="4" w:space="0" w:color="auto"/>
              <w:right w:val="single" w:sz="4" w:space="0" w:color="auto"/>
            </w:tcBorders>
            <w:hideMark/>
          </w:tcPr>
          <w:p w14:paraId="5C74C1CC" w14:textId="77777777" w:rsidR="00F150BA" w:rsidRPr="003C2BC2" w:rsidRDefault="00F150BA" w:rsidP="004A3104">
            <w:pPr>
              <w:rPr>
                <w:u w:val="single"/>
              </w:rPr>
            </w:pPr>
            <w:r w:rsidRPr="003C2BC2">
              <w:rPr>
                <w:u w:val="single"/>
              </w:rPr>
              <w:t>Statements of determination:</w:t>
            </w:r>
          </w:p>
          <w:p w14:paraId="063B861B" w14:textId="77777777" w:rsidR="00F150BA" w:rsidRPr="003C2BC2" w:rsidRDefault="00F150BA" w:rsidP="004A3104">
            <w:r w:rsidRPr="003C2BC2">
              <w:t>Establishment, subsequently applications for designation, examination and decisions</w:t>
            </w:r>
          </w:p>
        </w:tc>
        <w:tc>
          <w:tcPr>
            <w:tcW w:w="2283" w:type="dxa"/>
            <w:tcBorders>
              <w:top w:val="single" w:sz="4" w:space="0" w:color="auto"/>
              <w:left w:val="single" w:sz="4" w:space="0" w:color="auto"/>
              <w:bottom w:val="single" w:sz="4" w:space="0" w:color="auto"/>
              <w:right w:val="single" w:sz="4" w:space="0" w:color="auto"/>
            </w:tcBorders>
            <w:hideMark/>
          </w:tcPr>
          <w:p w14:paraId="349468DD" w14:textId="69C50067" w:rsidR="00F150BA" w:rsidRPr="003C2BC2" w:rsidRDefault="00F150BA" w:rsidP="004A3104">
            <w:r w:rsidRPr="003C2BC2">
              <w:t>1 x EUR 69 735</w:t>
            </w:r>
          </w:p>
        </w:tc>
      </w:tr>
      <w:tr w:rsidR="00D97045" w:rsidRPr="003C2BC2" w14:paraId="064603B1" w14:textId="77777777" w:rsidTr="00650125">
        <w:tc>
          <w:tcPr>
            <w:tcW w:w="1114" w:type="dxa"/>
            <w:vMerge/>
            <w:tcBorders>
              <w:left w:val="single" w:sz="4" w:space="0" w:color="auto"/>
              <w:right w:val="single" w:sz="4" w:space="0" w:color="auto"/>
            </w:tcBorders>
          </w:tcPr>
          <w:p w14:paraId="7DA01AAE" w14:textId="77777777" w:rsidR="00D97045" w:rsidRPr="003C2BC2" w:rsidRDefault="00D97045" w:rsidP="00D97045"/>
        </w:tc>
        <w:tc>
          <w:tcPr>
            <w:tcW w:w="2000" w:type="dxa"/>
            <w:tcBorders>
              <w:top w:val="single" w:sz="4" w:space="0" w:color="auto"/>
              <w:left w:val="single" w:sz="4" w:space="0" w:color="auto"/>
              <w:bottom w:val="single" w:sz="4" w:space="0" w:color="auto"/>
              <w:right w:val="single" w:sz="4" w:space="0" w:color="auto"/>
            </w:tcBorders>
          </w:tcPr>
          <w:p w14:paraId="022C6E90" w14:textId="77777777" w:rsidR="00D97045" w:rsidRPr="003C2BC2" w:rsidRDefault="00D97045" w:rsidP="00D97045"/>
        </w:tc>
        <w:tc>
          <w:tcPr>
            <w:tcW w:w="3102" w:type="dxa"/>
            <w:tcBorders>
              <w:top w:val="single" w:sz="4" w:space="0" w:color="auto"/>
              <w:left w:val="single" w:sz="4" w:space="0" w:color="auto"/>
              <w:bottom w:val="single" w:sz="4" w:space="0" w:color="auto"/>
              <w:right w:val="single" w:sz="4" w:space="0" w:color="auto"/>
            </w:tcBorders>
          </w:tcPr>
          <w:p w14:paraId="7D9A4CC5" w14:textId="77777777" w:rsidR="00D97045" w:rsidRPr="003C2BC2" w:rsidRDefault="00D97045" w:rsidP="00D97045">
            <w:pPr>
              <w:rPr>
                <w:u w:val="single"/>
              </w:rPr>
            </w:pPr>
          </w:p>
        </w:tc>
        <w:tc>
          <w:tcPr>
            <w:tcW w:w="2283" w:type="dxa"/>
            <w:tcBorders>
              <w:top w:val="single" w:sz="4" w:space="0" w:color="auto"/>
              <w:left w:val="single" w:sz="4" w:space="0" w:color="auto"/>
              <w:bottom w:val="single" w:sz="4" w:space="0" w:color="auto"/>
              <w:right w:val="single" w:sz="4" w:space="0" w:color="auto"/>
            </w:tcBorders>
          </w:tcPr>
          <w:p w14:paraId="23802632" w14:textId="77777777" w:rsidR="00D97045" w:rsidRPr="003C2BC2" w:rsidRDefault="00D97045" w:rsidP="00D97045"/>
        </w:tc>
      </w:tr>
      <w:tr w:rsidR="00D97045" w:rsidRPr="003C2BC2" w14:paraId="685C592F" w14:textId="77777777" w:rsidTr="00650125">
        <w:tc>
          <w:tcPr>
            <w:tcW w:w="1114" w:type="dxa"/>
            <w:vMerge/>
            <w:tcBorders>
              <w:left w:val="single" w:sz="4" w:space="0" w:color="auto"/>
              <w:right w:val="single" w:sz="4" w:space="0" w:color="auto"/>
            </w:tcBorders>
          </w:tcPr>
          <w:p w14:paraId="62E03BB4" w14:textId="77777777" w:rsidR="00D97045" w:rsidRPr="003C2BC2" w:rsidRDefault="00D97045" w:rsidP="00D97045"/>
        </w:tc>
        <w:tc>
          <w:tcPr>
            <w:tcW w:w="2000" w:type="dxa"/>
            <w:tcBorders>
              <w:top w:val="single" w:sz="4" w:space="0" w:color="auto"/>
              <w:left w:val="single" w:sz="4" w:space="0" w:color="auto"/>
              <w:bottom w:val="single" w:sz="4" w:space="0" w:color="auto"/>
              <w:right w:val="single" w:sz="4" w:space="0" w:color="auto"/>
            </w:tcBorders>
          </w:tcPr>
          <w:p w14:paraId="4F5F63A6" w14:textId="10F19736" w:rsidR="00D97045" w:rsidRPr="003C2BC2" w:rsidRDefault="00D97045" w:rsidP="00D97045">
            <w:r w:rsidRPr="003C2BC2">
              <w:t xml:space="preserve">1 x </w:t>
            </w:r>
            <w:proofErr w:type="spellStart"/>
            <w:r w:rsidRPr="003C2BC2">
              <w:t>höherer</w:t>
            </w:r>
            <w:proofErr w:type="spellEnd"/>
            <w:r w:rsidRPr="003C2BC2">
              <w:t xml:space="preserve"> </w:t>
            </w:r>
            <w:proofErr w:type="spellStart"/>
            <w:r w:rsidRPr="003C2BC2">
              <w:t>Dienst</w:t>
            </w:r>
            <w:proofErr w:type="spellEnd"/>
            <w:r w:rsidRPr="003C2BC2">
              <w:t xml:space="preserve"> post (A 13h)</w:t>
            </w:r>
          </w:p>
        </w:tc>
        <w:tc>
          <w:tcPr>
            <w:tcW w:w="3102" w:type="dxa"/>
            <w:tcBorders>
              <w:top w:val="single" w:sz="4" w:space="0" w:color="auto"/>
              <w:left w:val="single" w:sz="4" w:space="0" w:color="auto"/>
              <w:bottom w:val="single" w:sz="4" w:space="0" w:color="auto"/>
              <w:right w:val="single" w:sz="4" w:space="0" w:color="auto"/>
            </w:tcBorders>
          </w:tcPr>
          <w:p w14:paraId="10F9DDC0" w14:textId="77777777" w:rsidR="00D97045" w:rsidRPr="003C2BC2" w:rsidRDefault="00D97045" w:rsidP="00D97045">
            <w:pPr>
              <w:rPr>
                <w:u w:val="single"/>
              </w:rPr>
            </w:pPr>
            <w:r w:rsidRPr="003C2BC2">
              <w:rPr>
                <w:u w:val="single"/>
              </w:rPr>
              <w:t>Objections:</w:t>
            </w:r>
          </w:p>
          <w:p w14:paraId="197EA96E" w14:textId="43371614" w:rsidR="00D97045" w:rsidRPr="003C2BC2" w:rsidRDefault="00D97045" w:rsidP="00D97045">
            <w:r w:rsidRPr="003C2BC2">
              <w:t>Processing of objections</w:t>
            </w:r>
          </w:p>
        </w:tc>
        <w:tc>
          <w:tcPr>
            <w:tcW w:w="2283" w:type="dxa"/>
            <w:tcBorders>
              <w:top w:val="single" w:sz="4" w:space="0" w:color="auto"/>
              <w:left w:val="single" w:sz="4" w:space="0" w:color="auto"/>
              <w:bottom w:val="single" w:sz="4" w:space="0" w:color="auto"/>
              <w:right w:val="single" w:sz="4" w:space="0" w:color="auto"/>
            </w:tcBorders>
          </w:tcPr>
          <w:p w14:paraId="2B36976F" w14:textId="41205153" w:rsidR="00D97045" w:rsidRPr="003C2BC2" w:rsidRDefault="00D97045" w:rsidP="00D97045">
            <w:r w:rsidRPr="003C2BC2">
              <w:t>1 x EUR 93 528</w:t>
            </w:r>
          </w:p>
        </w:tc>
      </w:tr>
      <w:tr w:rsidR="00D97045" w:rsidRPr="003C2BC2" w14:paraId="6F5062A0" w14:textId="77777777" w:rsidTr="00650125">
        <w:tc>
          <w:tcPr>
            <w:tcW w:w="1114" w:type="dxa"/>
            <w:vMerge/>
            <w:tcBorders>
              <w:left w:val="single" w:sz="4" w:space="0" w:color="auto"/>
              <w:right w:val="single" w:sz="4" w:space="0" w:color="auto"/>
            </w:tcBorders>
          </w:tcPr>
          <w:p w14:paraId="360BB9C4" w14:textId="77777777" w:rsidR="00D97045" w:rsidRPr="003C2BC2" w:rsidRDefault="00D97045" w:rsidP="00D97045"/>
        </w:tc>
        <w:tc>
          <w:tcPr>
            <w:tcW w:w="2000" w:type="dxa"/>
            <w:tcBorders>
              <w:top w:val="single" w:sz="4" w:space="0" w:color="auto"/>
              <w:left w:val="single" w:sz="4" w:space="0" w:color="auto"/>
              <w:bottom w:val="single" w:sz="4" w:space="0" w:color="auto"/>
              <w:right w:val="single" w:sz="4" w:space="0" w:color="auto"/>
            </w:tcBorders>
          </w:tcPr>
          <w:p w14:paraId="7AE27741" w14:textId="20F3E411" w:rsidR="00D97045" w:rsidRPr="003C2BC2" w:rsidRDefault="00D97045" w:rsidP="00D97045">
            <w:r w:rsidRPr="003C2BC2">
              <w:t xml:space="preserve">1 x </w:t>
            </w:r>
            <w:proofErr w:type="spellStart"/>
            <w:r w:rsidRPr="003C2BC2">
              <w:t>gehobener</w:t>
            </w:r>
            <w:proofErr w:type="spellEnd"/>
            <w:r w:rsidRPr="003C2BC2">
              <w:t xml:space="preserve"> </w:t>
            </w:r>
            <w:proofErr w:type="spellStart"/>
            <w:r w:rsidRPr="003C2BC2">
              <w:t>Dienst</w:t>
            </w:r>
            <w:proofErr w:type="spellEnd"/>
            <w:r w:rsidRPr="003C2BC2">
              <w:t xml:space="preserve"> post (A 9g)</w:t>
            </w:r>
          </w:p>
        </w:tc>
        <w:tc>
          <w:tcPr>
            <w:tcW w:w="3102" w:type="dxa"/>
            <w:tcBorders>
              <w:top w:val="single" w:sz="4" w:space="0" w:color="auto"/>
              <w:left w:val="single" w:sz="4" w:space="0" w:color="auto"/>
              <w:bottom w:val="single" w:sz="4" w:space="0" w:color="auto"/>
              <w:right w:val="single" w:sz="4" w:space="0" w:color="auto"/>
            </w:tcBorders>
          </w:tcPr>
          <w:p w14:paraId="44F436F5" w14:textId="77777777" w:rsidR="00D97045" w:rsidRPr="003C2BC2" w:rsidRDefault="00D97045" w:rsidP="00D97045">
            <w:pPr>
              <w:rPr>
                <w:u w:val="single"/>
              </w:rPr>
            </w:pPr>
            <w:r w:rsidRPr="003C2BC2">
              <w:rPr>
                <w:u w:val="single"/>
              </w:rPr>
              <w:t>Objections:</w:t>
            </w:r>
          </w:p>
          <w:p w14:paraId="5D05FDC2" w14:textId="67ED3BCE" w:rsidR="00D97045" w:rsidRPr="003C2BC2" w:rsidRDefault="00D97045" w:rsidP="00D97045">
            <w:pPr>
              <w:rPr>
                <w:u w:val="single"/>
              </w:rPr>
            </w:pPr>
            <w:r w:rsidRPr="003C2BC2">
              <w:t>Processing of objections</w:t>
            </w:r>
          </w:p>
        </w:tc>
        <w:tc>
          <w:tcPr>
            <w:tcW w:w="2283" w:type="dxa"/>
            <w:tcBorders>
              <w:top w:val="single" w:sz="4" w:space="0" w:color="auto"/>
              <w:left w:val="single" w:sz="4" w:space="0" w:color="auto"/>
              <w:bottom w:val="single" w:sz="4" w:space="0" w:color="auto"/>
              <w:right w:val="single" w:sz="4" w:space="0" w:color="auto"/>
            </w:tcBorders>
          </w:tcPr>
          <w:p w14:paraId="49E4F323" w14:textId="2FBFC0D0" w:rsidR="00D97045" w:rsidRPr="003C2BC2" w:rsidRDefault="00D97045" w:rsidP="00D97045">
            <w:r w:rsidRPr="003C2BC2">
              <w:t>1 x EUR 55,979</w:t>
            </w:r>
          </w:p>
        </w:tc>
      </w:tr>
      <w:tr w:rsidR="00D97045" w:rsidRPr="003C2BC2" w14:paraId="37F2F655" w14:textId="77777777" w:rsidTr="00650125">
        <w:tc>
          <w:tcPr>
            <w:tcW w:w="1114" w:type="dxa"/>
            <w:vMerge/>
            <w:tcBorders>
              <w:left w:val="single" w:sz="4" w:space="0" w:color="auto"/>
              <w:right w:val="single" w:sz="4" w:space="0" w:color="auto"/>
            </w:tcBorders>
          </w:tcPr>
          <w:p w14:paraId="05A36EA7" w14:textId="77777777" w:rsidR="00D97045" w:rsidRPr="003C2BC2" w:rsidRDefault="00D97045" w:rsidP="00D97045"/>
        </w:tc>
        <w:tc>
          <w:tcPr>
            <w:tcW w:w="2000" w:type="dxa"/>
            <w:tcBorders>
              <w:top w:val="single" w:sz="4" w:space="0" w:color="auto"/>
              <w:left w:val="single" w:sz="4" w:space="0" w:color="auto"/>
              <w:bottom w:val="single" w:sz="4" w:space="0" w:color="auto"/>
              <w:right w:val="single" w:sz="4" w:space="0" w:color="auto"/>
            </w:tcBorders>
          </w:tcPr>
          <w:p w14:paraId="69D8AAF9" w14:textId="77D72160" w:rsidR="00D97045" w:rsidRPr="003C2BC2" w:rsidRDefault="00D97045" w:rsidP="00D97045">
            <w:r w:rsidRPr="003C2BC2">
              <w:t xml:space="preserve">1 x </w:t>
            </w:r>
            <w:proofErr w:type="spellStart"/>
            <w:r w:rsidRPr="003C2BC2">
              <w:t>mittlerer</w:t>
            </w:r>
            <w:proofErr w:type="spellEnd"/>
            <w:r w:rsidRPr="003C2BC2">
              <w:t xml:space="preserve"> </w:t>
            </w:r>
            <w:proofErr w:type="spellStart"/>
            <w:r w:rsidRPr="003C2BC2">
              <w:t>Dienst</w:t>
            </w:r>
            <w:proofErr w:type="spellEnd"/>
            <w:r w:rsidRPr="003C2BC2">
              <w:t xml:space="preserve"> post (A 7)</w:t>
            </w:r>
          </w:p>
        </w:tc>
        <w:tc>
          <w:tcPr>
            <w:tcW w:w="3102" w:type="dxa"/>
            <w:tcBorders>
              <w:top w:val="single" w:sz="4" w:space="0" w:color="auto"/>
              <w:left w:val="single" w:sz="4" w:space="0" w:color="auto"/>
              <w:bottom w:val="single" w:sz="4" w:space="0" w:color="auto"/>
              <w:right w:val="single" w:sz="4" w:space="0" w:color="auto"/>
            </w:tcBorders>
          </w:tcPr>
          <w:p w14:paraId="7A570B9C" w14:textId="77777777" w:rsidR="00D97045" w:rsidRPr="003C2BC2" w:rsidRDefault="00D97045" w:rsidP="00D97045">
            <w:pPr>
              <w:rPr>
                <w:u w:val="single"/>
              </w:rPr>
            </w:pPr>
            <w:r w:rsidRPr="003C2BC2">
              <w:rPr>
                <w:u w:val="single"/>
              </w:rPr>
              <w:t>Objections:</w:t>
            </w:r>
          </w:p>
          <w:p w14:paraId="3823F60A" w14:textId="28D40EAA" w:rsidR="00D97045" w:rsidRPr="003C2BC2" w:rsidRDefault="00D97045" w:rsidP="00D97045">
            <w:pPr>
              <w:rPr>
                <w:u w:val="single"/>
              </w:rPr>
            </w:pPr>
            <w:r w:rsidRPr="003C2BC2">
              <w:t>Office organisation, supporting activities</w:t>
            </w:r>
          </w:p>
        </w:tc>
        <w:tc>
          <w:tcPr>
            <w:tcW w:w="2283" w:type="dxa"/>
            <w:tcBorders>
              <w:top w:val="single" w:sz="4" w:space="0" w:color="auto"/>
              <w:left w:val="single" w:sz="4" w:space="0" w:color="auto"/>
              <w:bottom w:val="single" w:sz="4" w:space="0" w:color="auto"/>
              <w:right w:val="single" w:sz="4" w:space="0" w:color="auto"/>
            </w:tcBorders>
          </w:tcPr>
          <w:p w14:paraId="56A2A078" w14:textId="285C60C7" w:rsidR="00D97045" w:rsidRPr="003C2BC2" w:rsidRDefault="00D97045" w:rsidP="00D97045">
            <w:r w:rsidRPr="003C2BC2">
              <w:t>1 x EUR 49 234</w:t>
            </w:r>
          </w:p>
        </w:tc>
      </w:tr>
      <w:tr w:rsidR="00F150BA" w:rsidRPr="003C2BC2" w14:paraId="7C41BB42" w14:textId="77777777" w:rsidTr="00650125">
        <w:tc>
          <w:tcPr>
            <w:tcW w:w="1114" w:type="dxa"/>
            <w:vMerge/>
            <w:tcBorders>
              <w:left w:val="single" w:sz="4" w:space="0" w:color="auto"/>
              <w:right w:val="single" w:sz="4" w:space="0" w:color="auto"/>
            </w:tcBorders>
          </w:tcPr>
          <w:p w14:paraId="3F49D8A4"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tcPr>
          <w:p w14:paraId="0F08EA11" w14:textId="4AE4ADE2" w:rsidR="00F150BA" w:rsidRPr="003C2BC2" w:rsidRDefault="00F150BA" w:rsidP="004A3104"/>
        </w:tc>
        <w:tc>
          <w:tcPr>
            <w:tcW w:w="3102" w:type="dxa"/>
            <w:tcBorders>
              <w:top w:val="single" w:sz="4" w:space="0" w:color="auto"/>
              <w:left w:val="single" w:sz="4" w:space="0" w:color="auto"/>
              <w:bottom w:val="single" w:sz="4" w:space="0" w:color="auto"/>
              <w:right w:val="single" w:sz="4" w:space="0" w:color="auto"/>
            </w:tcBorders>
          </w:tcPr>
          <w:p w14:paraId="64084386" w14:textId="77777777" w:rsidR="00F150BA" w:rsidRPr="003C2BC2" w:rsidRDefault="00F150BA" w:rsidP="004A3104"/>
        </w:tc>
        <w:tc>
          <w:tcPr>
            <w:tcW w:w="2283" w:type="dxa"/>
            <w:tcBorders>
              <w:top w:val="single" w:sz="4" w:space="0" w:color="auto"/>
              <w:left w:val="single" w:sz="4" w:space="0" w:color="auto"/>
              <w:bottom w:val="single" w:sz="4" w:space="0" w:color="auto"/>
              <w:right w:val="single" w:sz="4" w:space="0" w:color="auto"/>
            </w:tcBorders>
          </w:tcPr>
          <w:p w14:paraId="2C13521C" w14:textId="5B89A751" w:rsidR="00F150BA" w:rsidRPr="003C2BC2" w:rsidRDefault="00F150BA" w:rsidP="004A3104"/>
        </w:tc>
      </w:tr>
      <w:tr w:rsidR="00F150BA" w:rsidRPr="003C2BC2" w14:paraId="18BEF1EE" w14:textId="77777777" w:rsidTr="00650125">
        <w:tc>
          <w:tcPr>
            <w:tcW w:w="1114" w:type="dxa"/>
            <w:vMerge/>
            <w:tcBorders>
              <w:left w:val="single" w:sz="4" w:space="0" w:color="auto"/>
              <w:right w:val="single" w:sz="4" w:space="0" w:color="auto"/>
            </w:tcBorders>
          </w:tcPr>
          <w:p w14:paraId="00B9D0EF"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hideMark/>
          </w:tcPr>
          <w:p w14:paraId="73912156" w14:textId="61322386" w:rsidR="00F150BA" w:rsidRPr="003C2BC2" w:rsidRDefault="00F150BA" w:rsidP="004A3104">
            <w:r w:rsidRPr="003C2BC2">
              <w:t xml:space="preserve">1 x </w:t>
            </w:r>
            <w:proofErr w:type="spellStart"/>
            <w:r w:rsidRPr="003C2BC2">
              <w:t>höherer</w:t>
            </w:r>
            <w:proofErr w:type="spellEnd"/>
            <w:r w:rsidRPr="003C2BC2">
              <w:t xml:space="preserve"> </w:t>
            </w:r>
            <w:proofErr w:type="spellStart"/>
            <w:r w:rsidRPr="003C2BC2">
              <w:t>Dienst</w:t>
            </w:r>
            <w:proofErr w:type="spellEnd"/>
            <w:r w:rsidRPr="003C2BC2">
              <w:t xml:space="preserve"> post (A 13)</w:t>
            </w:r>
          </w:p>
        </w:tc>
        <w:tc>
          <w:tcPr>
            <w:tcW w:w="3102" w:type="dxa"/>
            <w:tcBorders>
              <w:top w:val="single" w:sz="4" w:space="0" w:color="auto"/>
              <w:left w:val="single" w:sz="4" w:space="0" w:color="auto"/>
              <w:bottom w:val="single" w:sz="4" w:space="0" w:color="auto"/>
              <w:right w:val="single" w:sz="4" w:space="0" w:color="auto"/>
            </w:tcBorders>
            <w:hideMark/>
          </w:tcPr>
          <w:p w14:paraId="21B8C925" w14:textId="77777777" w:rsidR="00F150BA" w:rsidRPr="003C2BC2" w:rsidRDefault="00F150BA" w:rsidP="004A3104">
            <w:pPr>
              <w:rPr>
                <w:u w:val="single"/>
              </w:rPr>
            </w:pPr>
            <w:r w:rsidRPr="003C2BC2">
              <w:rPr>
                <w:u w:val="single"/>
              </w:rPr>
              <w:t>Regulatory offences:</w:t>
            </w:r>
          </w:p>
          <w:p w14:paraId="49095AD8" w14:textId="3001DCB3" w:rsidR="00F150BA" w:rsidRPr="003C2BC2" w:rsidRDefault="00F150BA" w:rsidP="004A3104">
            <w:r w:rsidRPr="003C2BC2">
              <w:t>Lawyer for pursuing regulatory offences</w:t>
            </w:r>
          </w:p>
        </w:tc>
        <w:tc>
          <w:tcPr>
            <w:tcW w:w="2283" w:type="dxa"/>
            <w:tcBorders>
              <w:top w:val="single" w:sz="4" w:space="0" w:color="auto"/>
              <w:left w:val="single" w:sz="4" w:space="0" w:color="auto"/>
              <w:bottom w:val="single" w:sz="4" w:space="0" w:color="auto"/>
              <w:right w:val="single" w:sz="4" w:space="0" w:color="auto"/>
            </w:tcBorders>
            <w:hideMark/>
          </w:tcPr>
          <w:p w14:paraId="06EEF879" w14:textId="45AD5159" w:rsidR="00F150BA" w:rsidRPr="003C2BC2" w:rsidRDefault="00F150BA" w:rsidP="004A3104">
            <w:r w:rsidRPr="003C2BC2">
              <w:t>1 x EUR 93 528</w:t>
            </w:r>
          </w:p>
        </w:tc>
      </w:tr>
      <w:tr w:rsidR="00F150BA" w:rsidRPr="003C2BC2" w14:paraId="732B610A" w14:textId="77777777" w:rsidTr="00650125">
        <w:tc>
          <w:tcPr>
            <w:tcW w:w="1114" w:type="dxa"/>
            <w:vMerge/>
            <w:tcBorders>
              <w:left w:val="single" w:sz="4" w:space="0" w:color="auto"/>
              <w:right w:val="single" w:sz="4" w:space="0" w:color="auto"/>
            </w:tcBorders>
          </w:tcPr>
          <w:p w14:paraId="7054053C"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tcPr>
          <w:p w14:paraId="6259BD77" w14:textId="0A952623" w:rsidR="00F150BA" w:rsidRPr="003C2BC2" w:rsidRDefault="00F150BA" w:rsidP="004A3104"/>
        </w:tc>
        <w:tc>
          <w:tcPr>
            <w:tcW w:w="3102" w:type="dxa"/>
            <w:tcBorders>
              <w:top w:val="single" w:sz="4" w:space="0" w:color="auto"/>
              <w:left w:val="single" w:sz="4" w:space="0" w:color="auto"/>
              <w:bottom w:val="single" w:sz="4" w:space="0" w:color="auto"/>
              <w:right w:val="single" w:sz="4" w:space="0" w:color="auto"/>
            </w:tcBorders>
          </w:tcPr>
          <w:p w14:paraId="27C66303" w14:textId="77777777" w:rsidR="00F150BA" w:rsidRPr="003C2BC2" w:rsidRDefault="00F150BA" w:rsidP="004A3104"/>
        </w:tc>
        <w:tc>
          <w:tcPr>
            <w:tcW w:w="2283" w:type="dxa"/>
            <w:tcBorders>
              <w:top w:val="single" w:sz="4" w:space="0" w:color="auto"/>
              <w:left w:val="single" w:sz="4" w:space="0" w:color="auto"/>
              <w:bottom w:val="single" w:sz="4" w:space="0" w:color="auto"/>
              <w:right w:val="single" w:sz="4" w:space="0" w:color="auto"/>
            </w:tcBorders>
          </w:tcPr>
          <w:p w14:paraId="00D12955" w14:textId="6D73B289" w:rsidR="00F150BA" w:rsidRPr="003C2BC2" w:rsidRDefault="00F150BA" w:rsidP="004A3104"/>
        </w:tc>
      </w:tr>
      <w:tr w:rsidR="00F150BA" w:rsidRPr="003C2BC2" w14:paraId="083BD2E3" w14:textId="77777777" w:rsidTr="00650125">
        <w:tc>
          <w:tcPr>
            <w:tcW w:w="1114" w:type="dxa"/>
            <w:vMerge/>
            <w:tcBorders>
              <w:left w:val="single" w:sz="4" w:space="0" w:color="auto"/>
              <w:right w:val="single" w:sz="4" w:space="0" w:color="auto"/>
            </w:tcBorders>
          </w:tcPr>
          <w:p w14:paraId="6236C18E"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hideMark/>
          </w:tcPr>
          <w:p w14:paraId="69AC52CE" w14:textId="2516ACAF" w:rsidR="00F150BA" w:rsidRPr="003C2BC2" w:rsidRDefault="00D97045" w:rsidP="004A3104">
            <w:r w:rsidRPr="003C2BC2">
              <w:t xml:space="preserve">2 x </w:t>
            </w:r>
            <w:proofErr w:type="spellStart"/>
            <w:r w:rsidRPr="003C2BC2">
              <w:t>gehobener</w:t>
            </w:r>
            <w:proofErr w:type="spellEnd"/>
            <w:r w:rsidRPr="003C2BC2">
              <w:t xml:space="preserve"> </w:t>
            </w:r>
            <w:proofErr w:type="spellStart"/>
            <w:r w:rsidRPr="003C2BC2">
              <w:t>Dienst</w:t>
            </w:r>
            <w:proofErr w:type="spellEnd"/>
            <w:r w:rsidRPr="003C2BC2">
              <w:t xml:space="preserve"> post (E 9c)</w:t>
            </w:r>
          </w:p>
        </w:tc>
        <w:tc>
          <w:tcPr>
            <w:tcW w:w="3102" w:type="dxa"/>
            <w:tcBorders>
              <w:top w:val="single" w:sz="4" w:space="0" w:color="auto"/>
              <w:left w:val="single" w:sz="4" w:space="0" w:color="auto"/>
              <w:bottom w:val="single" w:sz="4" w:space="0" w:color="auto"/>
              <w:right w:val="single" w:sz="4" w:space="0" w:color="auto"/>
            </w:tcBorders>
            <w:hideMark/>
          </w:tcPr>
          <w:p w14:paraId="12F18A19" w14:textId="5A1C967C" w:rsidR="00F150BA" w:rsidRPr="003C2BC2" w:rsidRDefault="0075293B" w:rsidP="004A3104">
            <w:pPr>
              <w:rPr>
                <w:u w:val="single"/>
              </w:rPr>
            </w:pPr>
            <w:r w:rsidRPr="003C2BC2">
              <w:rPr>
                <w:u w:val="single"/>
              </w:rPr>
              <w:t>Infrastructure tasks</w:t>
            </w:r>
          </w:p>
        </w:tc>
        <w:tc>
          <w:tcPr>
            <w:tcW w:w="2283" w:type="dxa"/>
            <w:tcBorders>
              <w:top w:val="single" w:sz="4" w:space="0" w:color="auto"/>
              <w:left w:val="single" w:sz="4" w:space="0" w:color="auto"/>
              <w:bottom w:val="single" w:sz="4" w:space="0" w:color="auto"/>
              <w:right w:val="single" w:sz="4" w:space="0" w:color="auto"/>
            </w:tcBorders>
            <w:hideMark/>
          </w:tcPr>
          <w:p w14:paraId="574B8BB7" w14:textId="71630FC9" w:rsidR="00F150BA" w:rsidRPr="003C2BC2" w:rsidRDefault="00D97045" w:rsidP="004A3104">
            <w:r w:rsidRPr="003C2BC2">
              <w:t>2 x EUR 66 520</w:t>
            </w:r>
          </w:p>
        </w:tc>
      </w:tr>
      <w:tr w:rsidR="00F150BA" w:rsidRPr="003C2BC2" w14:paraId="5E2FFBC4" w14:textId="77777777" w:rsidTr="00650125">
        <w:tc>
          <w:tcPr>
            <w:tcW w:w="1114" w:type="dxa"/>
            <w:vMerge/>
            <w:tcBorders>
              <w:left w:val="single" w:sz="4" w:space="0" w:color="auto"/>
              <w:right w:val="single" w:sz="4" w:space="0" w:color="auto"/>
            </w:tcBorders>
          </w:tcPr>
          <w:p w14:paraId="7A15F50D"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hideMark/>
          </w:tcPr>
          <w:p w14:paraId="3766E278" w14:textId="00618770" w:rsidR="00F150BA" w:rsidRPr="003C2BC2" w:rsidRDefault="00D97045" w:rsidP="004A3104">
            <w:r w:rsidRPr="003C2BC2">
              <w:t xml:space="preserve">2 x </w:t>
            </w:r>
            <w:proofErr w:type="spellStart"/>
            <w:r w:rsidRPr="003C2BC2">
              <w:t>mittlerer</w:t>
            </w:r>
            <w:proofErr w:type="spellEnd"/>
            <w:r w:rsidRPr="003C2BC2">
              <w:t xml:space="preserve"> </w:t>
            </w:r>
            <w:proofErr w:type="spellStart"/>
            <w:r w:rsidRPr="003C2BC2">
              <w:t>Dienst</w:t>
            </w:r>
            <w:proofErr w:type="spellEnd"/>
            <w:r w:rsidRPr="003C2BC2">
              <w:t xml:space="preserve"> post (E 6)</w:t>
            </w:r>
          </w:p>
        </w:tc>
        <w:tc>
          <w:tcPr>
            <w:tcW w:w="3102" w:type="dxa"/>
            <w:tcBorders>
              <w:top w:val="single" w:sz="4" w:space="0" w:color="auto"/>
              <w:left w:val="single" w:sz="4" w:space="0" w:color="auto"/>
              <w:bottom w:val="single" w:sz="4" w:space="0" w:color="auto"/>
              <w:right w:val="single" w:sz="4" w:space="0" w:color="auto"/>
            </w:tcBorders>
            <w:hideMark/>
          </w:tcPr>
          <w:p w14:paraId="010ADB0E" w14:textId="629808D1" w:rsidR="00F150BA" w:rsidRPr="003C2BC2" w:rsidRDefault="0075293B" w:rsidP="004A3104">
            <w:pPr>
              <w:rPr>
                <w:u w:val="single"/>
              </w:rPr>
            </w:pPr>
            <w:r w:rsidRPr="003C2BC2">
              <w:rPr>
                <w:u w:val="single"/>
              </w:rPr>
              <w:t xml:space="preserve">Infrastructure tasks, </w:t>
            </w:r>
            <w:r w:rsidRPr="003C2BC2">
              <w:rPr>
                <w:u w:val="single"/>
              </w:rPr>
              <w:br/>
              <w:t>commission office</w:t>
            </w:r>
          </w:p>
        </w:tc>
        <w:tc>
          <w:tcPr>
            <w:tcW w:w="2283" w:type="dxa"/>
            <w:tcBorders>
              <w:top w:val="single" w:sz="4" w:space="0" w:color="auto"/>
              <w:left w:val="single" w:sz="4" w:space="0" w:color="auto"/>
              <w:bottom w:val="single" w:sz="4" w:space="0" w:color="auto"/>
              <w:right w:val="single" w:sz="4" w:space="0" w:color="auto"/>
            </w:tcBorders>
            <w:hideMark/>
          </w:tcPr>
          <w:p w14:paraId="18826A2D" w14:textId="5952C03E" w:rsidR="00F150BA" w:rsidRPr="003C2BC2" w:rsidRDefault="00D97045" w:rsidP="004A3104">
            <w:r w:rsidRPr="003C2BC2">
              <w:t>2 x EUR 51 692</w:t>
            </w:r>
          </w:p>
        </w:tc>
      </w:tr>
      <w:tr w:rsidR="00F150BA" w:rsidRPr="003C2BC2" w14:paraId="21E92666" w14:textId="77777777" w:rsidTr="00650125">
        <w:tc>
          <w:tcPr>
            <w:tcW w:w="1114" w:type="dxa"/>
            <w:vMerge/>
            <w:tcBorders>
              <w:left w:val="single" w:sz="4" w:space="0" w:color="auto"/>
              <w:right w:val="single" w:sz="4" w:space="0" w:color="auto"/>
            </w:tcBorders>
          </w:tcPr>
          <w:p w14:paraId="71DA751D"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tcPr>
          <w:p w14:paraId="64CBD910" w14:textId="5FB7B51C" w:rsidR="00F150BA" w:rsidRPr="003C2BC2" w:rsidRDefault="00F150BA" w:rsidP="004A3104"/>
        </w:tc>
        <w:tc>
          <w:tcPr>
            <w:tcW w:w="3102" w:type="dxa"/>
            <w:tcBorders>
              <w:top w:val="single" w:sz="4" w:space="0" w:color="auto"/>
              <w:left w:val="single" w:sz="4" w:space="0" w:color="auto"/>
              <w:bottom w:val="single" w:sz="4" w:space="0" w:color="auto"/>
              <w:right w:val="single" w:sz="4" w:space="0" w:color="auto"/>
            </w:tcBorders>
          </w:tcPr>
          <w:p w14:paraId="7B531AA4" w14:textId="77777777" w:rsidR="00F150BA" w:rsidRPr="003C2BC2" w:rsidRDefault="00F150BA" w:rsidP="004A3104"/>
        </w:tc>
        <w:tc>
          <w:tcPr>
            <w:tcW w:w="2283" w:type="dxa"/>
            <w:tcBorders>
              <w:top w:val="single" w:sz="4" w:space="0" w:color="auto"/>
              <w:left w:val="single" w:sz="4" w:space="0" w:color="auto"/>
              <w:bottom w:val="single" w:sz="4" w:space="0" w:color="auto"/>
              <w:right w:val="single" w:sz="4" w:space="0" w:color="auto"/>
            </w:tcBorders>
          </w:tcPr>
          <w:p w14:paraId="3E3211FF" w14:textId="21B2B432" w:rsidR="00F150BA" w:rsidRPr="003C2BC2" w:rsidRDefault="00F150BA" w:rsidP="004A3104"/>
        </w:tc>
      </w:tr>
      <w:tr w:rsidR="00F150BA" w:rsidRPr="003C2BC2" w14:paraId="3352F7C4" w14:textId="77777777" w:rsidTr="00650125">
        <w:tc>
          <w:tcPr>
            <w:tcW w:w="1114" w:type="dxa"/>
            <w:vMerge/>
            <w:tcBorders>
              <w:left w:val="single" w:sz="4" w:space="0" w:color="auto"/>
              <w:bottom w:val="single" w:sz="4" w:space="0" w:color="auto"/>
              <w:right w:val="single" w:sz="4" w:space="0" w:color="auto"/>
            </w:tcBorders>
          </w:tcPr>
          <w:p w14:paraId="0872EAD4" w14:textId="77777777" w:rsidR="00F150BA" w:rsidRPr="003C2BC2" w:rsidRDefault="00F150BA" w:rsidP="004A3104"/>
        </w:tc>
        <w:tc>
          <w:tcPr>
            <w:tcW w:w="2000" w:type="dxa"/>
            <w:tcBorders>
              <w:top w:val="single" w:sz="4" w:space="0" w:color="auto"/>
              <w:left w:val="single" w:sz="4" w:space="0" w:color="auto"/>
              <w:bottom w:val="single" w:sz="4" w:space="0" w:color="auto"/>
              <w:right w:val="single" w:sz="4" w:space="0" w:color="auto"/>
            </w:tcBorders>
          </w:tcPr>
          <w:p w14:paraId="3BA77D57" w14:textId="4AFE87F6" w:rsidR="00F150BA" w:rsidRPr="003C2BC2" w:rsidRDefault="00F150BA" w:rsidP="004A3104"/>
        </w:tc>
        <w:tc>
          <w:tcPr>
            <w:tcW w:w="3102" w:type="dxa"/>
            <w:tcBorders>
              <w:top w:val="single" w:sz="4" w:space="0" w:color="auto"/>
              <w:left w:val="single" w:sz="4" w:space="0" w:color="auto"/>
              <w:bottom w:val="single" w:sz="4" w:space="0" w:color="auto"/>
              <w:right w:val="single" w:sz="4" w:space="0" w:color="auto"/>
            </w:tcBorders>
          </w:tcPr>
          <w:p w14:paraId="23804088" w14:textId="77777777" w:rsidR="00F150BA" w:rsidRPr="003C2BC2" w:rsidRDefault="00F150BA" w:rsidP="004A3104"/>
        </w:tc>
        <w:tc>
          <w:tcPr>
            <w:tcW w:w="2283" w:type="dxa"/>
            <w:tcBorders>
              <w:top w:val="single" w:sz="4" w:space="0" w:color="auto"/>
              <w:left w:val="single" w:sz="4" w:space="0" w:color="auto"/>
              <w:bottom w:val="single" w:sz="4" w:space="0" w:color="auto"/>
              <w:right w:val="single" w:sz="4" w:space="0" w:color="auto"/>
            </w:tcBorders>
            <w:hideMark/>
          </w:tcPr>
          <w:p w14:paraId="0A3877A7" w14:textId="3CBACFA0" w:rsidR="00F150BA" w:rsidRPr="003C2BC2" w:rsidRDefault="00634E89" w:rsidP="00832A05">
            <w:pPr>
              <w:rPr>
                <w:u w:val="single"/>
              </w:rPr>
            </w:pPr>
            <w:r w:rsidRPr="003C2BC2">
              <w:rPr>
                <w:u w:val="single"/>
              </w:rPr>
              <w:t>1 608 784 euro</w:t>
            </w:r>
          </w:p>
        </w:tc>
      </w:tr>
    </w:tbl>
    <w:p w14:paraId="142ED21A" w14:textId="7675C527" w:rsidR="00F150BA" w:rsidRPr="003C2BC2" w:rsidRDefault="00F150BA" w:rsidP="004A3104">
      <w:r w:rsidRPr="003C2BC2">
        <w:t>For the financial year 2024, in addition to posts from the financial year 2023, the following additional posts will be needed:</w:t>
      </w:r>
    </w:p>
    <w:tbl>
      <w:tblPr>
        <w:tblStyle w:val="TableGrid"/>
        <w:tblW w:w="8953" w:type="dxa"/>
        <w:tblLook w:val="04A0" w:firstRow="1" w:lastRow="0" w:firstColumn="1" w:lastColumn="0" w:noHBand="0" w:noVBand="1"/>
      </w:tblPr>
      <w:tblGrid>
        <w:gridCol w:w="1692"/>
        <w:gridCol w:w="1989"/>
        <w:gridCol w:w="3036"/>
        <w:gridCol w:w="2236"/>
      </w:tblGrid>
      <w:tr w:rsidR="00F150BA" w:rsidRPr="003C2BC2" w14:paraId="6C0C389E" w14:textId="77777777" w:rsidTr="00650125">
        <w:tc>
          <w:tcPr>
            <w:tcW w:w="1692" w:type="dxa"/>
            <w:tcBorders>
              <w:top w:val="single" w:sz="4" w:space="0" w:color="auto"/>
              <w:left w:val="single" w:sz="4" w:space="0" w:color="auto"/>
              <w:bottom w:val="single" w:sz="4" w:space="0" w:color="auto"/>
              <w:right w:val="single" w:sz="4" w:space="0" w:color="auto"/>
            </w:tcBorders>
            <w:hideMark/>
          </w:tcPr>
          <w:p w14:paraId="633EE46B" w14:textId="3905F002" w:rsidR="00F150BA" w:rsidRPr="003C2BC2" w:rsidRDefault="00F150BA" w:rsidP="004A3104">
            <w:pPr>
              <w:rPr>
                <w:b/>
              </w:rPr>
            </w:pPr>
            <w:r w:rsidRPr="003C2BC2">
              <w:rPr>
                <w:b/>
              </w:rPr>
              <w:t>Total number of posts</w:t>
            </w:r>
          </w:p>
        </w:tc>
        <w:tc>
          <w:tcPr>
            <w:tcW w:w="1989" w:type="dxa"/>
            <w:tcBorders>
              <w:top w:val="single" w:sz="4" w:space="0" w:color="auto"/>
              <w:left w:val="single" w:sz="4" w:space="0" w:color="auto"/>
              <w:bottom w:val="single" w:sz="4" w:space="0" w:color="auto"/>
              <w:right w:val="single" w:sz="4" w:space="0" w:color="auto"/>
            </w:tcBorders>
            <w:hideMark/>
          </w:tcPr>
          <w:p w14:paraId="7ECDC6D1" w14:textId="77777777" w:rsidR="00F150BA" w:rsidRPr="003C2BC2" w:rsidRDefault="00F150BA" w:rsidP="004A3104">
            <w:pPr>
              <w:rPr>
                <w:b/>
              </w:rPr>
            </w:pPr>
            <w:r w:rsidRPr="003C2BC2">
              <w:rPr>
                <w:b/>
              </w:rPr>
              <w:t>Pay scale</w:t>
            </w:r>
          </w:p>
        </w:tc>
        <w:tc>
          <w:tcPr>
            <w:tcW w:w="3036" w:type="dxa"/>
            <w:tcBorders>
              <w:top w:val="single" w:sz="4" w:space="0" w:color="auto"/>
              <w:left w:val="single" w:sz="4" w:space="0" w:color="auto"/>
              <w:bottom w:val="single" w:sz="4" w:space="0" w:color="auto"/>
              <w:right w:val="single" w:sz="4" w:space="0" w:color="auto"/>
            </w:tcBorders>
            <w:hideMark/>
          </w:tcPr>
          <w:p w14:paraId="375139FC" w14:textId="77777777" w:rsidR="00F150BA" w:rsidRPr="003C2BC2" w:rsidRDefault="00F150BA" w:rsidP="004A3104">
            <w:pPr>
              <w:rPr>
                <w:b/>
              </w:rPr>
            </w:pPr>
            <w:r w:rsidRPr="003C2BC2">
              <w:rPr>
                <w:b/>
              </w:rPr>
              <w:t>Activity</w:t>
            </w:r>
          </w:p>
        </w:tc>
        <w:tc>
          <w:tcPr>
            <w:tcW w:w="2236" w:type="dxa"/>
            <w:tcBorders>
              <w:top w:val="single" w:sz="4" w:space="0" w:color="auto"/>
              <w:left w:val="single" w:sz="4" w:space="0" w:color="auto"/>
              <w:bottom w:val="single" w:sz="4" w:space="0" w:color="auto"/>
              <w:right w:val="single" w:sz="4" w:space="0" w:color="auto"/>
            </w:tcBorders>
            <w:hideMark/>
          </w:tcPr>
          <w:p w14:paraId="422A4E57" w14:textId="77777777" w:rsidR="00F150BA" w:rsidRPr="003C2BC2" w:rsidRDefault="00F150BA" w:rsidP="004A3104">
            <w:pPr>
              <w:rPr>
                <w:b/>
              </w:rPr>
            </w:pPr>
            <w:r w:rsidRPr="003C2BC2">
              <w:rPr>
                <w:b/>
              </w:rPr>
              <w:t>Personnel rate p.a.</w:t>
            </w:r>
          </w:p>
        </w:tc>
      </w:tr>
      <w:tr w:rsidR="00F150BA" w:rsidRPr="003C2BC2" w14:paraId="095C1753" w14:textId="77777777" w:rsidTr="00650125">
        <w:tc>
          <w:tcPr>
            <w:tcW w:w="1692" w:type="dxa"/>
            <w:vMerge w:val="restart"/>
            <w:tcBorders>
              <w:left w:val="single" w:sz="4" w:space="0" w:color="auto"/>
              <w:right w:val="single" w:sz="4" w:space="0" w:color="auto"/>
            </w:tcBorders>
          </w:tcPr>
          <w:p w14:paraId="0E54B0E9" w14:textId="4CB7C5A9" w:rsidR="00634E89" w:rsidRPr="003C2BC2" w:rsidRDefault="00634E89" w:rsidP="004A3104">
            <w:r w:rsidRPr="003C2BC2">
              <w:t>30</w:t>
            </w:r>
          </w:p>
          <w:p w14:paraId="064FF2BB" w14:textId="75B728D8" w:rsidR="00F150BA" w:rsidRPr="003C2BC2" w:rsidRDefault="00634E89" w:rsidP="004A3104">
            <w:r w:rsidRPr="003C2BC2">
              <w:t>(of which 9 new in 2024)</w:t>
            </w:r>
          </w:p>
        </w:tc>
        <w:tc>
          <w:tcPr>
            <w:tcW w:w="1989" w:type="dxa"/>
            <w:tcBorders>
              <w:top w:val="single" w:sz="4" w:space="0" w:color="auto"/>
              <w:left w:val="single" w:sz="4" w:space="0" w:color="auto"/>
              <w:bottom w:val="single" w:sz="4" w:space="0" w:color="auto"/>
              <w:right w:val="single" w:sz="4" w:space="0" w:color="auto"/>
            </w:tcBorders>
            <w:hideMark/>
          </w:tcPr>
          <w:p w14:paraId="441FAAE7" w14:textId="1F196A59" w:rsidR="00F150BA" w:rsidRPr="003C2BC2" w:rsidRDefault="00634E89" w:rsidP="004A3104">
            <w:r w:rsidRPr="003C2BC2">
              <w:t xml:space="preserve">1 x </w:t>
            </w:r>
            <w:proofErr w:type="spellStart"/>
            <w:r w:rsidRPr="003C2BC2">
              <w:t>höherer</w:t>
            </w:r>
            <w:proofErr w:type="spellEnd"/>
            <w:r w:rsidRPr="003C2BC2">
              <w:t xml:space="preserve"> </w:t>
            </w:r>
            <w:proofErr w:type="spellStart"/>
            <w:r w:rsidRPr="003C2BC2">
              <w:t>Dienst</w:t>
            </w:r>
            <w:proofErr w:type="spellEnd"/>
            <w:r w:rsidRPr="003C2BC2">
              <w:t xml:space="preserve"> post (A 13h)</w:t>
            </w:r>
          </w:p>
        </w:tc>
        <w:tc>
          <w:tcPr>
            <w:tcW w:w="3036" w:type="dxa"/>
            <w:tcBorders>
              <w:top w:val="single" w:sz="4" w:space="0" w:color="auto"/>
              <w:left w:val="single" w:sz="4" w:space="0" w:color="auto"/>
              <w:bottom w:val="single" w:sz="4" w:space="0" w:color="auto"/>
              <w:right w:val="single" w:sz="4" w:space="0" w:color="auto"/>
            </w:tcBorders>
            <w:hideMark/>
          </w:tcPr>
          <w:p w14:paraId="0DEC37E3" w14:textId="77777777" w:rsidR="00F150BA" w:rsidRPr="003C2BC2" w:rsidRDefault="00F150BA" w:rsidP="004A3104">
            <w:pPr>
              <w:rPr>
                <w:u w:val="single"/>
              </w:rPr>
            </w:pPr>
            <w:r w:rsidRPr="003C2BC2">
              <w:rPr>
                <w:u w:val="single"/>
              </w:rPr>
              <w:t>Statements of determination:</w:t>
            </w:r>
          </w:p>
          <w:p w14:paraId="3A28BC62" w14:textId="77777777" w:rsidR="00F150BA" w:rsidRPr="003C2BC2" w:rsidRDefault="00F150BA" w:rsidP="004A3104">
            <w:r w:rsidRPr="003C2BC2">
              <w:t>Applications for designation, examination and decisions</w:t>
            </w:r>
          </w:p>
        </w:tc>
        <w:tc>
          <w:tcPr>
            <w:tcW w:w="2236" w:type="dxa"/>
            <w:tcBorders>
              <w:top w:val="single" w:sz="4" w:space="0" w:color="auto"/>
              <w:left w:val="single" w:sz="4" w:space="0" w:color="auto"/>
              <w:bottom w:val="single" w:sz="4" w:space="0" w:color="auto"/>
              <w:right w:val="single" w:sz="4" w:space="0" w:color="auto"/>
            </w:tcBorders>
            <w:hideMark/>
          </w:tcPr>
          <w:p w14:paraId="47CFC8ED" w14:textId="1607CC0C" w:rsidR="00F150BA" w:rsidRPr="003C2BC2" w:rsidRDefault="00F150BA" w:rsidP="004A3104">
            <w:r w:rsidRPr="003C2BC2">
              <w:t>1 x EUR 93 528</w:t>
            </w:r>
          </w:p>
        </w:tc>
      </w:tr>
      <w:tr w:rsidR="00F150BA" w:rsidRPr="003C2BC2" w14:paraId="201355A2" w14:textId="77777777" w:rsidTr="00650125">
        <w:tc>
          <w:tcPr>
            <w:tcW w:w="1692" w:type="dxa"/>
            <w:vMerge/>
            <w:tcBorders>
              <w:left w:val="single" w:sz="4" w:space="0" w:color="auto"/>
              <w:right w:val="single" w:sz="4" w:space="0" w:color="auto"/>
            </w:tcBorders>
          </w:tcPr>
          <w:p w14:paraId="329BFA40" w14:textId="77777777" w:rsidR="00F150BA" w:rsidRPr="003C2BC2" w:rsidRDefault="00F150BA" w:rsidP="004A3104"/>
        </w:tc>
        <w:tc>
          <w:tcPr>
            <w:tcW w:w="1989" w:type="dxa"/>
            <w:tcBorders>
              <w:top w:val="single" w:sz="4" w:space="0" w:color="auto"/>
              <w:left w:val="single" w:sz="4" w:space="0" w:color="auto"/>
              <w:bottom w:val="single" w:sz="4" w:space="0" w:color="auto"/>
              <w:right w:val="single" w:sz="4" w:space="0" w:color="auto"/>
            </w:tcBorders>
          </w:tcPr>
          <w:p w14:paraId="24DC324F" w14:textId="77777777" w:rsidR="00F150BA" w:rsidRPr="003C2BC2" w:rsidRDefault="00F150BA" w:rsidP="004A3104"/>
        </w:tc>
        <w:tc>
          <w:tcPr>
            <w:tcW w:w="3036" w:type="dxa"/>
            <w:tcBorders>
              <w:top w:val="single" w:sz="4" w:space="0" w:color="auto"/>
              <w:left w:val="single" w:sz="4" w:space="0" w:color="auto"/>
              <w:bottom w:val="single" w:sz="4" w:space="0" w:color="auto"/>
              <w:right w:val="single" w:sz="4" w:space="0" w:color="auto"/>
            </w:tcBorders>
          </w:tcPr>
          <w:p w14:paraId="2E82B7FF" w14:textId="77777777" w:rsidR="00F150BA" w:rsidRPr="003C2BC2" w:rsidRDefault="00F150BA" w:rsidP="004A3104"/>
        </w:tc>
        <w:tc>
          <w:tcPr>
            <w:tcW w:w="2236" w:type="dxa"/>
            <w:tcBorders>
              <w:top w:val="single" w:sz="4" w:space="0" w:color="auto"/>
              <w:left w:val="single" w:sz="4" w:space="0" w:color="auto"/>
              <w:bottom w:val="single" w:sz="4" w:space="0" w:color="auto"/>
              <w:right w:val="single" w:sz="4" w:space="0" w:color="auto"/>
            </w:tcBorders>
          </w:tcPr>
          <w:p w14:paraId="67D98D6C" w14:textId="77777777" w:rsidR="00F150BA" w:rsidRPr="003C2BC2" w:rsidRDefault="00F150BA" w:rsidP="004A3104"/>
        </w:tc>
      </w:tr>
      <w:tr w:rsidR="00F150BA" w:rsidRPr="003C2BC2" w14:paraId="676AD46A" w14:textId="77777777" w:rsidTr="00650125">
        <w:tc>
          <w:tcPr>
            <w:tcW w:w="1692" w:type="dxa"/>
            <w:vMerge/>
            <w:tcBorders>
              <w:left w:val="single" w:sz="4" w:space="0" w:color="auto"/>
              <w:right w:val="single" w:sz="4" w:space="0" w:color="auto"/>
            </w:tcBorders>
          </w:tcPr>
          <w:p w14:paraId="20C8E2D3" w14:textId="77777777" w:rsidR="00F150BA" w:rsidRPr="003C2BC2" w:rsidRDefault="00F150BA" w:rsidP="004A3104"/>
        </w:tc>
        <w:tc>
          <w:tcPr>
            <w:tcW w:w="1989" w:type="dxa"/>
            <w:tcBorders>
              <w:top w:val="single" w:sz="4" w:space="0" w:color="auto"/>
              <w:left w:val="single" w:sz="4" w:space="0" w:color="auto"/>
              <w:bottom w:val="single" w:sz="4" w:space="0" w:color="auto"/>
              <w:right w:val="single" w:sz="4" w:space="0" w:color="auto"/>
            </w:tcBorders>
            <w:hideMark/>
          </w:tcPr>
          <w:p w14:paraId="55B26A41" w14:textId="77777777" w:rsidR="00F150BA" w:rsidRPr="003C2BC2" w:rsidRDefault="00F150BA" w:rsidP="004A3104">
            <w:r w:rsidRPr="003C2BC2">
              <w:t xml:space="preserve">1 x </w:t>
            </w:r>
            <w:proofErr w:type="spellStart"/>
            <w:r w:rsidRPr="003C2BC2">
              <w:t>höherer</w:t>
            </w:r>
            <w:proofErr w:type="spellEnd"/>
            <w:r w:rsidRPr="003C2BC2">
              <w:t xml:space="preserve"> </w:t>
            </w:r>
            <w:proofErr w:type="spellStart"/>
            <w:r w:rsidRPr="003C2BC2">
              <w:t>Dienst</w:t>
            </w:r>
            <w:proofErr w:type="spellEnd"/>
            <w:r w:rsidRPr="003C2BC2">
              <w:t xml:space="preserve"> post (A 15)</w:t>
            </w:r>
          </w:p>
        </w:tc>
        <w:tc>
          <w:tcPr>
            <w:tcW w:w="3036" w:type="dxa"/>
            <w:tcBorders>
              <w:top w:val="single" w:sz="4" w:space="0" w:color="auto"/>
              <w:left w:val="single" w:sz="4" w:space="0" w:color="auto"/>
              <w:bottom w:val="single" w:sz="4" w:space="0" w:color="auto"/>
              <w:right w:val="single" w:sz="4" w:space="0" w:color="auto"/>
            </w:tcBorders>
            <w:hideMark/>
          </w:tcPr>
          <w:p w14:paraId="38A322E5" w14:textId="77777777" w:rsidR="00F150BA" w:rsidRPr="003C2BC2" w:rsidRDefault="00F150BA" w:rsidP="004A3104">
            <w:pPr>
              <w:rPr>
                <w:u w:val="single"/>
              </w:rPr>
            </w:pPr>
            <w:r w:rsidRPr="003C2BC2">
              <w:rPr>
                <w:u w:val="single"/>
              </w:rPr>
              <w:t>Regulatory offences:</w:t>
            </w:r>
          </w:p>
          <w:p w14:paraId="657E7884" w14:textId="77777777" w:rsidR="00F150BA" w:rsidRPr="003C2BC2" w:rsidRDefault="00F150BA" w:rsidP="004A3104">
            <w:r w:rsidRPr="003C2BC2">
              <w:t>Head of the work unit</w:t>
            </w:r>
          </w:p>
        </w:tc>
        <w:tc>
          <w:tcPr>
            <w:tcW w:w="2236" w:type="dxa"/>
            <w:tcBorders>
              <w:top w:val="single" w:sz="4" w:space="0" w:color="auto"/>
              <w:left w:val="single" w:sz="4" w:space="0" w:color="auto"/>
              <w:bottom w:val="single" w:sz="4" w:space="0" w:color="auto"/>
              <w:right w:val="single" w:sz="4" w:space="0" w:color="auto"/>
            </w:tcBorders>
            <w:hideMark/>
          </w:tcPr>
          <w:p w14:paraId="3FE24B2D" w14:textId="442B9517" w:rsidR="00F150BA" w:rsidRPr="003C2BC2" w:rsidRDefault="00F150BA" w:rsidP="004A3104">
            <w:r w:rsidRPr="003C2BC2">
              <w:t>1 x EUR 122 217</w:t>
            </w:r>
          </w:p>
        </w:tc>
      </w:tr>
      <w:tr w:rsidR="00F150BA" w:rsidRPr="003C2BC2" w14:paraId="44528FFB" w14:textId="77777777" w:rsidTr="00650125">
        <w:tc>
          <w:tcPr>
            <w:tcW w:w="1692" w:type="dxa"/>
            <w:vMerge/>
            <w:tcBorders>
              <w:left w:val="single" w:sz="4" w:space="0" w:color="auto"/>
              <w:right w:val="single" w:sz="4" w:space="0" w:color="auto"/>
            </w:tcBorders>
          </w:tcPr>
          <w:p w14:paraId="0863C2E6" w14:textId="77777777" w:rsidR="00F150BA" w:rsidRPr="003C2BC2" w:rsidRDefault="00F150BA" w:rsidP="004A3104"/>
        </w:tc>
        <w:tc>
          <w:tcPr>
            <w:tcW w:w="1989" w:type="dxa"/>
            <w:tcBorders>
              <w:top w:val="single" w:sz="4" w:space="0" w:color="auto"/>
              <w:left w:val="single" w:sz="4" w:space="0" w:color="auto"/>
              <w:bottom w:val="single" w:sz="4" w:space="0" w:color="auto"/>
              <w:right w:val="single" w:sz="4" w:space="0" w:color="auto"/>
            </w:tcBorders>
            <w:hideMark/>
          </w:tcPr>
          <w:p w14:paraId="7638A39B" w14:textId="4DDC4307" w:rsidR="00F150BA" w:rsidRPr="003C2BC2" w:rsidRDefault="00F150BA" w:rsidP="004A3104">
            <w:r w:rsidRPr="003C2BC2">
              <w:t xml:space="preserve">1 x </w:t>
            </w:r>
            <w:proofErr w:type="spellStart"/>
            <w:r w:rsidRPr="003C2BC2">
              <w:t>höherer</w:t>
            </w:r>
            <w:proofErr w:type="spellEnd"/>
            <w:r w:rsidRPr="003C2BC2">
              <w:t xml:space="preserve"> </w:t>
            </w:r>
            <w:proofErr w:type="spellStart"/>
            <w:r w:rsidRPr="003C2BC2">
              <w:t>Dienst</w:t>
            </w:r>
            <w:proofErr w:type="spellEnd"/>
            <w:r w:rsidRPr="003C2BC2">
              <w:t xml:space="preserve"> post (A 13h)</w:t>
            </w:r>
          </w:p>
        </w:tc>
        <w:tc>
          <w:tcPr>
            <w:tcW w:w="3036" w:type="dxa"/>
            <w:tcBorders>
              <w:top w:val="single" w:sz="4" w:space="0" w:color="auto"/>
              <w:left w:val="single" w:sz="4" w:space="0" w:color="auto"/>
              <w:bottom w:val="single" w:sz="4" w:space="0" w:color="auto"/>
              <w:right w:val="single" w:sz="4" w:space="0" w:color="auto"/>
            </w:tcBorders>
            <w:hideMark/>
          </w:tcPr>
          <w:p w14:paraId="75E95808" w14:textId="77777777" w:rsidR="00F150BA" w:rsidRPr="003C2BC2" w:rsidRDefault="00F150BA" w:rsidP="004A3104">
            <w:pPr>
              <w:rPr>
                <w:u w:val="single"/>
              </w:rPr>
            </w:pPr>
            <w:r w:rsidRPr="003C2BC2">
              <w:rPr>
                <w:u w:val="single"/>
              </w:rPr>
              <w:t>Regulatory offences:</w:t>
            </w:r>
          </w:p>
          <w:p w14:paraId="13E32C4F" w14:textId="3CCD7D13" w:rsidR="00F150BA" w:rsidRPr="003C2BC2" w:rsidRDefault="00F150BA" w:rsidP="004A3104">
            <w:r w:rsidRPr="003C2BC2">
              <w:t>Lawyer for pursuing regulatory offences</w:t>
            </w:r>
          </w:p>
        </w:tc>
        <w:tc>
          <w:tcPr>
            <w:tcW w:w="2236" w:type="dxa"/>
            <w:tcBorders>
              <w:top w:val="single" w:sz="4" w:space="0" w:color="auto"/>
              <w:left w:val="single" w:sz="4" w:space="0" w:color="auto"/>
              <w:bottom w:val="single" w:sz="4" w:space="0" w:color="auto"/>
              <w:right w:val="single" w:sz="4" w:space="0" w:color="auto"/>
            </w:tcBorders>
            <w:hideMark/>
          </w:tcPr>
          <w:p w14:paraId="0D27A0DA" w14:textId="57037E0D" w:rsidR="00F150BA" w:rsidRPr="003C2BC2" w:rsidRDefault="00F150BA" w:rsidP="004A3104">
            <w:r w:rsidRPr="003C2BC2">
              <w:t>1 x EUR 93 528</w:t>
            </w:r>
          </w:p>
        </w:tc>
      </w:tr>
      <w:tr w:rsidR="00F944DB" w:rsidRPr="003C2BC2" w14:paraId="0B887B38" w14:textId="77777777" w:rsidTr="00650125">
        <w:tc>
          <w:tcPr>
            <w:tcW w:w="1692" w:type="dxa"/>
            <w:tcBorders>
              <w:left w:val="single" w:sz="4" w:space="0" w:color="auto"/>
              <w:right w:val="single" w:sz="4" w:space="0" w:color="auto"/>
            </w:tcBorders>
          </w:tcPr>
          <w:p w14:paraId="086FF7EB" w14:textId="77777777" w:rsidR="00F944DB" w:rsidRPr="003C2BC2" w:rsidRDefault="00F944DB" w:rsidP="004A3104"/>
        </w:tc>
        <w:tc>
          <w:tcPr>
            <w:tcW w:w="1989" w:type="dxa"/>
            <w:tcBorders>
              <w:top w:val="single" w:sz="4" w:space="0" w:color="auto"/>
              <w:left w:val="single" w:sz="4" w:space="0" w:color="auto"/>
              <w:bottom w:val="single" w:sz="4" w:space="0" w:color="auto"/>
              <w:right w:val="single" w:sz="4" w:space="0" w:color="auto"/>
            </w:tcBorders>
          </w:tcPr>
          <w:p w14:paraId="4A86B582" w14:textId="3BEEA7F2" w:rsidR="00F944DB" w:rsidRPr="003C2BC2" w:rsidRDefault="00F944DB" w:rsidP="004A3104">
            <w:r w:rsidRPr="003C2BC2">
              <w:t xml:space="preserve">3 x </w:t>
            </w:r>
            <w:proofErr w:type="spellStart"/>
            <w:r w:rsidRPr="003C2BC2">
              <w:t>gehobener</w:t>
            </w:r>
            <w:proofErr w:type="spellEnd"/>
            <w:r w:rsidRPr="003C2BC2">
              <w:t xml:space="preserve"> </w:t>
            </w:r>
            <w:proofErr w:type="spellStart"/>
            <w:r w:rsidRPr="003C2BC2">
              <w:t>Dienst</w:t>
            </w:r>
            <w:proofErr w:type="spellEnd"/>
            <w:r w:rsidRPr="003C2BC2">
              <w:t xml:space="preserve"> post (A 10)</w:t>
            </w:r>
          </w:p>
        </w:tc>
        <w:tc>
          <w:tcPr>
            <w:tcW w:w="3036" w:type="dxa"/>
            <w:tcBorders>
              <w:top w:val="single" w:sz="4" w:space="0" w:color="auto"/>
              <w:left w:val="single" w:sz="4" w:space="0" w:color="auto"/>
              <w:bottom w:val="single" w:sz="4" w:space="0" w:color="auto"/>
              <w:right w:val="single" w:sz="4" w:space="0" w:color="auto"/>
            </w:tcBorders>
          </w:tcPr>
          <w:p w14:paraId="4EB9697F" w14:textId="77777777" w:rsidR="00F944DB" w:rsidRPr="003C2BC2" w:rsidRDefault="00F944DB" w:rsidP="004A3104">
            <w:pPr>
              <w:rPr>
                <w:u w:val="single"/>
              </w:rPr>
            </w:pPr>
            <w:r w:rsidRPr="003C2BC2">
              <w:rPr>
                <w:u w:val="single"/>
              </w:rPr>
              <w:t>Regulatory offences:</w:t>
            </w:r>
          </w:p>
          <w:p w14:paraId="2CEE0C7A" w14:textId="488D7ABE" w:rsidR="00F944DB" w:rsidRPr="003C2BC2" w:rsidRDefault="00F944DB" w:rsidP="004A3104">
            <w:r w:rsidRPr="003C2BC2">
              <w:t>Enforcement of regulatory offences</w:t>
            </w:r>
          </w:p>
        </w:tc>
        <w:tc>
          <w:tcPr>
            <w:tcW w:w="2236" w:type="dxa"/>
            <w:tcBorders>
              <w:top w:val="single" w:sz="4" w:space="0" w:color="auto"/>
              <w:left w:val="single" w:sz="4" w:space="0" w:color="auto"/>
              <w:bottom w:val="single" w:sz="4" w:space="0" w:color="auto"/>
              <w:right w:val="single" w:sz="4" w:space="0" w:color="auto"/>
            </w:tcBorders>
          </w:tcPr>
          <w:p w14:paraId="43616C67" w14:textId="0E40F607" w:rsidR="00F944DB" w:rsidRPr="003C2BC2" w:rsidRDefault="00F944DB" w:rsidP="00F944DB">
            <w:r w:rsidRPr="003C2BC2">
              <w:t>3 x EUR 69 735</w:t>
            </w:r>
          </w:p>
        </w:tc>
      </w:tr>
      <w:tr w:rsidR="00F150BA" w:rsidRPr="003C2BC2" w14:paraId="4DE28AB9" w14:textId="77777777" w:rsidTr="00650125">
        <w:tc>
          <w:tcPr>
            <w:tcW w:w="1692" w:type="dxa"/>
            <w:tcBorders>
              <w:left w:val="single" w:sz="4" w:space="0" w:color="auto"/>
              <w:right w:val="single" w:sz="4" w:space="0" w:color="auto"/>
            </w:tcBorders>
          </w:tcPr>
          <w:p w14:paraId="2E6A6049" w14:textId="77777777" w:rsidR="00F150BA" w:rsidRPr="003C2BC2" w:rsidRDefault="00F150BA" w:rsidP="004A3104"/>
        </w:tc>
        <w:tc>
          <w:tcPr>
            <w:tcW w:w="1989" w:type="dxa"/>
            <w:tcBorders>
              <w:top w:val="single" w:sz="4" w:space="0" w:color="auto"/>
              <w:left w:val="single" w:sz="4" w:space="0" w:color="auto"/>
              <w:bottom w:val="single" w:sz="4" w:space="0" w:color="auto"/>
              <w:right w:val="single" w:sz="4" w:space="0" w:color="auto"/>
            </w:tcBorders>
            <w:hideMark/>
          </w:tcPr>
          <w:p w14:paraId="41FC8AAA" w14:textId="3C07ABBD" w:rsidR="00F150BA" w:rsidRPr="003C2BC2" w:rsidRDefault="00F944DB" w:rsidP="004A3104">
            <w:r w:rsidRPr="003C2BC2">
              <w:t xml:space="preserve">3 x </w:t>
            </w:r>
            <w:proofErr w:type="spellStart"/>
            <w:r w:rsidRPr="003C2BC2">
              <w:t>mittlerer</w:t>
            </w:r>
            <w:proofErr w:type="spellEnd"/>
            <w:r w:rsidRPr="003C2BC2">
              <w:t xml:space="preserve"> </w:t>
            </w:r>
            <w:proofErr w:type="spellStart"/>
            <w:r w:rsidRPr="003C2BC2">
              <w:t>Dienst</w:t>
            </w:r>
            <w:proofErr w:type="spellEnd"/>
            <w:r w:rsidRPr="003C2BC2">
              <w:t xml:space="preserve"> post (A 7)</w:t>
            </w:r>
          </w:p>
        </w:tc>
        <w:tc>
          <w:tcPr>
            <w:tcW w:w="3036" w:type="dxa"/>
            <w:tcBorders>
              <w:top w:val="single" w:sz="4" w:space="0" w:color="auto"/>
              <w:left w:val="single" w:sz="4" w:space="0" w:color="auto"/>
              <w:bottom w:val="single" w:sz="4" w:space="0" w:color="auto"/>
              <w:right w:val="single" w:sz="4" w:space="0" w:color="auto"/>
            </w:tcBorders>
            <w:hideMark/>
          </w:tcPr>
          <w:p w14:paraId="106073CD" w14:textId="77777777" w:rsidR="00F150BA" w:rsidRPr="003C2BC2" w:rsidRDefault="00F150BA" w:rsidP="004A3104">
            <w:pPr>
              <w:rPr>
                <w:u w:val="single"/>
              </w:rPr>
            </w:pPr>
            <w:r w:rsidRPr="003C2BC2">
              <w:rPr>
                <w:u w:val="single"/>
              </w:rPr>
              <w:t>Regulatory offences:</w:t>
            </w:r>
          </w:p>
          <w:p w14:paraId="5F47435B" w14:textId="77777777" w:rsidR="00F150BA" w:rsidRPr="003C2BC2" w:rsidRDefault="00F150BA" w:rsidP="004A3104">
            <w:r w:rsidRPr="003C2BC2">
              <w:t>Organisational support, subsequently research, safeguarding of evidence</w:t>
            </w:r>
          </w:p>
        </w:tc>
        <w:tc>
          <w:tcPr>
            <w:tcW w:w="2236" w:type="dxa"/>
            <w:tcBorders>
              <w:top w:val="single" w:sz="4" w:space="0" w:color="auto"/>
              <w:left w:val="single" w:sz="4" w:space="0" w:color="auto"/>
              <w:bottom w:val="single" w:sz="4" w:space="0" w:color="auto"/>
              <w:right w:val="single" w:sz="4" w:space="0" w:color="auto"/>
            </w:tcBorders>
            <w:hideMark/>
          </w:tcPr>
          <w:p w14:paraId="4BEFE9A0" w14:textId="74D5EB32" w:rsidR="00F150BA" w:rsidRPr="003C2BC2" w:rsidRDefault="00F944DB" w:rsidP="004A3104">
            <w:r w:rsidRPr="003C2BC2">
              <w:t>3 x EUR 49 234</w:t>
            </w:r>
          </w:p>
        </w:tc>
      </w:tr>
      <w:tr w:rsidR="00F150BA" w:rsidRPr="003C2BC2" w14:paraId="3E694680" w14:textId="77777777" w:rsidTr="00650125">
        <w:tc>
          <w:tcPr>
            <w:tcW w:w="1692" w:type="dxa"/>
            <w:tcBorders>
              <w:left w:val="single" w:sz="4" w:space="0" w:color="auto"/>
              <w:right w:val="single" w:sz="4" w:space="0" w:color="auto"/>
            </w:tcBorders>
          </w:tcPr>
          <w:p w14:paraId="06F0AEC2" w14:textId="77777777" w:rsidR="00F150BA" w:rsidRPr="003C2BC2" w:rsidRDefault="00F150BA" w:rsidP="004A3104"/>
        </w:tc>
        <w:tc>
          <w:tcPr>
            <w:tcW w:w="1989" w:type="dxa"/>
            <w:tcBorders>
              <w:top w:val="single" w:sz="4" w:space="0" w:color="auto"/>
              <w:left w:val="single" w:sz="4" w:space="0" w:color="auto"/>
              <w:bottom w:val="single" w:sz="4" w:space="0" w:color="auto"/>
              <w:right w:val="single" w:sz="4" w:space="0" w:color="auto"/>
            </w:tcBorders>
          </w:tcPr>
          <w:p w14:paraId="5A6CE9E5" w14:textId="77777777" w:rsidR="00F150BA" w:rsidRPr="003C2BC2" w:rsidRDefault="00F150BA" w:rsidP="004A3104"/>
        </w:tc>
        <w:tc>
          <w:tcPr>
            <w:tcW w:w="3036" w:type="dxa"/>
            <w:tcBorders>
              <w:top w:val="single" w:sz="4" w:space="0" w:color="auto"/>
              <w:left w:val="single" w:sz="4" w:space="0" w:color="auto"/>
              <w:bottom w:val="single" w:sz="4" w:space="0" w:color="auto"/>
              <w:right w:val="single" w:sz="4" w:space="0" w:color="auto"/>
            </w:tcBorders>
          </w:tcPr>
          <w:p w14:paraId="1F55D07B" w14:textId="77777777" w:rsidR="00F150BA" w:rsidRPr="003C2BC2" w:rsidRDefault="00F150BA" w:rsidP="004A3104"/>
        </w:tc>
        <w:tc>
          <w:tcPr>
            <w:tcW w:w="2236" w:type="dxa"/>
            <w:tcBorders>
              <w:top w:val="single" w:sz="4" w:space="0" w:color="auto"/>
              <w:left w:val="single" w:sz="4" w:space="0" w:color="auto"/>
              <w:bottom w:val="single" w:sz="4" w:space="0" w:color="auto"/>
              <w:right w:val="single" w:sz="4" w:space="0" w:color="auto"/>
            </w:tcBorders>
          </w:tcPr>
          <w:p w14:paraId="3A2BD3CE" w14:textId="77777777" w:rsidR="00F150BA" w:rsidRPr="003C2BC2" w:rsidRDefault="00F150BA" w:rsidP="004A3104"/>
        </w:tc>
      </w:tr>
      <w:tr w:rsidR="00F150BA" w:rsidRPr="003C2BC2" w14:paraId="219FC9D8" w14:textId="77777777" w:rsidTr="00650125">
        <w:tc>
          <w:tcPr>
            <w:tcW w:w="1692" w:type="dxa"/>
            <w:tcBorders>
              <w:left w:val="single" w:sz="4" w:space="0" w:color="auto"/>
              <w:bottom w:val="single" w:sz="4" w:space="0" w:color="auto"/>
              <w:right w:val="single" w:sz="4" w:space="0" w:color="auto"/>
            </w:tcBorders>
          </w:tcPr>
          <w:p w14:paraId="6A8F7BDD" w14:textId="77777777" w:rsidR="00F150BA" w:rsidRPr="003C2BC2" w:rsidRDefault="00F150BA" w:rsidP="004A3104"/>
        </w:tc>
        <w:tc>
          <w:tcPr>
            <w:tcW w:w="1989" w:type="dxa"/>
            <w:tcBorders>
              <w:top w:val="single" w:sz="4" w:space="0" w:color="auto"/>
              <w:left w:val="single" w:sz="4" w:space="0" w:color="auto"/>
              <w:bottom w:val="single" w:sz="4" w:space="0" w:color="auto"/>
              <w:right w:val="single" w:sz="4" w:space="0" w:color="auto"/>
            </w:tcBorders>
          </w:tcPr>
          <w:p w14:paraId="1D8FC2B3" w14:textId="77777777" w:rsidR="00F150BA" w:rsidRPr="003C2BC2" w:rsidRDefault="00F150BA" w:rsidP="004A3104"/>
        </w:tc>
        <w:tc>
          <w:tcPr>
            <w:tcW w:w="3036" w:type="dxa"/>
            <w:tcBorders>
              <w:top w:val="single" w:sz="4" w:space="0" w:color="auto"/>
              <w:left w:val="single" w:sz="4" w:space="0" w:color="auto"/>
              <w:bottom w:val="single" w:sz="4" w:space="0" w:color="auto"/>
              <w:right w:val="single" w:sz="4" w:space="0" w:color="auto"/>
            </w:tcBorders>
          </w:tcPr>
          <w:p w14:paraId="2F2D18B5" w14:textId="77777777" w:rsidR="00F150BA" w:rsidRPr="003C2BC2" w:rsidRDefault="00F150BA" w:rsidP="004A3104"/>
        </w:tc>
        <w:tc>
          <w:tcPr>
            <w:tcW w:w="2236" w:type="dxa"/>
            <w:tcBorders>
              <w:top w:val="single" w:sz="4" w:space="0" w:color="auto"/>
              <w:left w:val="single" w:sz="4" w:space="0" w:color="auto"/>
              <w:bottom w:val="single" w:sz="4" w:space="0" w:color="auto"/>
              <w:right w:val="single" w:sz="4" w:space="0" w:color="auto"/>
            </w:tcBorders>
            <w:hideMark/>
          </w:tcPr>
          <w:p w14:paraId="70199CC3" w14:textId="7B95923D" w:rsidR="00F150BA" w:rsidRPr="003C2BC2" w:rsidRDefault="00CD0F1A" w:rsidP="00832A05">
            <w:pPr>
              <w:rPr>
                <w:u w:val="single"/>
              </w:rPr>
            </w:pPr>
            <w:r w:rsidRPr="003C2BC2">
              <w:rPr>
                <w:u w:val="single"/>
              </w:rPr>
              <w:t>666 180 euro</w:t>
            </w:r>
          </w:p>
        </w:tc>
      </w:tr>
    </w:tbl>
    <w:p w14:paraId="4D78D54E" w14:textId="77777777" w:rsidR="00F150BA" w:rsidRPr="003C2BC2" w:rsidRDefault="00F150BA" w:rsidP="00650125">
      <w:pPr>
        <w:keepNext/>
        <w:spacing w:after="0"/>
        <w:rPr>
          <w:u w:val="single"/>
        </w:rPr>
      </w:pPr>
      <w:r w:rsidRPr="003C2BC2">
        <w:rPr>
          <w:u w:val="single"/>
        </w:rPr>
        <w:lastRenderedPageBreak/>
        <w:t>Recovery of expenditure:</w:t>
      </w:r>
    </w:p>
    <w:p w14:paraId="2F9BFC7C" w14:textId="06EC34C6" w:rsidR="00F150BA" w:rsidRPr="003C2BC2" w:rsidRDefault="00F150BA" w:rsidP="004A3104">
      <w:r w:rsidRPr="003C2BC2">
        <w:t>As shown in the tables, the budgetary costs are allocated to the following five activities or tasks: funds, statements of determination, objections, regulatory offences and infrastructure tasks. The following mechanisms for recovering these costs are envisaged:</w:t>
      </w:r>
    </w:p>
    <w:p w14:paraId="0E31F126" w14:textId="1548666B" w:rsidR="00F150BA" w:rsidRPr="003C2BC2" w:rsidRDefault="00F150BA" w:rsidP="004A3104">
      <w:pPr>
        <w:pStyle w:val="ListParagraph"/>
        <w:numPr>
          <w:ilvl w:val="0"/>
          <w:numId w:val="6"/>
        </w:numPr>
        <w:contextualSpacing w:val="0"/>
        <w:jc w:val="left"/>
      </w:pPr>
      <w:r w:rsidRPr="003C2BC2">
        <w:t>Fund and infrastructure tasks:</w:t>
      </w:r>
    </w:p>
    <w:p w14:paraId="2CFCF8F3" w14:textId="2E4E83FE" w:rsidR="00F150BA" w:rsidRPr="003C2BC2" w:rsidRDefault="00F150BA" w:rsidP="004A3104">
      <w:pPr>
        <w:pStyle w:val="ListParagraph"/>
        <w:contextualSpacing w:val="0"/>
      </w:pPr>
      <w:r w:rsidRPr="003C2BC2">
        <w:t xml:space="preserve">‘Fund’ and ‘Infrastructure tasks’ costs will be recovered from revenue to the single-use plastics fund and thus covered by the producers of the single-use plastic products concerned. For this purpose, the concept of administration costs is being introduced (see Article 1 Section 3 subparagraph 13 of this Act). It is being stipulated that these costs are to be covered by revenue to the fund unless other funding mechanisms are provided (see Article 1 Section 5(1) of this Act). </w:t>
      </w:r>
    </w:p>
    <w:p w14:paraId="7FE75A51" w14:textId="411B9605" w:rsidR="00F150BA" w:rsidRPr="003C2BC2" w:rsidRDefault="00F150BA" w:rsidP="004A3104">
      <w:pPr>
        <w:pStyle w:val="ListParagraph"/>
        <w:numPr>
          <w:ilvl w:val="0"/>
          <w:numId w:val="6"/>
        </w:numPr>
        <w:contextualSpacing w:val="0"/>
        <w:jc w:val="left"/>
      </w:pPr>
      <w:r w:rsidRPr="003C2BC2">
        <w:t>Statements of determination and objections:</w:t>
      </w:r>
    </w:p>
    <w:p w14:paraId="6980BFAC" w14:textId="7BD775A1" w:rsidR="00F150BA" w:rsidRPr="003C2BC2" w:rsidRDefault="00F150BA" w:rsidP="004A3104">
      <w:pPr>
        <w:pStyle w:val="ListParagraph"/>
        <w:contextualSpacing w:val="0"/>
      </w:pPr>
      <w:r w:rsidRPr="003C2BC2">
        <w:t>‘Statements of determination’ and ‘Objections’ costs will be recovered from the respective fees. To this end, the Special Fees Ordinance of the Federal Ministry for the Environment, Nature Conservation, Nuclear Safety and Consumer Protection for Individually Attributable Public Services in its Area of Competence (</w:t>
      </w:r>
      <w:proofErr w:type="spellStart"/>
      <w:r w:rsidRPr="003C2BC2">
        <w:t>BMUBGebV</w:t>
      </w:r>
      <w:proofErr w:type="spellEnd"/>
      <w:r w:rsidRPr="003C2BC2">
        <w:t>) is to be amended and corresponding fees are to be created.</w:t>
      </w:r>
    </w:p>
    <w:p w14:paraId="0B461935" w14:textId="42359EE1" w:rsidR="00F150BA" w:rsidRPr="003C2BC2" w:rsidRDefault="00F150BA" w:rsidP="004A3104">
      <w:pPr>
        <w:pStyle w:val="ListParagraph"/>
        <w:numPr>
          <w:ilvl w:val="0"/>
          <w:numId w:val="6"/>
        </w:numPr>
        <w:contextualSpacing w:val="0"/>
        <w:jc w:val="left"/>
      </w:pPr>
      <w:r w:rsidRPr="003C2BC2">
        <w:t>Regulatory offences:</w:t>
      </w:r>
    </w:p>
    <w:p w14:paraId="1B41B310" w14:textId="77777777" w:rsidR="00F150BA" w:rsidRPr="003C2BC2" w:rsidRDefault="00F150BA" w:rsidP="004A3104">
      <w:pPr>
        <w:pStyle w:val="ListParagraph"/>
        <w:contextualSpacing w:val="0"/>
      </w:pPr>
      <w:r w:rsidRPr="003C2BC2">
        <w:t>The costs related to the prosecution of regulatory offences (see Article 1 Section 25(1) to (3) are to be recovered from the corresponding fine revenue. This is ensured by the provision in Article 1 Section 25(4).</w:t>
      </w:r>
    </w:p>
    <w:p w14:paraId="25989F6E" w14:textId="3460B8F1" w:rsidR="00F150BA" w:rsidRPr="003C2BC2" w:rsidRDefault="00031305" w:rsidP="004A3104">
      <w:r w:rsidRPr="003C2BC2">
        <w:t>As administration costs within the meaning of Section 3(15), non-personnel material costs incurred by the Federal Environment Agency will be recovered in full from revenue to the fund. No budgetary expenditure exclusive of compliance costs will be incurred by the Länder and municipalities.</w:t>
      </w:r>
    </w:p>
    <w:p w14:paraId="21AC4D87" w14:textId="0C773969" w:rsidR="00611481" w:rsidRPr="003C2BC2" w:rsidRDefault="00611481" w:rsidP="004A3104">
      <w:pPr>
        <w:pStyle w:val="berschriftarabischBegrndung"/>
      </w:pPr>
      <w:r w:rsidRPr="003C2BC2">
        <w:t>Compliance costs</w:t>
      </w:r>
    </w:p>
    <w:p w14:paraId="6A26F89A" w14:textId="77777777" w:rsidR="00D444AA" w:rsidRPr="003C2BC2" w:rsidRDefault="00D444AA" w:rsidP="004A3104">
      <w:pPr>
        <w:pStyle w:val="Text"/>
        <w:rPr>
          <w:b/>
        </w:rPr>
      </w:pPr>
      <w:r w:rsidRPr="003C2BC2">
        <w:rPr>
          <w:b/>
        </w:rPr>
        <w:t>a) Overall result</w:t>
      </w:r>
    </w:p>
    <w:p w14:paraId="741C0D80" w14:textId="77777777" w:rsidR="005B17F4" w:rsidRPr="003C2BC2" w:rsidRDefault="005B17F4" w:rsidP="004A3104">
      <w:pPr>
        <w:pStyle w:val="Text"/>
      </w:pPr>
      <w:r w:rsidRPr="003C2BC2">
        <w:t>aa) Compliance costs for citizens</w:t>
      </w:r>
    </w:p>
    <w:p w14:paraId="733ED45E" w14:textId="144D5358" w:rsidR="00D444AA" w:rsidRPr="003C2BC2" w:rsidRDefault="005B17F4" w:rsidP="004A3104">
      <w:pPr>
        <w:pStyle w:val="Text"/>
      </w:pPr>
      <w:r w:rsidRPr="003C2BC2">
        <w:t>There are no compliance costs for citizens.</w:t>
      </w:r>
    </w:p>
    <w:p w14:paraId="4C661781" w14:textId="77777777" w:rsidR="005B17F4" w:rsidRPr="003C2BC2" w:rsidRDefault="005B17F4" w:rsidP="004A3104">
      <w:pPr>
        <w:pStyle w:val="Text"/>
      </w:pPr>
      <w:r w:rsidRPr="003C2BC2">
        <w:t>bb) Compliance costs for businesses</w:t>
      </w:r>
    </w:p>
    <w:p w14:paraId="03A0855C" w14:textId="6143422F" w:rsidR="00E604D3" w:rsidRPr="003C2BC2" w:rsidRDefault="00E604D3" w:rsidP="004A3104">
      <w:pPr>
        <w:rPr>
          <w:rFonts w:eastAsia="Times New Roman"/>
          <w:color w:val="000000"/>
        </w:rPr>
      </w:pPr>
      <w:r w:rsidRPr="003C2BC2">
        <w:rPr>
          <w:color w:val="000000"/>
        </w:rPr>
        <w:t>The Act creates additional annual compliance costs for businesses of approximately EUR 1 143 000 and one-off conversion costs of around EUR 121 000. Of which administrative costs arising from obligations to provide information approx. EUR 120 000 (one-off conversion costs) or approx. EUR 1 118 000 (annual compliance costs).</w:t>
      </w:r>
    </w:p>
    <w:p w14:paraId="4028D790" w14:textId="2E15B66F" w:rsidR="00ED22DB" w:rsidRPr="003C2BC2" w:rsidRDefault="00E604D3" w:rsidP="00CC2854">
      <w:pPr>
        <w:rPr>
          <w:rFonts w:eastAsia="Times New Roman"/>
          <w:color w:val="000000"/>
        </w:rPr>
      </w:pPr>
      <w:r w:rsidRPr="003C2BC2">
        <w:rPr>
          <w:color w:val="000000"/>
        </w:rPr>
        <w:t>The draft Act transposes the EU provisions laid down in Article 8(1) to (7) and Article 14 of Directive (EU) 2019/904 on a one-to-one basis. There is therefore no justification for application of the ‘one-in, one-out’ rule for new legislative proposals by the Federal Government (see cabinet decision of 25 March 2015).</w:t>
      </w:r>
    </w:p>
    <w:p w14:paraId="03F6605C" w14:textId="33C30DF0" w:rsidR="005B17F4" w:rsidRPr="003C2BC2" w:rsidRDefault="005B17F4" w:rsidP="00650125">
      <w:pPr>
        <w:pStyle w:val="Text"/>
        <w:keepNext/>
      </w:pPr>
      <w:r w:rsidRPr="003C2BC2">
        <w:lastRenderedPageBreak/>
        <w:t>cc) Compliance costs for the authorities</w:t>
      </w:r>
    </w:p>
    <w:p w14:paraId="1DDB5B67" w14:textId="5E05AEB0" w:rsidR="00E604D3" w:rsidRPr="003C2BC2" w:rsidRDefault="00E604D3" w:rsidP="00CC2854">
      <w:pPr>
        <w:rPr>
          <w:rFonts w:eastAsia="Times New Roman"/>
          <w:color w:val="000000"/>
        </w:rPr>
      </w:pPr>
      <w:r w:rsidRPr="003C2BC2">
        <w:rPr>
          <w:color w:val="000000"/>
        </w:rPr>
        <w:t>The Act creates additional annual compliance costs for Federal Government, the Länder and municipalities of approx. EUR 2 163 000 and one-off conversion costs of approx. EUR 69 000.</w:t>
      </w:r>
    </w:p>
    <w:p w14:paraId="6AC005A5" w14:textId="317CC5FC" w:rsidR="00A0233D" w:rsidRPr="003C2BC2" w:rsidRDefault="00A0233D" w:rsidP="00CC2854">
      <w:pPr>
        <w:rPr>
          <w:rFonts w:eastAsia="Times New Roman"/>
          <w:b/>
          <w:color w:val="000000"/>
        </w:rPr>
      </w:pPr>
      <w:r w:rsidRPr="003C2BC2">
        <w:rPr>
          <w:b/>
          <w:color w:val="000000"/>
        </w:rPr>
        <w:t>b) Requirements</w:t>
      </w:r>
    </w:p>
    <w:tbl>
      <w:tblPr>
        <w:tblStyle w:val="TableGrid"/>
        <w:tblW w:w="10206" w:type="dxa"/>
        <w:tblInd w:w="-856" w:type="dxa"/>
        <w:tblLayout w:type="fixed"/>
        <w:tblLook w:val="04A0" w:firstRow="1" w:lastRow="0" w:firstColumn="1" w:lastColumn="0" w:noHBand="0" w:noVBand="1"/>
      </w:tblPr>
      <w:tblGrid>
        <w:gridCol w:w="704"/>
        <w:gridCol w:w="1990"/>
        <w:gridCol w:w="4111"/>
        <w:gridCol w:w="1559"/>
        <w:gridCol w:w="1842"/>
      </w:tblGrid>
      <w:tr w:rsidR="00377F6B" w:rsidRPr="003C2BC2" w14:paraId="5F809C82" w14:textId="77777777" w:rsidTr="00650125">
        <w:tc>
          <w:tcPr>
            <w:tcW w:w="704" w:type="dxa"/>
            <w:vAlign w:val="center"/>
          </w:tcPr>
          <w:p w14:paraId="63A5780A" w14:textId="77777777" w:rsidR="00377F6B" w:rsidRPr="003C2BC2" w:rsidRDefault="00377F6B" w:rsidP="00CC2854">
            <w:pPr>
              <w:spacing w:before="0" w:after="0"/>
              <w:rPr>
                <w:rFonts w:eastAsia="Times New Roman"/>
                <w:b/>
                <w:bCs/>
                <w:color w:val="000000"/>
              </w:rPr>
            </w:pPr>
            <w:r w:rsidRPr="003C2BC2">
              <w:rPr>
                <w:b/>
                <w:color w:val="000000"/>
              </w:rPr>
              <w:t xml:space="preserve">Item </w:t>
            </w:r>
            <w:bookmarkStart w:id="23" w:name="DQPErrorScope939B94844D5BA3440A79E4B0FEC"/>
            <w:r w:rsidRPr="003C2BC2">
              <w:t>No</w:t>
            </w:r>
            <w:bookmarkEnd w:id="23"/>
          </w:p>
        </w:tc>
        <w:tc>
          <w:tcPr>
            <w:tcW w:w="1990" w:type="dxa"/>
            <w:vAlign w:val="center"/>
          </w:tcPr>
          <w:p w14:paraId="5DFAF418" w14:textId="77777777" w:rsidR="00377F6B" w:rsidRPr="003C2BC2" w:rsidRDefault="00377F6B" w:rsidP="00CC2854">
            <w:pPr>
              <w:spacing w:before="0" w:after="0"/>
              <w:jc w:val="center"/>
              <w:rPr>
                <w:rFonts w:eastAsia="Times New Roman"/>
                <w:b/>
                <w:bCs/>
                <w:color w:val="000000"/>
              </w:rPr>
            </w:pPr>
            <w:r w:rsidRPr="003C2BC2">
              <w:rPr>
                <w:b/>
                <w:color w:val="000000"/>
              </w:rPr>
              <w:t>Provision</w:t>
            </w:r>
          </w:p>
        </w:tc>
        <w:tc>
          <w:tcPr>
            <w:tcW w:w="4111" w:type="dxa"/>
            <w:vAlign w:val="center"/>
          </w:tcPr>
          <w:p w14:paraId="7F731C19" w14:textId="77777777" w:rsidR="00377F6B" w:rsidRPr="003C2BC2" w:rsidRDefault="00377F6B" w:rsidP="00CC2854">
            <w:pPr>
              <w:spacing w:before="0" w:after="0"/>
              <w:jc w:val="center"/>
              <w:rPr>
                <w:rFonts w:eastAsia="Times New Roman"/>
                <w:b/>
                <w:bCs/>
                <w:color w:val="000000"/>
              </w:rPr>
            </w:pPr>
            <w:r w:rsidRPr="003C2BC2">
              <w:rPr>
                <w:b/>
                <w:color w:val="000000"/>
              </w:rPr>
              <w:t>Description</w:t>
            </w:r>
          </w:p>
        </w:tc>
        <w:tc>
          <w:tcPr>
            <w:tcW w:w="1559" w:type="dxa"/>
            <w:vAlign w:val="center"/>
          </w:tcPr>
          <w:p w14:paraId="7CF89378" w14:textId="5097237D" w:rsidR="00377F6B" w:rsidRPr="003C2BC2" w:rsidRDefault="00377F6B" w:rsidP="00650125">
            <w:pPr>
              <w:spacing w:before="0" w:after="0"/>
              <w:jc w:val="center"/>
              <w:rPr>
                <w:rFonts w:eastAsia="Times New Roman"/>
                <w:b/>
                <w:bCs/>
                <w:color w:val="000000"/>
              </w:rPr>
            </w:pPr>
            <w:r w:rsidRPr="003C2BC2">
              <w:rPr>
                <w:b/>
                <w:color w:val="000000"/>
              </w:rPr>
              <w:t>Entities addressed and</w:t>
            </w:r>
            <w:r w:rsidR="00650125" w:rsidRPr="00650125">
              <w:rPr>
                <w:b/>
                <w:color w:val="000000"/>
                <w:lang w:val="en-US"/>
              </w:rPr>
              <w:t xml:space="preserve"> </w:t>
            </w:r>
            <w:r w:rsidRPr="003C2BC2">
              <w:rPr>
                <w:b/>
                <w:color w:val="000000"/>
              </w:rPr>
              <w:t>information</w:t>
            </w:r>
            <w:r w:rsidR="00650125" w:rsidRPr="00650125">
              <w:rPr>
                <w:b/>
                <w:color w:val="000000"/>
                <w:lang w:val="en-US"/>
              </w:rPr>
              <w:t xml:space="preserve"> </w:t>
            </w:r>
            <w:r w:rsidRPr="003C2BC2">
              <w:rPr>
                <w:b/>
                <w:color w:val="000000"/>
              </w:rPr>
              <w:t>obligations</w:t>
            </w:r>
          </w:p>
        </w:tc>
        <w:tc>
          <w:tcPr>
            <w:tcW w:w="1842" w:type="dxa"/>
            <w:vAlign w:val="center"/>
          </w:tcPr>
          <w:p w14:paraId="673E639E" w14:textId="6BF73449" w:rsidR="00377F6B" w:rsidRPr="003C2BC2" w:rsidRDefault="00377F6B" w:rsidP="00650125">
            <w:pPr>
              <w:spacing w:before="0" w:after="0"/>
              <w:jc w:val="center"/>
              <w:rPr>
                <w:rFonts w:eastAsia="Times New Roman"/>
                <w:b/>
                <w:bCs/>
                <w:color w:val="000000"/>
              </w:rPr>
            </w:pPr>
            <w:r w:rsidRPr="003C2BC2">
              <w:rPr>
                <w:b/>
                <w:color w:val="000000"/>
              </w:rPr>
              <w:t>Responsibility</w:t>
            </w:r>
          </w:p>
        </w:tc>
      </w:tr>
      <w:tr w:rsidR="00377F6B" w:rsidRPr="003C2BC2" w14:paraId="54612A9A" w14:textId="77777777" w:rsidTr="00650125">
        <w:tc>
          <w:tcPr>
            <w:tcW w:w="704" w:type="dxa"/>
          </w:tcPr>
          <w:p w14:paraId="64010795" w14:textId="77777777" w:rsidR="00377F6B" w:rsidRPr="003C2BC2" w:rsidRDefault="00377F6B" w:rsidP="0081712D">
            <w:pPr>
              <w:rPr>
                <w:rFonts w:eastAsia="Times New Roman"/>
                <w:bCs/>
                <w:color w:val="000000"/>
              </w:rPr>
            </w:pPr>
            <w:r w:rsidRPr="003C2BC2">
              <w:rPr>
                <w:color w:val="000000"/>
              </w:rPr>
              <w:t>1.</w:t>
            </w:r>
          </w:p>
        </w:tc>
        <w:tc>
          <w:tcPr>
            <w:tcW w:w="1990" w:type="dxa"/>
          </w:tcPr>
          <w:p w14:paraId="168CCF99" w14:textId="77777777" w:rsidR="00377F6B" w:rsidRPr="003C2BC2" w:rsidRDefault="00377F6B" w:rsidP="00AE4D43">
            <w:pPr>
              <w:jc w:val="left"/>
              <w:rPr>
                <w:rFonts w:eastAsia="Times New Roman"/>
                <w:bCs/>
                <w:color w:val="000000"/>
              </w:rPr>
            </w:pPr>
            <w:r w:rsidRPr="003C2BC2">
              <w:rPr>
                <w:color w:val="000000"/>
              </w:rPr>
              <w:t>Article 1 Section 4(1), Section 5</w:t>
            </w:r>
          </w:p>
        </w:tc>
        <w:tc>
          <w:tcPr>
            <w:tcW w:w="4111" w:type="dxa"/>
          </w:tcPr>
          <w:p w14:paraId="3304ECB6" w14:textId="77777777" w:rsidR="00377F6B" w:rsidRPr="003C2BC2" w:rsidRDefault="00377F6B" w:rsidP="0081712D">
            <w:pPr>
              <w:rPr>
                <w:rFonts w:eastAsia="Times New Roman"/>
                <w:bCs/>
                <w:color w:val="000000"/>
              </w:rPr>
            </w:pPr>
            <w:r w:rsidRPr="003C2BC2">
              <w:rPr>
                <w:color w:val="000000"/>
              </w:rPr>
              <w:t>Administration of the single-use plastics fund</w:t>
            </w:r>
          </w:p>
        </w:tc>
        <w:tc>
          <w:tcPr>
            <w:tcW w:w="1559" w:type="dxa"/>
          </w:tcPr>
          <w:p w14:paraId="5EF9CA92" w14:textId="77777777" w:rsidR="00377F6B" w:rsidRPr="003C2BC2" w:rsidRDefault="00377F6B" w:rsidP="0081712D">
            <w:pPr>
              <w:rPr>
                <w:rFonts w:eastAsia="Times New Roman"/>
                <w:bCs/>
                <w:color w:val="000000"/>
              </w:rPr>
            </w:pPr>
            <w:r w:rsidRPr="003C2BC2">
              <w:rPr>
                <w:color w:val="000000"/>
              </w:rPr>
              <w:t>Authorities</w:t>
            </w:r>
          </w:p>
        </w:tc>
        <w:tc>
          <w:tcPr>
            <w:tcW w:w="1842" w:type="dxa"/>
          </w:tcPr>
          <w:p w14:paraId="2FDD35AE" w14:textId="77777777" w:rsidR="00377F6B" w:rsidRPr="003C2BC2" w:rsidRDefault="00377F6B" w:rsidP="0081712D">
            <w:pPr>
              <w:rPr>
                <w:rFonts w:eastAsia="Times New Roman"/>
                <w:bCs/>
                <w:color w:val="000000"/>
              </w:rPr>
            </w:pPr>
            <w:r w:rsidRPr="003C2BC2">
              <w:rPr>
                <w:color w:val="000000"/>
              </w:rPr>
              <w:t>FEA (Federal Environment Agency)</w:t>
            </w:r>
          </w:p>
        </w:tc>
      </w:tr>
      <w:tr w:rsidR="00377F6B" w:rsidRPr="003C2BC2" w14:paraId="09C1906A" w14:textId="77777777" w:rsidTr="00650125">
        <w:tc>
          <w:tcPr>
            <w:tcW w:w="704" w:type="dxa"/>
          </w:tcPr>
          <w:p w14:paraId="2EAC4058" w14:textId="77777777" w:rsidR="00377F6B" w:rsidRPr="003C2BC2" w:rsidRDefault="00377F6B" w:rsidP="0081712D">
            <w:pPr>
              <w:rPr>
                <w:rFonts w:eastAsia="Times New Roman"/>
                <w:bCs/>
                <w:color w:val="000000"/>
              </w:rPr>
            </w:pPr>
            <w:r w:rsidRPr="003C2BC2">
              <w:rPr>
                <w:color w:val="000000"/>
              </w:rPr>
              <w:t>2.</w:t>
            </w:r>
          </w:p>
        </w:tc>
        <w:tc>
          <w:tcPr>
            <w:tcW w:w="1990" w:type="dxa"/>
          </w:tcPr>
          <w:p w14:paraId="212D471D" w14:textId="77777777" w:rsidR="00377F6B" w:rsidRPr="003C2BC2" w:rsidRDefault="00377F6B" w:rsidP="00AE4D43">
            <w:pPr>
              <w:jc w:val="left"/>
              <w:rPr>
                <w:rFonts w:eastAsia="Times New Roman"/>
                <w:bCs/>
                <w:color w:val="000000"/>
              </w:rPr>
            </w:pPr>
            <w:r w:rsidRPr="003C2BC2">
              <w:rPr>
                <w:color w:val="000000"/>
              </w:rPr>
              <w:t xml:space="preserve">Article 1 Section 6(1) </w:t>
            </w:r>
          </w:p>
        </w:tc>
        <w:tc>
          <w:tcPr>
            <w:tcW w:w="4111" w:type="dxa"/>
          </w:tcPr>
          <w:p w14:paraId="610DE086" w14:textId="05E9D650" w:rsidR="00377F6B" w:rsidRPr="003C2BC2" w:rsidRDefault="00377F6B" w:rsidP="00031305">
            <w:pPr>
              <w:rPr>
                <w:rFonts w:eastAsia="Times New Roman"/>
                <w:bCs/>
                <w:color w:val="000000"/>
              </w:rPr>
            </w:pPr>
            <w:r w:rsidRPr="003C2BC2">
              <w:rPr>
                <w:color w:val="000000"/>
              </w:rPr>
              <w:t>Preparation of the annual statement for the single-use plastics fund</w:t>
            </w:r>
          </w:p>
        </w:tc>
        <w:tc>
          <w:tcPr>
            <w:tcW w:w="1559" w:type="dxa"/>
          </w:tcPr>
          <w:p w14:paraId="6C6B6F56"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709B1D57" w14:textId="77777777" w:rsidR="00377F6B" w:rsidRPr="003C2BC2" w:rsidRDefault="00377F6B" w:rsidP="0081712D">
            <w:pPr>
              <w:rPr>
                <w:rFonts w:eastAsia="Times New Roman"/>
                <w:bCs/>
                <w:color w:val="000000"/>
              </w:rPr>
            </w:pPr>
            <w:r w:rsidRPr="003C2BC2">
              <w:rPr>
                <w:color w:val="000000"/>
              </w:rPr>
              <w:t>FEA</w:t>
            </w:r>
          </w:p>
        </w:tc>
      </w:tr>
      <w:tr w:rsidR="00377F6B" w:rsidRPr="003C2BC2" w14:paraId="065BCC6E" w14:textId="77777777" w:rsidTr="00650125">
        <w:tc>
          <w:tcPr>
            <w:tcW w:w="704" w:type="dxa"/>
          </w:tcPr>
          <w:p w14:paraId="61CDE515" w14:textId="77777777" w:rsidR="00377F6B" w:rsidRPr="003C2BC2" w:rsidRDefault="00377F6B" w:rsidP="0081712D">
            <w:pPr>
              <w:rPr>
                <w:rFonts w:eastAsia="Times New Roman"/>
                <w:bCs/>
                <w:color w:val="000000"/>
              </w:rPr>
            </w:pPr>
            <w:r w:rsidRPr="003C2BC2">
              <w:rPr>
                <w:color w:val="000000"/>
              </w:rPr>
              <w:t>3.</w:t>
            </w:r>
          </w:p>
        </w:tc>
        <w:tc>
          <w:tcPr>
            <w:tcW w:w="1990" w:type="dxa"/>
          </w:tcPr>
          <w:p w14:paraId="32DA47C6" w14:textId="77777777" w:rsidR="00377F6B" w:rsidRPr="003C2BC2" w:rsidRDefault="00377F6B" w:rsidP="00AE4D43">
            <w:pPr>
              <w:jc w:val="left"/>
              <w:rPr>
                <w:rFonts w:eastAsia="Times New Roman"/>
                <w:bCs/>
                <w:color w:val="000000"/>
              </w:rPr>
            </w:pPr>
            <w:r w:rsidRPr="003C2BC2">
              <w:rPr>
                <w:color w:val="000000"/>
              </w:rPr>
              <w:t>Article 1 Section 6(2)</w:t>
            </w:r>
          </w:p>
        </w:tc>
        <w:tc>
          <w:tcPr>
            <w:tcW w:w="4111" w:type="dxa"/>
          </w:tcPr>
          <w:p w14:paraId="7B00350B" w14:textId="76CF7E45" w:rsidR="00377F6B" w:rsidRPr="003C2BC2" w:rsidRDefault="00377F6B" w:rsidP="00031305">
            <w:pPr>
              <w:rPr>
                <w:rFonts w:eastAsia="Times New Roman"/>
                <w:bCs/>
                <w:color w:val="000000"/>
              </w:rPr>
            </w:pPr>
            <w:r w:rsidRPr="003C2BC2">
              <w:rPr>
                <w:color w:val="000000"/>
              </w:rPr>
              <w:t>Publication of the annual statement for the single-use plastics fund</w:t>
            </w:r>
          </w:p>
        </w:tc>
        <w:tc>
          <w:tcPr>
            <w:tcW w:w="1559" w:type="dxa"/>
          </w:tcPr>
          <w:p w14:paraId="51FFD717"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5EEB5D01" w14:textId="77777777" w:rsidR="00377F6B" w:rsidRPr="003C2BC2" w:rsidRDefault="00377F6B" w:rsidP="0081712D">
            <w:pPr>
              <w:rPr>
                <w:rFonts w:eastAsia="Times New Roman"/>
                <w:bCs/>
                <w:color w:val="000000"/>
              </w:rPr>
            </w:pPr>
            <w:r w:rsidRPr="003C2BC2">
              <w:rPr>
                <w:color w:val="000000"/>
              </w:rPr>
              <w:t>FEA</w:t>
            </w:r>
          </w:p>
        </w:tc>
      </w:tr>
      <w:tr w:rsidR="00377F6B" w:rsidRPr="003C2BC2" w14:paraId="02C9F4C9" w14:textId="77777777" w:rsidTr="00650125">
        <w:tc>
          <w:tcPr>
            <w:tcW w:w="704" w:type="dxa"/>
          </w:tcPr>
          <w:p w14:paraId="0ABE3C01" w14:textId="77777777" w:rsidR="00377F6B" w:rsidRPr="003C2BC2" w:rsidRDefault="00377F6B" w:rsidP="0081712D">
            <w:pPr>
              <w:rPr>
                <w:rFonts w:eastAsia="Times New Roman"/>
                <w:bCs/>
                <w:color w:val="000000"/>
              </w:rPr>
            </w:pPr>
            <w:r w:rsidRPr="003C2BC2">
              <w:rPr>
                <w:color w:val="000000"/>
              </w:rPr>
              <w:t>4.</w:t>
            </w:r>
          </w:p>
        </w:tc>
        <w:tc>
          <w:tcPr>
            <w:tcW w:w="1990" w:type="dxa"/>
          </w:tcPr>
          <w:p w14:paraId="3F10B400" w14:textId="22950267" w:rsidR="00377F6B" w:rsidRPr="003C2BC2" w:rsidRDefault="00377F6B" w:rsidP="00AE4D43">
            <w:pPr>
              <w:jc w:val="left"/>
              <w:rPr>
                <w:rFonts w:eastAsia="Times New Roman"/>
                <w:bCs/>
                <w:color w:val="000000"/>
              </w:rPr>
            </w:pPr>
            <w:r w:rsidRPr="003C2BC2">
              <w:rPr>
                <w:color w:val="000000"/>
              </w:rPr>
              <w:t>Article 1 Section 7(1), first sentence, in conjunction with the paragraphs (2) and (3)</w:t>
            </w:r>
          </w:p>
        </w:tc>
        <w:tc>
          <w:tcPr>
            <w:tcW w:w="4111" w:type="dxa"/>
          </w:tcPr>
          <w:p w14:paraId="7ED64255" w14:textId="112C1AA6" w:rsidR="00377F6B" w:rsidRPr="003C2BC2" w:rsidRDefault="00377F6B" w:rsidP="0081712D">
            <w:pPr>
              <w:rPr>
                <w:rFonts w:eastAsia="Times New Roman"/>
                <w:bCs/>
                <w:color w:val="000000"/>
              </w:rPr>
            </w:pPr>
            <w:r w:rsidRPr="003C2BC2">
              <w:rPr>
                <w:color w:val="000000"/>
              </w:rPr>
              <w:t>Registration of producers</w:t>
            </w:r>
          </w:p>
        </w:tc>
        <w:tc>
          <w:tcPr>
            <w:tcW w:w="1559" w:type="dxa"/>
          </w:tcPr>
          <w:p w14:paraId="7CBBAB04" w14:textId="77777777" w:rsidR="00377F6B" w:rsidRPr="003C2BC2" w:rsidRDefault="00377F6B" w:rsidP="0081712D">
            <w:pPr>
              <w:rPr>
                <w:rFonts w:eastAsia="Times New Roman"/>
                <w:bCs/>
                <w:color w:val="000000"/>
              </w:rPr>
            </w:pPr>
            <w:r w:rsidRPr="003C2BC2">
              <w:rPr>
                <w:color w:val="000000"/>
              </w:rPr>
              <w:t>Businesses (IO)</w:t>
            </w:r>
          </w:p>
        </w:tc>
        <w:tc>
          <w:tcPr>
            <w:tcW w:w="1842" w:type="dxa"/>
          </w:tcPr>
          <w:p w14:paraId="469CA746" w14:textId="77777777" w:rsidR="00377F6B" w:rsidRPr="003C2BC2" w:rsidRDefault="00377F6B" w:rsidP="0081712D">
            <w:pPr>
              <w:rPr>
                <w:rFonts w:eastAsia="Times New Roman"/>
                <w:bCs/>
                <w:color w:val="000000"/>
              </w:rPr>
            </w:pPr>
            <w:r w:rsidRPr="003C2BC2">
              <w:rPr>
                <w:color w:val="000000"/>
              </w:rPr>
              <w:t>Producers</w:t>
            </w:r>
          </w:p>
        </w:tc>
      </w:tr>
      <w:tr w:rsidR="00377F6B" w:rsidRPr="003C2BC2" w14:paraId="27312340" w14:textId="77777777" w:rsidTr="00650125">
        <w:tc>
          <w:tcPr>
            <w:tcW w:w="704" w:type="dxa"/>
          </w:tcPr>
          <w:p w14:paraId="18C07A05" w14:textId="77777777" w:rsidR="00377F6B" w:rsidRPr="003C2BC2" w:rsidRDefault="00377F6B" w:rsidP="0081712D">
            <w:pPr>
              <w:rPr>
                <w:rFonts w:eastAsia="Times New Roman"/>
                <w:bCs/>
                <w:color w:val="000000"/>
              </w:rPr>
            </w:pPr>
            <w:r w:rsidRPr="003C2BC2">
              <w:rPr>
                <w:color w:val="000000"/>
              </w:rPr>
              <w:t>5.</w:t>
            </w:r>
          </w:p>
        </w:tc>
        <w:tc>
          <w:tcPr>
            <w:tcW w:w="1990" w:type="dxa"/>
          </w:tcPr>
          <w:p w14:paraId="2B15D1BC" w14:textId="70E964D5" w:rsidR="00377F6B" w:rsidRPr="003C2BC2" w:rsidRDefault="00377F6B" w:rsidP="00D375E1">
            <w:pPr>
              <w:jc w:val="left"/>
              <w:rPr>
                <w:rFonts w:eastAsia="Times New Roman"/>
                <w:bCs/>
                <w:color w:val="000000"/>
              </w:rPr>
            </w:pPr>
            <w:r w:rsidRPr="003C2BC2">
              <w:rPr>
                <w:color w:val="000000"/>
              </w:rPr>
              <w:t>Article 1 Section 7(1), second sentence, in conjunction with the paragraphs (2) and (3)</w:t>
            </w:r>
          </w:p>
        </w:tc>
        <w:tc>
          <w:tcPr>
            <w:tcW w:w="4111" w:type="dxa"/>
          </w:tcPr>
          <w:p w14:paraId="7F1BE173" w14:textId="77777777" w:rsidR="00377F6B" w:rsidRPr="003C2BC2" w:rsidRDefault="00377F6B" w:rsidP="0081712D">
            <w:pPr>
              <w:rPr>
                <w:rFonts w:eastAsia="Times New Roman"/>
                <w:bCs/>
                <w:color w:val="000000"/>
              </w:rPr>
            </w:pPr>
            <w:r w:rsidRPr="003C2BC2">
              <w:rPr>
                <w:color w:val="000000"/>
              </w:rPr>
              <w:t>Amendment to registration data</w:t>
            </w:r>
          </w:p>
        </w:tc>
        <w:tc>
          <w:tcPr>
            <w:tcW w:w="1559" w:type="dxa"/>
          </w:tcPr>
          <w:p w14:paraId="6BA4F5E8" w14:textId="77777777" w:rsidR="00377F6B" w:rsidRPr="003C2BC2" w:rsidRDefault="00377F6B" w:rsidP="0081712D">
            <w:pPr>
              <w:rPr>
                <w:rFonts w:eastAsia="Times New Roman"/>
                <w:bCs/>
                <w:color w:val="000000"/>
              </w:rPr>
            </w:pPr>
            <w:r w:rsidRPr="003C2BC2">
              <w:rPr>
                <w:color w:val="000000"/>
              </w:rPr>
              <w:t>Businesses (IO)</w:t>
            </w:r>
          </w:p>
        </w:tc>
        <w:tc>
          <w:tcPr>
            <w:tcW w:w="1842" w:type="dxa"/>
          </w:tcPr>
          <w:p w14:paraId="327AAC4F" w14:textId="77777777" w:rsidR="00377F6B" w:rsidRPr="003C2BC2" w:rsidRDefault="00377F6B" w:rsidP="0081712D">
            <w:pPr>
              <w:rPr>
                <w:rFonts w:eastAsia="Times New Roman"/>
                <w:bCs/>
                <w:color w:val="000000"/>
              </w:rPr>
            </w:pPr>
            <w:r w:rsidRPr="003C2BC2">
              <w:rPr>
                <w:color w:val="000000"/>
              </w:rPr>
              <w:t>Producers</w:t>
            </w:r>
          </w:p>
        </w:tc>
      </w:tr>
      <w:tr w:rsidR="00377F6B" w:rsidRPr="003C2BC2" w14:paraId="71756EB7" w14:textId="77777777" w:rsidTr="00650125">
        <w:trPr>
          <w:trHeight w:val="843"/>
        </w:trPr>
        <w:tc>
          <w:tcPr>
            <w:tcW w:w="704" w:type="dxa"/>
          </w:tcPr>
          <w:p w14:paraId="23220BD8" w14:textId="77777777" w:rsidR="00377F6B" w:rsidRPr="003C2BC2" w:rsidRDefault="00377F6B" w:rsidP="0081712D">
            <w:pPr>
              <w:rPr>
                <w:rFonts w:eastAsia="Times New Roman"/>
                <w:bCs/>
                <w:color w:val="000000"/>
              </w:rPr>
            </w:pPr>
            <w:r w:rsidRPr="003C2BC2">
              <w:rPr>
                <w:color w:val="000000"/>
              </w:rPr>
              <w:t>6.</w:t>
            </w:r>
          </w:p>
        </w:tc>
        <w:tc>
          <w:tcPr>
            <w:tcW w:w="1990" w:type="dxa"/>
          </w:tcPr>
          <w:p w14:paraId="6C2D1CC8" w14:textId="44CE225C" w:rsidR="00377F6B" w:rsidRPr="003C2BC2" w:rsidRDefault="00377F6B" w:rsidP="00D375E1">
            <w:pPr>
              <w:jc w:val="left"/>
              <w:rPr>
                <w:rFonts w:eastAsia="Times New Roman"/>
                <w:bCs/>
                <w:color w:val="000000"/>
              </w:rPr>
            </w:pPr>
            <w:r w:rsidRPr="003C2BC2">
              <w:rPr>
                <w:color w:val="000000"/>
              </w:rPr>
              <w:t xml:space="preserve">Article 1 Section 7(4) subparagraphs 1 and 2 </w:t>
            </w:r>
          </w:p>
        </w:tc>
        <w:tc>
          <w:tcPr>
            <w:tcW w:w="4111" w:type="dxa"/>
          </w:tcPr>
          <w:p w14:paraId="19B61128" w14:textId="77777777" w:rsidR="00377F6B" w:rsidRPr="003C2BC2" w:rsidRDefault="00377F6B" w:rsidP="0081712D">
            <w:pPr>
              <w:rPr>
                <w:rFonts w:eastAsia="Times New Roman"/>
                <w:bCs/>
                <w:color w:val="000000"/>
              </w:rPr>
            </w:pPr>
            <w:r w:rsidRPr="003C2BC2">
              <w:rPr>
                <w:color w:val="000000"/>
              </w:rPr>
              <w:t>Confirmation of initial registration</w:t>
            </w:r>
          </w:p>
        </w:tc>
        <w:tc>
          <w:tcPr>
            <w:tcW w:w="1559" w:type="dxa"/>
          </w:tcPr>
          <w:p w14:paraId="78BCDF9A"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00DB205E" w14:textId="77777777" w:rsidR="00377F6B" w:rsidRPr="003C2BC2" w:rsidRDefault="00377F6B" w:rsidP="0081712D">
            <w:pPr>
              <w:rPr>
                <w:rFonts w:eastAsia="Times New Roman"/>
                <w:bCs/>
                <w:color w:val="000000"/>
              </w:rPr>
            </w:pPr>
            <w:r w:rsidRPr="003C2BC2">
              <w:rPr>
                <w:color w:val="000000"/>
              </w:rPr>
              <w:t>FEA</w:t>
            </w:r>
          </w:p>
        </w:tc>
      </w:tr>
      <w:tr w:rsidR="00377F6B" w:rsidRPr="003C2BC2" w14:paraId="3480F233" w14:textId="77777777" w:rsidTr="00650125">
        <w:trPr>
          <w:trHeight w:val="843"/>
        </w:trPr>
        <w:tc>
          <w:tcPr>
            <w:tcW w:w="704" w:type="dxa"/>
          </w:tcPr>
          <w:p w14:paraId="41256801" w14:textId="77777777" w:rsidR="00377F6B" w:rsidRPr="003C2BC2" w:rsidRDefault="00377F6B" w:rsidP="0081712D">
            <w:pPr>
              <w:rPr>
                <w:rFonts w:eastAsia="Times New Roman"/>
                <w:bCs/>
                <w:color w:val="000000"/>
              </w:rPr>
            </w:pPr>
            <w:r w:rsidRPr="003C2BC2">
              <w:rPr>
                <w:color w:val="000000"/>
              </w:rPr>
              <w:t>7.</w:t>
            </w:r>
          </w:p>
        </w:tc>
        <w:tc>
          <w:tcPr>
            <w:tcW w:w="1990" w:type="dxa"/>
          </w:tcPr>
          <w:p w14:paraId="5313C79A" w14:textId="7A9E085F" w:rsidR="00377F6B" w:rsidRPr="003C2BC2" w:rsidRDefault="00377F6B" w:rsidP="00D375E1">
            <w:pPr>
              <w:jc w:val="left"/>
              <w:rPr>
                <w:rFonts w:eastAsia="Times New Roman"/>
                <w:bCs/>
                <w:color w:val="000000"/>
              </w:rPr>
            </w:pPr>
            <w:r w:rsidRPr="003C2BC2">
              <w:rPr>
                <w:color w:val="000000"/>
              </w:rPr>
              <w:t>Article 1 Section 7(4) subparagraphs 3 and 4</w:t>
            </w:r>
          </w:p>
        </w:tc>
        <w:tc>
          <w:tcPr>
            <w:tcW w:w="4111" w:type="dxa"/>
          </w:tcPr>
          <w:p w14:paraId="38DD4599" w14:textId="77777777" w:rsidR="00377F6B" w:rsidRPr="003C2BC2" w:rsidRDefault="00377F6B" w:rsidP="0081712D">
            <w:pPr>
              <w:rPr>
                <w:rFonts w:eastAsia="Times New Roman"/>
                <w:bCs/>
                <w:color w:val="000000"/>
              </w:rPr>
            </w:pPr>
            <w:r w:rsidRPr="003C2BC2">
              <w:rPr>
                <w:color w:val="000000"/>
              </w:rPr>
              <w:t>Confirmation of amendment to registration data</w:t>
            </w:r>
          </w:p>
        </w:tc>
        <w:tc>
          <w:tcPr>
            <w:tcW w:w="1559" w:type="dxa"/>
          </w:tcPr>
          <w:p w14:paraId="1BC3D294"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427242FE" w14:textId="77777777" w:rsidR="00377F6B" w:rsidRPr="003C2BC2" w:rsidRDefault="00377F6B" w:rsidP="0081712D">
            <w:pPr>
              <w:rPr>
                <w:rFonts w:eastAsia="Times New Roman"/>
                <w:bCs/>
                <w:color w:val="000000"/>
              </w:rPr>
            </w:pPr>
            <w:r w:rsidRPr="003C2BC2">
              <w:rPr>
                <w:color w:val="000000"/>
              </w:rPr>
              <w:t>FEA</w:t>
            </w:r>
          </w:p>
        </w:tc>
      </w:tr>
      <w:tr w:rsidR="00377F6B" w:rsidRPr="003C2BC2" w14:paraId="080EFC1F" w14:textId="77777777" w:rsidTr="00650125">
        <w:tc>
          <w:tcPr>
            <w:tcW w:w="704" w:type="dxa"/>
          </w:tcPr>
          <w:p w14:paraId="51D865E5" w14:textId="77777777" w:rsidR="00377F6B" w:rsidRPr="003C2BC2" w:rsidRDefault="00377F6B" w:rsidP="0081712D">
            <w:pPr>
              <w:rPr>
                <w:rFonts w:eastAsia="Times New Roman"/>
                <w:bCs/>
                <w:color w:val="000000"/>
              </w:rPr>
            </w:pPr>
            <w:r w:rsidRPr="003C2BC2">
              <w:rPr>
                <w:color w:val="000000"/>
              </w:rPr>
              <w:t>8.</w:t>
            </w:r>
          </w:p>
        </w:tc>
        <w:tc>
          <w:tcPr>
            <w:tcW w:w="1990" w:type="dxa"/>
          </w:tcPr>
          <w:p w14:paraId="75C9D416" w14:textId="1BB41C53" w:rsidR="00377F6B" w:rsidRPr="003C2BC2" w:rsidRDefault="00377F6B" w:rsidP="00AE4D43">
            <w:pPr>
              <w:jc w:val="left"/>
              <w:rPr>
                <w:rFonts w:eastAsia="Times New Roman"/>
                <w:bCs/>
                <w:color w:val="000000"/>
              </w:rPr>
            </w:pPr>
            <w:r w:rsidRPr="003C2BC2">
              <w:rPr>
                <w:color w:val="000000"/>
              </w:rPr>
              <w:t>Article 1 Section 7(5)</w:t>
            </w:r>
          </w:p>
        </w:tc>
        <w:tc>
          <w:tcPr>
            <w:tcW w:w="4111" w:type="dxa"/>
          </w:tcPr>
          <w:p w14:paraId="5ADA3E49" w14:textId="77777777" w:rsidR="00377F6B" w:rsidRPr="003C2BC2" w:rsidRDefault="00377F6B" w:rsidP="0081712D">
            <w:pPr>
              <w:rPr>
                <w:rFonts w:eastAsia="Times New Roman"/>
                <w:bCs/>
                <w:color w:val="000000"/>
              </w:rPr>
            </w:pPr>
            <w:r w:rsidRPr="003C2BC2">
              <w:rPr>
                <w:color w:val="000000"/>
              </w:rPr>
              <w:t>Publication and deletion of registration data on the Internet</w:t>
            </w:r>
          </w:p>
        </w:tc>
        <w:tc>
          <w:tcPr>
            <w:tcW w:w="1559" w:type="dxa"/>
          </w:tcPr>
          <w:p w14:paraId="01945EC0"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34039244" w14:textId="77777777" w:rsidR="00377F6B" w:rsidRPr="003C2BC2" w:rsidRDefault="00377F6B" w:rsidP="0081712D">
            <w:pPr>
              <w:rPr>
                <w:rFonts w:eastAsia="Times New Roman"/>
                <w:bCs/>
                <w:color w:val="000000"/>
              </w:rPr>
            </w:pPr>
            <w:r w:rsidRPr="003C2BC2">
              <w:rPr>
                <w:color w:val="000000"/>
              </w:rPr>
              <w:t>FEA</w:t>
            </w:r>
          </w:p>
        </w:tc>
      </w:tr>
      <w:tr w:rsidR="00377F6B" w:rsidRPr="003C2BC2" w14:paraId="14BE8DDC" w14:textId="77777777" w:rsidTr="00650125">
        <w:tc>
          <w:tcPr>
            <w:tcW w:w="704" w:type="dxa"/>
          </w:tcPr>
          <w:p w14:paraId="41EADFD4" w14:textId="77777777" w:rsidR="00377F6B" w:rsidRPr="003C2BC2" w:rsidRDefault="00377F6B" w:rsidP="0081712D">
            <w:pPr>
              <w:rPr>
                <w:rFonts w:eastAsia="Times New Roman"/>
                <w:bCs/>
                <w:color w:val="000000"/>
              </w:rPr>
            </w:pPr>
            <w:r w:rsidRPr="003C2BC2">
              <w:rPr>
                <w:color w:val="000000"/>
              </w:rPr>
              <w:t>9.</w:t>
            </w:r>
          </w:p>
        </w:tc>
        <w:tc>
          <w:tcPr>
            <w:tcW w:w="1990" w:type="dxa"/>
          </w:tcPr>
          <w:p w14:paraId="6A99B0CD" w14:textId="77777777" w:rsidR="00377F6B" w:rsidRPr="003C2BC2" w:rsidRDefault="00377F6B" w:rsidP="001D6D6E">
            <w:pPr>
              <w:jc w:val="left"/>
              <w:rPr>
                <w:rFonts w:eastAsia="Times New Roman"/>
                <w:bCs/>
                <w:color w:val="000000"/>
              </w:rPr>
            </w:pPr>
            <w:r w:rsidRPr="003C2BC2">
              <w:rPr>
                <w:color w:val="000000"/>
              </w:rPr>
              <w:t xml:space="preserve">Article 1 Section 8(1) and (2) </w:t>
            </w:r>
          </w:p>
        </w:tc>
        <w:tc>
          <w:tcPr>
            <w:tcW w:w="4111" w:type="dxa"/>
          </w:tcPr>
          <w:p w14:paraId="25209678" w14:textId="77777777" w:rsidR="00377F6B" w:rsidRPr="003C2BC2" w:rsidRDefault="00377F6B" w:rsidP="0081712D">
            <w:pPr>
              <w:rPr>
                <w:rFonts w:eastAsia="Times New Roman"/>
                <w:bCs/>
                <w:color w:val="000000"/>
              </w:rPr>
            </w:pPr>
            <w:r w:rsidRPr="003C2BC2">
              <w:rPr>
                <w:color w:val="000000"/>
              </w:rPr>
              <w:t>Establishment and operation of the electronic register of producers</w:t>
            </w:r>
          </w:p>
        </w:tc>
        <w:tc>
          <w:tcPr>
            <w:tcW w:w="1559" w:type="dxa"/>
          </w:tcPr>
          <w:p w14:paraId="6E3945F1" w14:textId="77777777" w:rsidR="00377F6B" w:rsidRPr="003C2BC2" w:rsidRDefault="00377F6B" w:rsidP="0081712D">
            <w:pPr>
              <w:rPr>
                <w:rFonts w:eastAsia="Times New Roman"/>
                <w:bCs/>
                <w:color w:val="000000"/>
              </w:rPr>
            </w:pPr>
            <w:r w:rsidRPr="003C2BC2">
              <w:rPr>
                <w:color w:val="000000"/>
              </w:rPr>
              <w:t>Authorities</w:t>
            </w:r>
          </w:p>
        </w:tc>
        <w:tc>
          <w:tcPr>
            <w:tcW w:w="1842" w:type="dxa"/>
          </w:tcPr>
          <w:p w14:paraId="263D3247" w14:textId="77777777" w:rsidR="00377F6B" w:rsidRPr="003C2BC2" w:rsidRDefault="00377F6B" w:rsidP="0081712D">
            <w:pPr>
              <w:rPr>
                <w:rFonts w:eastAsia="Times New Roman"/>
                <w:bCs/>
                <w:color w:val="000000"/>
              </w:rPr>
            </w:pPr>
            <w:r w:rsidRPr="003C2BC2">
              <w:rPr>
                <w:color w:val="000000"/>
              </w:rPr>
              <w:t>FEA</w:t>
            </w:r>
          </w:p>
        </w:tc>
      </w:tr>
      <w:tr w:rsidR="00FB1321" w:rsidRPr="003C2BC2" w14:paraId="4BF48037" w14:textId="77777777" w:rsidTr="00650125">
        <w:tc>
          <w:tcPr>
            <w:tcW w:w="704" w:type="dxa"/>
          </w:tcPr>
          <w:p w14:paraId="08440AD2" w14:textId="5AE044A9" w:rsidR="00FB1321" w:rsidRPr="003C2BC2" w:rsidRDefault="00FB1321" w:rsidP="0081712D">
            <w:pPr>
              <w:rPr>
                <w:rFonts w:eastAsia="Times New Roman"/>
                <w:bCs/>
                <w:color w:val="000000"/>
              </w:rPr>
            </w:pPr>
            <w:r w:rsidRPr="003C2BC2">
              <w:rPr>
                <w:color w:val="000000"/>
              </w:rPr>
              <w:t>10.</w:t>
            </w:r>
          </w:p>
        </w:tc>
        <w:tc>
          <w:tcPr>
            <w:tcW w:w="1990" w:type="dxa"/>
          </w:tcPr>
          <w:p w14:paraId="355FBC9B" w14:textId="199736D2" w:rsidR="00FB1321" w:rsidRPr="003C2BC2" w:rsidRDefault="00FB1321" w:rsidP="001D6D6E">
            <w:pPr>
              <w:jc w:val="left"/>
              <w:rPr>
                <w:rFonts w:eastAsia="Times New Roman"/>
                <w:bCs/>
                <w:color w:val="000000"/>
              </w:rPr>
            </w:pPr>
            <w:r w:rsidRPr="003C2BC2">
              <w:rPr>
                <w:color w:val="000000"/>
              </w:rPr>
              <w:t>Article 1 Section 8(3)</w:t>
            </w:r>
          </w:p>
        </w:tc>
        <w:tc>
          <w:tcPr>
            <w:tcW w:w="4111" w:type="dxa"/>
          </w:tcPr>
          <w:p w14:paraId="34D3677E" w14:textId="1D58C047" w:rsidR="00FB1321" w:rsidRPr="003C2BC2" w:rsidRDefault="00FB1321" w:rsidP="0081712D">
            <w:pPr>
              <w:rPr>
                <w:rFonts w:eastAsia="Times New Roman"/>
                <w:bCs/>
                <w:color w:val="000000"/>
              </w:rPr>
            </w:pPr>
            <w:r w:rsidRPr="003C2BC2">
              <w:rPr>
                <w:color w:val="000000"/>
              </w:rPr>
              <w:t>Transmission of data to the Central Agency</w:t>
            </w:r>
          </w:p>
        </w:tc>
        <w:tc>
          <w:tcPr>
            <w:tcW w:w="1559" w:type="dxa"/>
          </w:tcPr>
          <w:p w14:paraId="2D3616CE" w14:textId="3C5FC9EB" w:rsidR="00FB1321" w:rsidRPr="003C2BC2" w:rsidRDefault="00FB1321" w:rsidP="0081712D">
            <w:pPr>
              <w:rPr>
                <w:rFonts w:eastAsia="Times New Roman"/>
                <w:bCs/>
                <w:color w:val="000000"/>
              </w:rPr>
            </w:pPr>
            <w:r w:rsidRPr="003C2BC2">
              <w:rPr>
                <w:color w:val="000000"/>
              </w:rPr>
              <w:t>Authorities (IO)</w:t>
            </w:r>
          </w:p>
        </w:tc>
        <w:tc>
          <w:tcPr>
            <w:tcW w:w="1842" w:type="dxa"/>
          </w:tcPr>
          <w:p w14:paraId="0F15A200" w14:textId="365FD697" w:rsidR="00FB1321" w:rsidRPr="003C2BC2" w:rsidRDefault="00FB1321" w:rsidP="0081712D">
            <w:pPr>
              <w:rPr>
                <w:rFonts w:eastAsia="Times New Roman"/>
                <w:bCs/>
                <w:color w:val="000000"/>
              </w:rPr>
            </w:pPr>
            <w:r w:rsidRPr="003C2BC2">
              <w:rPr>
                <w:color w:val="000000"/>
              </w:rPr>
              <w:t>FEA</w:t>
            </w:r>
          </w:p>
        </w:tc>
      </w:tr>
      <w:tr w:rsidR="00377F6B" w:rsidRPr="003C2BC2" w14:paraId="577F8C06" w14:textId="77777777" w:rsidTr="00650125">
        <w:tc>
          <w:tcPr>
            <w:tcW w:w="704" w:type="dxa"/>
          </w:tcPr>
          <w:p w14:paraId="6D54F002" w14:textId="2C15C1C5" w:rsidR="00377F6B" w:rsidRPr="003C2BC2" w:rsidRDefault="00FB1321" w:rsidP="0081712D">
            <w:pPr>
              <w:rPr>
                <w:rFonts w:eastAsia="Times New Roman"/>
                <w:bCs/>
                <w:color w:val="000000"/>
              </w:rPr>
            </w:pPr>
            <w:r w:rsidRPr="003C2BC2">
              <w:rPr>
                <w:color w:val="000000"/>
              </w:rPr>
              <w:t>11.</w:t>
            </w:r>
          </w:p>
        </w:tc>
        <w:tc>
          <w:tcPr>
            <w:tcW w:w="1990" w:type="dxa"/>
          </w:tcPr>
          <w:p w14:paraId="6E887AAE" w14:textId="6D452CE6" w:rsidR="00377F6B" w:rsidRPr="003C2BC2" w:rsidRDefault="00377F6B" w:rsidP="001D6D6E">
            <w:pPr>
              <w:jc w:val="left"/>
              <w:rPr>
                <w:rFonts w:eastAsia="Times New Roman"/>
                <w:bCs/>
                <w:color w:val="000000"/>
              </w:rPr>
            </w:pPr>
            <w:r w:rsidRPr="003C2BC2">
              <w:rPr>
                <w:color w:val="000000"/>
              </w:rPr>
              <w:t xml:space="preserve">Article 1 Section 8(4) </w:t>
            </w:r>
          </w:p>
        </w:tc>
        <w:tc>
          <w:tcPr>
            <w:tcW w:w="4111" w:type="dxa"/>
          </w:tcPr>
          <w:p w14:paraId="04D74C17" w14:textId="77777777" w:rsidR="00377F6B" w:rsidRPr="003C2BC2" w:rsidRDefault="00377F6B" w:rsidP="0081712D">
            <w:pPr>
              <w:rPr>
                <w:rFonts w:eastAsia="Times New Roman"/>
                <w:bCs/>
                <w:color w:val="000000"/>
              </w:rPr>
            </w:pPr>
            <w:r w:rsidRPr="003C2BC2">
              <w:rPr>
                <w:color w:val="000000"/>
              </w:rPr>
              <w:t>Transmission of data to the Federal Statistical Office</w:t>
            </w:r>
          </w:p>
        </w:tc>
        <w:tc>
          <w:tcPr>
            <w:tcW w:w="1559" w:type="dxa"/>
          </w:tcPr>
          <w:p w14:paraId="528ED0F7"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4BF37FED" w14:textId="77777777" w:rsidR="00377F6B" w:rsidRPr="003C2BC2" w:rsidRDefault="00377F6B" w:rsidP="0081712D">
            <w:pPr>
              <w:rPr>
                <w:rFonts w:eastAsia="Times New Roman"/>
                <w:bCs/>
                <w:color w:val="000000"/>
              </w:rPr>
            </w:pPr>
            <w:r w:rsidRPr="003C2BC2">
              <w:rPr>
                <w:color w:val="000000"/>
              </w:rPr>
              <w:t>FEA</w:t>
            </w:r>
          </w:p>
        </w:tc>
      </w:tr>
      <w:tr w:rsidR="00377F6B" w:rsidRPr="003C2BC2" w14:paraId="34B8B68B" w14:textId="77777777" w:rsidTr="00650125">
        <w:tc>
          <w:tcPr>
            <w:tcW w:w="704" w:type="dxa"/>
          </w:tcPr>
          <w:p w14:paraId="532BB5B8" w14:textId="336D46BA" w:rsidR="00377F6B" w:rsidRPr="003C2BC2" w:rsidRDefault="00FB1321" w:rsidP="0081712D">
            <w:pPr>
              <w:rPr>
                <w:rFonts w:eastAsia="Times New Roman"/>
                <w:bCs/>
                <w:color w:val="000000"/>
              </w:rPr>
            </w:pPr>
            <w:r w:rsidRPr="003C2BC2">
              <w:rPr>
                <w:color w:val="000000"/>
              </w:rPr>
              <w:t>12.</w:t>
            </w:r>
          </w:p>
        </w:tc>
        <w:tc>
          <w:tcPr>
            <w:tcW w:w="1990" w:type="dxa"/>
          </w:tcPr>
          <w:p w14:paraId="4EE73121" w14:textId="67AF60B6" w:rsidR="00377F6B" w:rsidRPr="003C2BC2" w:rsidRDefault="00377F6B" w:rsidP="001D6D6E">
            <w:pPr>
              <w:jc w:val="left"/>
              <w:rPr>
                <w:rFonts w:eastAsia="Times New Roman"/>
                <w:bCs/>
                <w:color w:val="000000"/>
              </w:rPr>
            </w:pPr>
            <w:r w:rsidRPr="003C2BC2">
              <w:rPr>
                <w:color w:val="000000"/>
              </w:rPr>
              <w:t>Article 1 Section 10(1)</w:t>
            </w:r>
          </w:p>
        </w:tc>
        <w:tc>
          <w:tcPr>
            <w:tcW w:w="4111" w:type="dxa"/>
          </w:tcPr>
          <w:p w14:paraId="16549E4D" w14:textId="77777777" w:rsidR="00377F6B" w:rsidRPr="003C2BC2" w:rsidRDefault="00377F6B" w:rsidP="0081712D">
            <w:pPr>
              <w:rPr>
                <w:rFonts w:eastAsia="Times New Roman"/>
                <w:bCs/>
                <w:color w:val="000000"/>
              </w:rPr>
            </w:pPr>
            <w:r w:rsidRPr="003C2BC2">
              <w:rPr>
                <w:color w:val="000000"/>
              </w:rPr>
              <w:t>Appointment of authorised representatives by foreign producers for domestic purposes</w:t>
            </w:r>
          </w:p>
        </w:tc>
        <w:tc>
          <w:tcPr>
            <w:tcW w:w="1559" w:type="dxa"/>
          </w:tcPr>
          <w:p w14:paraId="4749A53F" w14:textId="77777777" w:rsidR="00377F6B" w:rsidRPr="003C2BC2" w:rsidRDefault="00377F6B" w:rsidP="0081712D">
            <w:pPr>
              <w:rPr>
                <w:rFonts w:eastAsia="Times New Roman"/>
                <w:bCs/>
                <w:color w:val="000000"/>
              </w:rPr>
            </w:pPr>
            <w:r w:rsidRPr="003C2BC2">
              <w:rPr>
                <w:color w:val="000000"/>
              </w:rPr>
              <w:t>Businesses</w:t>
            </w:r>
          </w:p>
        </w:tc>
        <w:tc>
          <w:tcPr>
            <w:tcW w:w="1842" w:type="dxa"/>
          </w:tcPr>
          <w:p w14:paraId="6F554158" w14:textId="77777777" w:rsidR="00377F6B" w:rsidRPr="003C2BC2" w:rsidRDefault="00377F6B" w:rsidP="0081712D">
            <w:pPr>
              <w:rPr>
                <w:rFonts w:eastAsia="Times New Roman"/>
                <w:bCs/>
                <w:color w:val="000000"/>
              </w:rPr>
            </w:pPr>
            <w:r w:rsidRPr="003C2BC2">
              <w:rPr>
                <w:color w:val="000000"/>
              </w:rPr>
              <w:t>Producers</w:t>
            </w:r>
          </w:p>
        </w:tc>
      </w:tr>
      <w:tr w:rsidR="00377F6B" w:rsidRPr="003C2BC2" w14:paraId="39CFBDF9" w14:textId="77777777" w:rsidTr="00650125">
        <w:tc>
          <w:tcPr>
            <w:tcW w:w="704" w:type="dxa"/>
          </w:tcPr>
          <w:p w14:paraId="2D3FC9CA" w14:textId="13CEFAA0" w:rsidR="00377F6B" w:rsidRPr="003C2BC2" w:rsidRDefault="00FB1321" w:rsidP="0081712D">
            <w:pPr>
              <w:rPr>
                <w:rFonts w:eastAsia="Times New Roman"/>
                <w:bCs/>
                <w:color w:val="000000"/>
              </w:rPr>
            </w:pPr>
            <w:r w:rsidRPr="003C2BC2">
              <w:rPr>
                <w:color w:val="000000"/>
              </w:rPr>
              <w:lastRenderedPageBreak/>
              <w:t>13.</w:t>
            </w:r>
          </w:p>
        </w:tc>
        <w:tc>
          <w:tcPr>
            <w:tcW w:w="1990" w:type="dxa"/>
          </w:tcPr>
          <w:p w14:paraId="032D1551" w14:textId="4E1E07AC" w:rsidR="00377F6B" w:rsidRPr="003C2BC2" w:rsidRDefault="00377F6B" w:rsidP="001D6D6E">
            <w:pPr>
              <w:jc w:val="left"/>
              <w:rPr>
                <w:rFonts w:eastAsia="Times New Roman"/>
                <w:bCs/>
                <w:color w:val="000000"/>
              </w:rPr>
            </w:pPr>
            <w:r w:rsidRPr="003C2BC2">
              <w:rPr>
                <w:color w:val="000000"/>
              </w:rPr>
              <w:t>Article 1 Section 10(2), first and second sentences</w:t>
            </w:r>
          </w:p>
        </w:tc>
        <w:tc>
          <w:tcPr>
            <w:tcW w:w="4111" w:type="dxa"/>
          </w:tcPr>
          <w:p w14:paraId="73976A1D" w14:textId="77777777" w:rsidR="00377F6B" w:rsidRPr="003C2BC2" w:rsidRDefault="00377F6B" w:rsidP="0081712D">
            <w:pPr>
              <w:rPr>
                <w:rFonts w:eastAsia="Times New Roman"/>
                <w:bCs/>
                <w:color w:val="000000"/>
              </w:rPr>
            </w:pPr>
            <w:r w:rsidRPr="003C2BC2">
              <w:rPr>
                <w:color w:val="000000"/>
              </w:rPr>
              <w:t>Appointment of the representative</w:t>
            </w:r>
          </w:p>
        </w:tc>
        <w:tc>
          <w:tcPr>
            <w:tcW w:w="1559" w:type="dxa"/>
          </w:tcPr>
          <w:p w14:paraId="12CEC264" w14:textId="77777777" w:rsidR="00377F6B" w:rsidRPr="003C2BC2" w:rsidRDefault="00377F6B" w:rsidP="0081712D">
            <w:pPr>
              <w:rPr>
                <w:rFonts w:eastAsia="Times New Roman"/>
                <w:bCs/>
                <w:color w:val="000000"/>
              </w:rPr>
            </w:pPr>
            <w:r w:rsidRPr="003C2BC2">
              <w:rPr>
                <w:color w:val="000000"/>
              </w:rPr>
              <w:t>Businesses (IO)</w:t>
            </w:r>
          </w:p>
        </w:tc>
        <w:tc>
          <w:tcPr>
            <w:tcW w:w="1842" w:type="dxa"/>
          </w:tcPr>
          <w:p w14:paraId="21043771" w14:textId="77777777" w:rsidR="00377F6B" w:rsidRPr="003C2BC2" w:rsidRDefault="00377F6B" w:rsidP="0081712D">
            <w:pPr>
              <w:rPr>
                <w:rFonts w:eastAsia="Times New Roman"/>
                <w:bCs/>
                <w:color w:val="000000"/>
              </w:rPr>
            </w:pPr>
            <w:r w:rsidRPr="003C2BC2">
              <w:rPr>
                <w:color w:val="000000"/>
              </w:rPr>
              <w:t>Producers</w:t>
            </w:r>
          </w:p>
        </w:tc>
      </w:tr>
      <w:tr w:rsidR="00377F6B" w:rsidRPr="003C2BC2" w14:paraId="20EBBDB8" w14:textId="77777777" w:rsidTr="00650125">
        <w:tc>
          <w:tcPr>
            <w:tcW w:w="704" w:type="dxa"/>
          </w:tcPr>
          <w:p w14:paraId="71B7BDB7" w14:textId="36D96D1C" w:rsidR="00377F6B" w:rsidRPr="003C2BC2" w:rsidRDefault="00FB1321" w:rsidP="0081712D">
            <w:pPr>
              <w:rPr>
                <w:rFonts w:eastAsia="Times New Roman"/>
                <w:bCs/>
                <w:color w:val="000000"/>
              </w:rPr>
            </w:pPr>
            <w:r w:rsidRPr="003C2BC2">
              <w:rPr>
                <w:color w:val="000000"/>
              </w:rPr>
              <w:t>14.</w:t>
            </w:r>
          </w:p>
        </w:tc>
        <w:tc>
          <w:tcPr>
            <w:tcW w:w="1990" w:type="dxa"/>
          </w:tcPr>
          <w:p w14:paraId="30F60187" w14:textId="71193E5A" w:rsidR="00377F6B" w:rsidRPr="003C2BC2" w:rsidRDefault="00377F6B" w:rsidP="001D6D6E">
            <w:pPr>
              <w:jc w:val="left"/>
              <w:rPr>
                <w:rFonts w:eastAsia="Times New Roman"/>
                <w:bCs/>
                <w:color w:val="000000"/>
              </w:rPr>
            </w:pPr>
            <w:r w:rsidRPr="003C2BC2">
              <w:rPr>
                <w:color w:val="000000"/>
              </w:rPr>
              <w:t>Article 1 Section 10(2), third and fourth sentences</w:t>
            </w:r>
          </w:p>
        </w:tc>
        <w:tc>
          <w:tcPr>
            <w:tcW w:w="4111" w:type="dxa"/>
          </w:tcPr>
          <w:p w14:paraId="68A56F2F" w14:textId="77777777" w:rsidR="00377F6B" w:rsidRPr="003C2BC2" w:rsidRDefault="00377F6B" w:rsidP="0081712D">
            <w:pPr>
              <w:rPr>
                <w:rFonts w:eastAsia="Times New Roman"/>
                <w:bCs/>
                <w:color w:val="000000"/>
              </w:rPr>
            </w:pPr>
            <w:r w:rsidRPr="003C2BC2">
              <w:rPr>
                <w:color w:val="000000"/>
              </w:rPr>
              <w:t>Confirmation of appointment</w:t>
            </w:r>
          </w:p>
        </w:tc>
        <w:tc>
          <w:tcPr>
            <w:tcW w:w="1559" w:type="dxa"/>
          </w:tcPr>
          <w:p w14:paraId="2DA7416E"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0485ED42" w14:textId="77777777" w:rsidR="00377F6B" w:rsidRPr="003C2BC2" w:rsidRDefault="00377F6B" w:rsidP="0081712D">
            <w:pPr>
              <w:rPr>
                <w:rFonts w:eastAsia="Times New Roman"/>
                <w:bCs/>
                <w:color w:val="000000"/>
              </w:rPr>
            </w:pPr>
            <w:r w:rsidRPr="003C2BC2">
              <w:rPr>
                <w:color w:val="000000"/>
              </w:rPr>
              <w:t>FEA</w:t>
            </w:r>
          </w:p>
        </w:tc>
      </w:tr>
      <w:tr w:rsidR="00377F6B" w:rsidRPr="003C2BC2" w14:paraId="17D25EEA" w14:textId="77777777" w:rsidTr="00650125">
        <w:tc>
          <w:tcPr>
            <w:tcW w:w="704" w:type="dxa"/>
          </w:tcPr>
          <w:p w14:paraId="0ED9ECED" w14:textId="180C43C1" w:rsidR="00377F6B" w:rsidRPr="003C2BC2" w:rsidRDefault="00FB1321" w:rsidP="0081712D">
            <w:pPr>
              <w:rPr>
                <w:rFonts w:eastAsia="Times New Roman"/>
                <w:bCs/>
                <w:color w:val="000000"/>
              </w:rPr>
            </w:pPr>
            <w:r w:rsidRPr="003C2BC2">
              <w:rPr>
                <w:color w:val="000000"/>
              </w:rPr>
              <w:t>15.</w:t>
            </w:r>
          </w:p>
        </w:tc>
        <w:tc>
          <w:tcPr>
            <w:tcW w:w="1990" w:type="dxa"/>
          </w:tcPr>
          <w:p w14:paraId="5962F299" w14:textId="7079FFF9" w:rsidR="00377F6B" w:rsidRPr="003C2BC2" w:rsidRDefault="00377F6B" w:rsidP="001D6D6E">
            <w:pPr>
              <w:jc w:val="left"/>
              <w:rPr>
                <w:rFonts w:eastAsia="Times New Roman"/>
                <w:bCs/>
                <w:color w:val="000000"/>
              </w:rPr>
            </w:pPr>
            <w:r w:rsidRPr="003C2BC2">
              <w:rPr>
                <w:color w:val="000000"/>
              </w:rPr>
              <w:t>Article 1 Section 10(2), fifth sentence</w:t>
            </w:r>
          </w:p>
        </w:tc>
        <w:tc>
          <w:tcPr>
            <w:tcW w:w="4111" w:type="dxa"/>
          </w:tcPr>
          <w:p w14:paraId="4401C1C1" w14:textId="77777777" w:rsidR="00377F6B" w:rsidRPr="003C2BC2" w:rsidRDefault="00377F6B" w:rsidP="0081712D">
            <w:pPr>
              <w:rPr>
                <w:rFonts w:eastAsia="Times New Roman"/>
                <w:bCs/>
                <w:color w:val="000000"/>
              </w:rPr>
            </w:pPr>
            <w:r w:rsidRPr="003C2BC2">
              <w:rPr>
                <w:color w:val="000000"/>
              </w:rPr>
              <w:t>Notification of changes to appointment</w:t>
            </w:r>
          </w:p>
        </w:tc>
        <w:tc>
          <w:tcPr>
            <w:tcW w:w="1559" w:type="dxa"/>
          </w:tcPr>
          <w:p w14:paraId="1272F1B7" w14:textId="77777777" w:rsidR="00377F6B" w:rsidRPr="003C2BC2" w:rsidRDefault="00377F6B" w:rsidP="0081712D">
            <w:pPr>
              <w:rPr>
                <w:rFonts w:eastAsia="Times New Roman"/>
                <w:bCs/>
                <w:color w:val="000000"/>
              </w:rPr>
            </w:pPr>
            <w:r w:rsidRPr="003C2BC2">
              <w:rPr>
                <w:color w:val="000000"/>
              </w:rPr>
              <w:t>Businesses (IO)</w:t>
            </w:r>
          </w:p>
        </w:tc>
        <w:tc>
          <w:tcPr>
            <w:tcW w:w="1842" w:type="dxa"/>
          </w:tcPr>
          <w:p w14:paraId="5EAFC2D5" w14:textId="77777777" w:rsidR="00377F6B" w:rsidRPr="003C2BC2" w:rsidRDefault="00377F6B" w:rsidP="0081712D">
            <w:pPr>
              <w:rPr>
                <w:rFonts w:eastAsia="Times New Roman"/>
                <w:bCs/>
                <w:color w:val="000000"/>
              </w:rPr>
            </w:pPr>
            <w:r w:rsidRPr="003C2BC2">
              <w:rPr>
                <w:color w:val="000000"/>
              </w:rPr>
              <w:t>Producers</w:t>
            </w:r>
          </w:p>
        </w:tc>
      </w:tr>
      <w:tr w:rsidR="00377F6B" w:rsidRPr="003C2BC2" w14:paraId="2A1A360D" w14:textId="77777777" w:rsidTr="00650125">
        <w:tc>
          <w:tcPr>
            <w:tcW w:w="704" w:type="dxa"/>
          </w:tcPr>
          <w:p w14:paraId="7C90024F" w14:textId="38F8AD41" w:rsidR="00377F6B" w:rsidRPr="003C2BC2" w:rsidRDefault="00FB1321" w:rsidP="0081712D">
            <w:pPr>
              <w:rPr>
                <w:rFonts w:eastAsia="Times New Roman"/>
                <w:bCs/>
                <w:color w:val="000000"/>
              </w:rPr>
            </w:pPr>
            <w:r w:rsidRPr="003C2BC2">
              <w:rPr>
                <w:color w:val="000000"/>
              </w:rPr>
              <w:t>16.</w:t>
            </w:r>
          </w:p>
        </w:tc>
        <w:tc>
          <w:tcPr>
            <w:tcW w:w="1990" w:type="dxa"/>
          </w:tcPr>
          <w:p w14:paraId="3BB57F98" w14:textId="135DE846" w:rsidR="00377F6B" w:rsidRPr="003C2BC2" w:rsidRDefault="00377F6B" w:rsidP="001D6D6E">
            <w:pPr>
              <w:jc w:val="left"/>
              <w:rPr>
                <w:rFonts w:eastAsia="Times New Roman"/>
                <w:bCs/>
                <w:color w:val="000000"/>
              </w:rPr>
            </w:pPr>
            <w:r w:rsidRPr="003C2BC2">
              <w:rPr>
                <w:color w:val="000000"/>
              </w:rPr>
              <w:t>Article 1 Section 10(3), first sentence</w:t>
            </w:r>
          </w:p>
        </w:tc>
        <w:tc>
          <w:tcPr>
            <w:tcW w:w="4111" w:type="dxa"/>
          </w:tcPr>
          <w:p w14:paraId="3CECBD77" w14:textId="77777777" w:rsidR="00377F6B" w:rsidRPr="003C2BC2" w:rsidRDefault="00377F6B" w:rsidP="0081712D">
            <w:pPr>
              <w:rPr>
                <w:rFonts w:eastAsia="Times New Roman"/>
                <w:bCs/>
                <w:color w:val="000000"/>
              </w:rPr>
            </w:pPr>
            <w:r w:rsidRPr="003C2BC2">
              <w:rPr>
                <w:color w:val="000000"/>
              </w:rPr>
              <w:t>Notification of end of appointment</w:t>
            </w:r>
          </w:p>
        </w:tc>
        <w:tc>
          <w:tcPr>
            <w:tcW w:w="1559" w:type="dxa"/>
          </w:tcPr>
          <w:p w14:paraId="612D5080" w14:textId="77777777" w:rsidR="00377F6B" w:rsidRPr="003C2BC2" w:rsidRDefault="00377F6B" w:rsidP="0081712D">
            <w:pPr>
              <w:rPr>
                <w:rFonts w:eastAsia="Times New Roman"/>
                <w:bCs/>
                <w:color w:val="000000"/>
              </w:rPr>
            </w:pPr>
            <w:r w:rsidRPr="003C2BC2">
              <w:rPr>
                <w:color w:val="000000"/>
              </w:rPr>
              <w:t>Businesses (IO)</w:t>
            </w:r>
          </w:p>
        </w:tc>
        <w:tc>
          <w:tcPr>
            <w:tcW w:w="1842" w:type="dxa"/>
          </w:tcPr>
          <w:p w14:paraId="22762946" w14:textId="77777777" w:rsidR="00377F6B" w:rsidRPr="003C2BC2" w:rsidRDefault="00377F6B" w:rsidP="0081712D">
            <w:pPr>
              <w:rPr>
                <w:rFonts w:eastAsia="Times New Roman"/>
                <w:bCs/>
                <w:color w:val="000000"/>
              </w:rPr>
            </w:pPr>
            <w:r w:rsidRPr="003C2BC2">
              <w:rPr>
                <w:color w:val="000000"/>
              </w:rPr>
              <w:t>Producers</w:t>
            </w:r>
          </w:p>
        </w:tc>
      </w:tr>
      <w:tr w:rsidR="00377F6B" w:rsidRPr="003C2BC2" w14:paraId="7D79AE29" w14:textId="77777777" w:rsidTr="00650125">
        <w:tc>
          <w:tcPr>
            <w:tcW w:w="704" w:type="dxa"/>
          </w:tcPr>
          <w:p w14:paraId="4A985F79" w14:textId="2C8D00C5" w:rsidR="00377F6B" w:rsidRPr="003C2BC2" w:rsidRDefault="00FB1321" w:rsidP="0081712D">
            <w:pPr>
              <w:rPr>
                <w:rFonts w:eastAsia="Times New Roman"/>
                <w:bCs/>
                <w:color w:val="000000"/>
              </w:rPr>
            </w:pPr>
            <w:r w:rsidRPr="003C2BC2">
              <w:rPr>
                <w:color w:val="000000"/>
              </w:rPr>
              <w:t>17.</w:t>
            </w:r>
          </w:p>
        </w:tc>
        <w:tc>
          <w:tcPr>
            <w:tcW w:w="1990" w:type="dxa"/>
          </w:tcPr>
          <w:p w14:paraId="52937B20" w14:textId="14A47FCD" w:rsidR="00377F6B" w:rsidRPr="003C2BC2" w:rsidRDefault="00377F6B" w:rsidP="001D6D6E">
            <w:pPr>
              <w:jc w:val="left"/>
              <w:rPr>
                <w:rFonts w:eastAsia="Times New Roman"/>
                <w:bCs/>
                <w:color w:val="000000"/>
              </w:rPr>
            </w:pPr>
            <w:r w:rsidRPr="003C2BC2">
              <w:rPr>
                <w:color w:val="000000"/>
              </w:rPr>
              <w:t xml:space="preserve">Article 1 Section 10(3), second sentence </w:t>
            </w:r>
          </w:p>
        </w:tc>
        <w:tc>
          <w:tcPr>
            <w:tcW w:w="4111" w:type="dxa"/>
          </w:tcPr>
          <w:p w14:paraId="7EE7501D" w14:textId="77777777" w:rsidR="00377F6B" w:rsidRPr="003C2BC2" w:rsidRDefault="00377F6B" w:rsidP="0081712D">
            <w:pPr>
              <w:rPr>
                <w:rFonts w:eastAsia="Times New Roman"/>
                <w:bCs/>
                <w:color w:val="000000"/>
              </w:rPr>
            </w:pPr>
            <w:r w:rsidRPr="003C2BC2">
              <w:rPr>
                <w:color w:val="000000"/>
              </w:rPr>
              <w:t>Confirmation of end of appointment</w:t>
            </w:r>
          </w:p>
        </w:tc>
        <w:tc>
          <w:tcPr>
            <w:tcW w:w="1559" w:type="dxa"/>
          </w:tcPr>
          <w:p w14:paraId="0AF97268"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1EA6BBA7" w14:textId="77777777" w:rsidR="00377F6B" w:rsidRPr="003C2BC2" w:rsidRDefault="00377F6B" w:rsidP="0081712D">
            <w:pPr>
              <w:rPr>
                <w:rFonts w:eastAsia="Times New Roman"/>
                <w:bCs/>
                <w:color w:val="000000"/>
              </w:rPr>
            </w:pPr>
            <w:r w:rsidRPr="003C2BC2">
              <w:rPr>
                <w:color w:val="000000"/>
              </w:rPr>
              <w:t>FEA</w:t>
            </w:r>
          </w:p>
        </w:tc>
      </w:tr>
      <w:tr w:rsidR="00377F6B" w:rsidRPr="003C2BC2" w14:paraId="5F6ABE93" w14:textId="77777777" w:rsidTr="00650125">
        <w:tc>
          <w:tcPr>
            <w:tcW w:w="704" w:type="dxa"/>
          </w:tcPr>
          <w:p w14:paraId="401B5973" w14:textId="2DF4D31B" w:rsidR="00377F6B" w:rsidRPr="003C2BC2" w:rsidRDefault="00FB1321" w:rsidP="0081712D">
            <w:pPr>
              <w:rPr>
                <w:rFonts w:eastAsia="Times New Roman"/>
                <w:bCs/>
                <w:color w:val="000000"/>
              </w:rPr>
            </w:pPr>
            <w:r w:rsidRPr="003C2BC2">
              <w:rPr>
                <w:color w:val="000000"/>
              </w:rPr>
              <w:t>18.</w:t>
            </w:r>
          </w:p>
        </w:tc>
        <w:tc>
          <w:tcPr>
            <w:tcW w:w="1990" w:type="dxa"/>
          </w:tcPr>
          <w:p w14:paraId="744362AC" w14:textId="05C7A20F" w:rsidR="00377F6B" w:rsidRPr="003C2BC2" w:rsidRDefault="00377F6B" w:rsidP="001D6D6E">
            <w:pPr>
              <w:jc w:val="left"/>
              <w:rPr>
                <w:rFonts w:eastAsia="Times New Roman"/>
                <w:bCs/>
                <w:color w:val="000000"/>
              </w:rPr>
            </w:pPr>
            <w:r w:rsidRPr="003C2BC2">
              <w:rPr>
                <w:color w:val="000000"/>
              </w:rPr>
              <w:t>Article 1 Section 10(3), third sentence</w:t>
            </w:r>
          </w:p>
        </w:tc>
        <w:tc>
          <w:tcPr>
            <w:tcW w:w="4111" w:type="dxa"/>
          </w:tcPr>
          <w:p w14:paraId="582D4EC7" w14:textId="77777777" w:rsidR="00377F6B" w:rsidRPr="003C2BC2" w:rsidRDefault="00377F6B" w:rsidP="0081712D">
            <w:pPr>
              <w:rPr>
                <w:rFonts w:eastAsia="Times New Roman"/>
                <w:bCs/>
                <w:color w:val="000000"/>
              </w:rPr>
            </w:pPr>
            <w:r w:rsidRPr="003C2BC2">
              <w:rPr>
                <w:color w:val="000000"/>
              </w:rPr>
              <w:t>Provision of information to business partners</w:t>
            </w:r>
          </w:p>
        </w:tc>
        <w:tc>
          <w:tcPr>
            <w:tcW w:w="1559" w:type="dxa"/>
          </w:tcPr>
          <w:p w14:paraId="5D341084" w14:textId="77777777" w:rsidR="00377F6B" w:rsidRPr="003C2BC2" w:rsidRDefault="00377F6B" w:rsidP="0081712D">
            <w:pPr>
              <w:rPr>
                <w:rFonts w:eastAsia="Times New Roman"/>
                <w:bCs/>
                <w:color w:val="000000"/>
              </w:rPr>
            </w:pPr>
            <w:r w:rsidRPr="003C2BC2">
              <w:rPr>
                <w:color w:val="000000"/>
              </w:rPr>
              <w:t>Businesses (IO)</w:t>
            </w:r>
          </w:p>
        </w:tc>
        <w:tc>
          <w:tcPr>
            <w:tcW w:w="1842" w:type="dxa"/>
          </w:tcPr>
          <w:p w14:paraId="316A8B32" w14:textId="77777777" w:rsidR="00377F6B" w:rsidRPr="003C2BC2" w:rsidRDefault="00377F6B" w:rsidP="0081712D">
            <w:pPr>
              <w:rPr>
                <w:rFonts w:eastAsia="Times New Roman"/>
                <w:bCs/>
                <w:color w:val="000000"/>
              </w:rPr>
            </w:pPr>
            <w:r w:rsidRPr="003C2BC2">
              <w:rPr>
                <w:color w:val="000000"/>
              </w:rPr>
              <w:t>Producers</w:t>
            </w:r>
          </w:p>
        </w:tc>
      </w:tr>
      <w:tr w:rsidR="00377F6B" w:rsidRPr="003C2BC2" w14:paraId="0F0B24FE" w14:textId="77777777" w:rsidTr="00650125">
        <w:tc>
          <w:tcPr>
            <w:tcW w:w="704" w:type="dxa"/>
          </w:tcPr>
          <w:p w14:paraId="1D1DFD33" w14:textId="17F72A7D" w:rsidR="00377F6B" w:rsidRPr="003C2BC2" w:rsidRDefault="00FB1321" w:rsidP="0081712D">
            <w:pPr>
              <w:rPr>
                <w:rFonts w:eastAsia="Times New Roman"/>
                <w:bCs/>
                <w:color w:val="000000"/>
              </w:rPr>
            </w:pPr>
            <w:r w:rsidRPr="003C2BC2">
              <w:rPr>
                <w:color w:val="000000"/>
              </w:rPr>
              <w:t>19.</w:t>
            </w:r>
          </w:p>
        </w:tc>
        <w:tc>
          <w:tcPr>
            <w:tcW w:w="1990" w:type="dxa"/>
          </w:tcPr>
          <w:p w14:paraId="2287414E" w14:textId="56A0D0F8" w:rsidR="00377F6B" w:rsidRPr="003C2BC2" w:rsidRDefault="00377F6B" w:rsidP="001D6D6E">
            <w:pPr>
              <w:jc w:val="left"/>
              <w:rPr>
                <w:rFonts w:eastAsia="Times New Roman"/>
                <w:bCs/>
                <w:color w:val="000000"/>
              </w:rPr>
            </w:pPr>
            <w:r w:rsidRPr="003C2BC2">
              <w:rPr>
                <w:color w:val="000000"/>
              </w:rPr>
              <w:t>Article 1 Section 10(4)</w:t>
            </w:r>
          </w:p>
        </w:tc>
        <w:tc>
          <w:tcPr>
            <w:tcW w:w="4111" w:type="dxa"/>
          </w:tcPr>
          <w:p w14:paraId="39E11485" w14:textId="77777777" w:rsidR="00377F6B" w:rsidRPr="003C2BC2" w:rsidRDefault="00377F6B" w:rsidP="0081712D">
            <w:pPr>
              <w:rPr>
                <w:rFonts w:eastAsia="Times New Roman"/>
                <w:bCs/>
                <w:color w:val="000000"/>
              </w:rPr>
            </w:pPr>
            <w:r w:rsidRPr="003C2BC2">
              <w:rPr>
                <w:color w:val="000000"/>
              </w:rPr>
              <w:t>Appointment of authorised representatives by domestic producers abroad</w:t>
            </w:r>
          </w:p>
        </w:tc>
        <w:tc>
          <w:tcPr>
            <w:tcW w:w="1559" w:type="dxa"/>
          </w:tcPr>
          <w:p w14:paraId="0ADCFB3A" w14:textId="77777777" w:rsidR="00377F6B" w:rsidRPr="003C2BC2" w:rsidRDefault="00377F6B" w:rsidP="0081712D">
            <w:pPr>
              <w:rPr>
                <w:rFonts w:eastAsia="Times New Roman"/>
                <w:bCs/>
                <w:color w:val="000000"/>
              </w:rPr>
            </w:pPr>
            <w:r w:rsidRPr="003C2BC2">
              <w:rPr>
                <w:color w:val="000000"/>
              </w:rPr>
              <w:t>Businesses</w:t>
            </w:r>
          </w:p>
        </w:tc>
        <w:tc>
          <w:tcPr>
            <w:tcW w:w="1842" w:type="dxa"/>
          </w:tcPr>
          <w:p w14:paraId="5A9E896E" w14:textId="77777777" w:rsidR="00377F6B" w:rsidRPr="003C2BC2" w:rsidRDefault="00377F6B" w:rsidP="0081712D">
            <w:pPr>
              <w:rPr>
                <w:rFonts w:eastAsia="Times New Roman"/>
                <w:bCs/>
                <w:color w:val="000000"/>
              </w:rPr>
            </w:pPr>
            <w:r w:rsidRPr="003C2BC2">
              <w:rPr>
                <w:color w:val="000000"/>
              </w:rPr>
              <w:t>Producers</w:t>
            </w:r>
          </w:p>
        </w:tc>
      </w:tr>
      <w:tr w:rsidR="00377F6B" w:rsidRPr="003C2BC2" w14:paraId="55364B45" w14:textId="77777777" w:rsidTr="00650125">
        <w:tc>
          <w:tcPr>
            <w:tcW w:w="704" w:type="dxa"/>
          </w:tcPr>
          <w:p w14:paraId="3996EA8F" w14:textId="0B83AFE0" w:rsidR="00377F6B" w:rsidRPr="003C2BC2" w:rsidRDefault="00FB1321" w:rsidP="0081712D">
            <w:pPr>
              <w:rPr>
                <w:rFonts w:eastAsia="Times New Roman"/>
                <w:bCs/>
                <w:color w:val="000000"/>
              </w:rPr>
            </w:pPr>
            <w:r w:rsidRPr="003C2BC2">
              <w:rPr>
                <w:color w:val="000000"/>
              </w:rPr>
              <w:t>20.</w:t>
            </w:r>
          </w:p>
        </w:tc>
        <w:tc>
          <w:tcPr>
            <w:tcW w:w="1990" w:type="dxa"/>
          </w:tcPr>
          <w:p w14:paraId="6DB131F5" w14:textId="5A0DC20D" w:rsidR="00377F6B" w:rsidRPr="003C2BC2" w:rsidRDefault="00377F6B" w:rsidP="001D6D6E">
            <w:pPr>
              <w:jc w:val="left"/>
              <w:rPr>
                <w:rFonts w:eastAsia="Times New Roman"/>
                <w:bCs/>
                <w:color w:val="000000"/>
              </w:rPr>
            </w:pPr>
            <w:r w:rsidRPr="003C2BC2">
              <w:rPr>
                <w:color w:val="000000"/>
              </w:rPr>
              <w:t>Article 1 Section 11(1), first sentence</w:t>
            </w:r>
          </w:p>
        </w:tc>
        <w:tc>
          <w:tcPr>
            <w:tcW w:w="4111" w:type="dxa"/>
          </w:tcPr>
          <w:p w14:paraId="41D6852E" w14:textId="77777777" w:rsidR="00377F6B" w:rsidRPr="003C2BC2" w:rsidRDefault="00377F6B" w:rsidP="0081712D">
            <w:pPr>
              <w:rPr>
                <w:rFonts w:eastAsia="Times New Roman"/>
                <w:bCs/>
                <w:color w:val="000000"/>
              </w:rPr>
            </w:pPr>
            <w:r w:rsidRPr="003C2BC2">
              <w:rPr>
                <w:color w:val="000000"/>
              </w:rPr>
              <w:t>Annual notification by producers</w:t>
            </w:r>
          </w:p>
        </w:tc>
        <w:tc>
          <w:tcPr>
            <w:tcW w:w="1559" w:type="dxa"/>
          </w:tcPr>
          <w:p w14:paraId="5DC0153E" w14:textId="77777777" w:rsidR="00377F6B" w:rsidRPr="003C2BC2" w:rsidRDefault="00377F6B" w:rsidP="0081712D">
            <w:pPr>
              <w:rPr>
                <w:rFonts w:eastAsia="Times New Roman"/>
                <w:bCs/>
                <w:color w:val="000000"/>
              </w:rPr>
            </w:pPr>
            <w:r w:rsidRPr="003C2BC2">
              <w:rPr>
                <w:color w:val="000000"/>
              </w:rPr>
              <w:t>Businesses (IO)</w:t>
            </w:r>
          </w:p>
        </w:tc>
        <w:tc>
          <w:tcPr>
            <w:tcW w:w="1842" w:type="dxa"/>
          </w:tcPr>
          <w:p w14:paraId="2CFBDC11" w14:textId="77777777" w:rsidR="00377F6B" w:rsidRPr="003C2BC2" w:rsidRDefault="00377F6B" w:rsidP="0081712D">
            <w:pPr>
              <w:rPr>
                <w:rFonts w:eastAsia="Times New Roman"/>
                <w:bCs/>
                <w:color w:val="000000"/>
              </w:rPr>
            </w:pPr>
            <w:r w:rsidRPr="003C2BC2">
              <w:rPr>
                <w:color w:val="000000"/>
              </w:rPr>
              <w:t>Producers</w:t>
            </w:r>
          </w:p>
        </w:tc>
      </w:tr>
      <w:tr w:rsidR="00377F6B" w:rsidRPr="003C2BC2" w14:paraId="278CBCBD" w14:textId="77777777" w:rsidTr="00650125">
        <w:tc>
          <w:tcPr>
            <w:tcW w:w="704" w:type="dxa"/>
          </w:tcPr>
          <w:p w14:paraId="1EF280C4" w14:textId="330A0A2F" w:rsidR="00377F6B" w:rsidRPr="003C2BC2" w:rsidRDefault="00FB1321" w:rsidP="0081712D">
            <w:pPr>
              <w:rPr>
                <w:rFonts w:eastAsia="Times New Roman"/>
                <w:bCs/>
                <w:color w:val="000000"/>
              </w:rPr>
            </w:pPr>
            <w:r w:rsidRPr="003C2BC2">
              <w:rPr>
                <w:color w:val="000000"/>
              </w:rPr>
              <w:t>21.</w:t>
            </w:r>
          </w:p>
        </w:tc>
        <w:tc>
          <w:tcPr>
            <w:tcW w:w="1990" w:type="dxa"/>
          </w:tcPr>
          <w:p w14:paraId="5842ABDB" w14:textId="5CDA4F40" w:rsidR="00377F6B" w:rsidRPr="003C2BC2" w:rsidRDefault="00377F6B" w:rsidP="001D6D6E">
            <w:pPr>
              <w:jc w:val="left"/>
              <w:rPr>
                <w:rFonts w:eastAsia="Times New Roman"/>
                <w:bCs/>
                <w:color w:val="000000"/>
              </w:rPr>
            </w:pPr>
            <w:r w:rsidRPr="003C2BC2">
              <w:rPr>
                <w:color w:val="000000"/>
              </w:rPr>
              <w:t>Article 1 Section 11(1), second and third sentences, in conjunction with paragraph (4)</w:t>
            </w:r>
          </w:p>
        </w:tc>
        <w:tc>
          <w:tcPr>
            <w:tcW w:w="4111" w:type="dxa"/>
          </w:tcPr>
          <w:p w14:paraId="10C7C36F" w14:textId="77777777" w:rsidR="00377F6B" w:rsidRPr="003C2BC2" w:rsidRDefault="00377F6B" w:rsidP="0081712D">
            <w:pPr>
              <w:rPr>
                <w:rFonts w:eastAsia="Times New Roman"/>
                <w:bCs/>
                <w:color w:val="000000"/>
              </w:rPr>
            </w:pPr>
            <w:r w:rsidRPr="003C2BC2">
              <w:rPr>
                <w:color w:val="000000"/>
              </w:rPr>
              <w:t>Verification and confirmation by experts</w:t>
            </w:r>
          </w:p>
        </w:tc>
        <w:tc>
          <w:tcPr>
            <w:tcW w:w="1559" w:type="dxa"/>
          </w:tcPr>
          <w:p w14:paraId="5AA128C1" w14:textId="77777777" w:rsidR="00377F6B" w:rsidRPr="003C2BC2" w:rsidRDefault="00377F6B" w:rsidP="0081712D">
            <w:pPr>
              <w:rPr>
                <w:rFonts w:eastAsia="Times New Roman"/>
                <w:bCs/>
                <w:color w:val="000000"/>
              </w:rPr>
            </w:pPr>
            <w:r w:rsidRPr="003C2BC2">
              <w:rPr>
                <w:color w:val="000000"/>
              </w:rPr>
              <w:t>Businesses (IO)</w:t>
            </w:r>
          </w:p>
        </w:tc>
        <w:tc>
          <w:tcPr>
            <w:tcW w:w="1842" w:type="dxa"/>
          </w:tcPr>
          <w:p w14:paraId="73A54D20" w14:textId="77777777" w:rsidR="00377F6B" w:rsidRPr="003C2BC2" w:rsidRDefault="00377F6B" w:rsidP="0081712D">
            <w:pPr>
              <w:rPr>
                <w:rFonts w:eastAsia="Times New Roman"/>
                <w:bCs/>
                <w:color w:val="000000"/>
              </w:rPr>
            </w:pPr>
            <w:r w:rsidRPr="003C2BC2">
              <w:rPr>
                <w:color w:val="000000"/>
              </w:rPr>
              <w:t>Producers</w:t>
            </w:r>
          </w:p>
        </w:tc>
      </w:tr>
      <w:tr w:rsidR="00377F6B" w:rsidRPr="003C2BC2" w14:paraId="7647B32C" w14:textId="77777777" w:rsidTr="00650125">
        <w:trPr>
          <w:trHeight w:val="866"/>
        </w:trPr>
        <w:tc>
          <w:tcPr>
            <w:tcW w:w="704" w:type="dxa"/>
          </w:tcPr>
          <w:p w14:paraId="5D3158BA" w14:textId="391DE8DD" w:rsidR="00377F6B" w:rsidRPr="003C2BC2" w:rsidRDefault="00FB1321" w:rsidP="0081712D">
            <w:pPr>
              <w:rPr>
                <w:rFonts w:eastAsia="Times New Roman"/>
                <w:bCs/>
                <w:color w:val="000000"/>
              </w:rPr>
            </w:pPr>
            <w:r w:rsidRPr="003C2BC2">
              <w:rPr>
                <w:color w:val="000000"/>
              </w:rPr>
              <w:t>22.</w:t>
            </w:r>
          </w:p>
        </w:tc>
        <w:tc>
          <w:tcPr>
            <w:tcW w:w="1990" w:type="dxa"/>
          </w:tcPr>
          <w:p w14:paraId="4925CF01" w14:textId="3E1F44FC" w:rsidR="00377F6B" w:rsidRPr="003C2BC2" w:rsidRDefault="00377F6B" w:rsidP="001D6D6E">
            <w:pPr>
              <w:jc w:val="left"/>
              <w:rPr>
                <w:rFonts w:eastAsia="Times New Roman"/>
                <w:bCs/>
                <w:color w:val="000000"/>
              </w:rPr>
            </w:pPr>
            <w:r w:rsidRPr="003C2BC2">
              <w:rPr>
                <w:color w:val="000000"/>
              </w:rPr>
              <w:t>Article 1 Section 11(2), first sentence</w:t>
            </w:r>
          </w:p>
        </w:tc>
        <w:tc>
          <w:tcPr>
            <w:tcW w:w="4111" w:type="dxa"/>
          </w:tcPr>
          <w:p w14:paraId="4A8347BB" w14:textId="77777777" w:rsidR="00377F6B" w:rsidRPr="003C2BC2" w:rsidRDefault="00377F6B" w:rsidP="0081712D">
            <w:pPr>
              <w:rPr>
                <w:rFonts w:eastAsia="Times New Roman"/>
                <w:bCs/>
                <w:color w:val="000000"/>
              </w:rPr>
            </w:pPr>
            <w:r w:rsidRPr="003C2BC2">
              <w:rPr>
                <w:color w:val="000000"/>
              </w:rPr>
              <w:t>Establishment and operation of the online portal</w:t>
            </w:r>
          </w:p>
        </w:tc>
        <w:tc>
          <w:tcPr>
            <w:tcW w:w="1559" w:type="dxa"/>
          </w:tcPr>
          <w:p w14:paraId="2963C021" w14:textId="77777777" w:rsidR="00377F6B" w:rsidRPr="003C2BC2" w:rsidRDefault="00377F6B" w:rsidP="0081712D">
            <w:pPr>
              <w:rPr>
                <w:rFonts w:eastAsia="Times New Roman"/>
                <w:bCs/>
                <w:color w:val="000000"/>
              </w:rPr>
            </w:pPr>
            <w:r w:rsidRPr="003C2BC2">
              <w:rPr>
                <w:color w:val="000000"/>
              </w:rPr>
              <w:t>Authorities</w:t>
            </w:r>
          </w:p>
        </w:tc>
        <w:tc>
          <w:tcPr>
            <w:tcW w:w="1842" w:type="dxa"/>
          </w:tcPr>
          <w:p w14:paraId="72CE7ABE" w14:textId="77777777" w:rsidR="00377F6B" w:rsidRPr="003C2BC2" w:rsidRDefault="00377F6B" w:rsidP="0081712D">
            <w:pPr>
              <w:rPr>
                <w:rFonts w:eastAsia="Times New Roman"/>
                <w:bCs/>
                <w:color w:val="000000"/>
              </w:rPr>
            </w:pPr>
            <w:r w:rsidRPr="003C2BC2">
              <w:rPr>
                <w:color w:val="000000"/>
              </w:rPr>
              <w:t>FEA</w:t>
            </w:r>
          </w:p>
        </w:tc>
      </w:tr>
      <w:tr w:rsidR="00377F6B" w:rsidRPr="003C2BC2" w14:paraId="1D7F6C83" w14:textId="77777777" w:rsidTr="00650125">
        <w:tc>
          <w:tcPr>
            <w:tcW w:w="704" w:type="dxa"/>
          </w:tcPr>
          <w:p w14:paraId="37B18B68" w14:textId="0EA4C2A5" w:rsidR="00377F6B" w:rsidRPr="003C2BC2" w:rsidRDefault="00FB1321" w:rsidP="0081712D">
            <w:pPr>
              <w:rPr>
                <w:rFonts w:eastAsia="Times New Roman"/>
                <w:bCs/>
                <w:color w:val="000000"/>
              </w:rPr>
            </w:pPr>
            <w:r w:rsidRPr="003C2BC2">
              <w:rPr>
                <w:color w:val="000000"/>
              </w:rPr>
              <w:t>23.</w:t>
            </w:r>
          </w:p>
        </w:tc>
        <w:tc>
          <w:tcPr>
            <w:tcW w:w="1990" w:type="dxa"/>
          </w:tcPr>
          <w:p w14:paraId="313DE854" w14:textId="50A63F41" w:rsidR="00377F6B" w:rsidRPr="003C2BC2" w:rsidRDefault="00377F6B" w:rsidP="001D6D6E">
            <w:pPr>
              <w:jc w:val="left"/>
              <w:rPr>
                <w:rFonts w:eastAsia="Times New Roman"/>
                <w:bCs/>
                <w:color w:val="000000"/>
              </w:rPr>
            </w:pPr>
            <w:r w:rsidRPr="003C2BC2">
              <w:rPr>
                <w:color w:val="000000"/>
              </w:rPr>
              <w:t xml:space="preserve">Article 1 Section 11(2), second sentence </w:t>
            </w:r>
          </w:p>
        </w:tc>
        <w:tc>
          <w:tcPr>
            <w:tcW w:w="4111" w:type="dxa"/>
          </w:tcPr>
          <w:p w14:paraId="2F06A64C" w14:textId="77777777" w:rsidR="00377F6B" w:rsidRPr="003C2BC2" w:rsidRDefault="00377F6B" w:rsidP="0081712D">
            <w:pPr>
              <w:rPr>
                <w:rFonts w:eastAsia="Times New Roman"/>
                <w:bCs/>
                <w:color w:val="000000"/>
              </w:rPr>
            </w:pPr>
            <w:r w:rsidRPr="003C2BC2">
              <w:rPr>
                <w:color w:val="000000"/>
              </w:rPr>
              <w:t>Publication online of data on single-use plastic products made available on the market for the first time</w:t>
            </w:r>
          </w:p>
        </w:tc>
        <w:tc>
          <w:tcPr>
            <w:tcW w:w="1559" w:type="dxa"/>
          </w:tcPr>
          <w:p w14:paraId="2D268BE6"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3AD1CBAD" w14:textId="77777777" w:rsidR="00377F6B" w:rsidRPr="003C2BC2" w:rsidRDefault="00377F6B" w:rsidP="0081712D">
            <w:pPr>
              <w:rPr>
                <w:rFonts w:eastAsia="Times New Roman"/>
                <w:bCs/>
                <w:color w:val="000000"/>
              </w:rPr>
            </w:pPr>
            <w:r w:rsidRPr="003C2BC2">
              <w:rPr>
                <w:color w:val="000000"/>
              </w:rPr>
              <w:t>FEA</w:t>
            </w:r>
          </w:p>
        </w:tc>
      </w:tr>
      <w:tr w:rsidR="00377F6B" w:rsidRPr="003C2BC2" w14:paraId="5319E289" w14:textId="77777777" w:rsidTr="00650125">
        <w:tc>
          <w:tcPr>
            <w:tcW w:w="704" w:type="dxa"/>
          </w:tcPr>
          <w:p w14:paraId="3C72AE10" w14:textId="6D393902" w:rsidR="00377F6B" w:rsidRPr="003C2BC2" w:rsidRDefault="00FB1321" w:rsidP="0081712D">
            <w:pPr>
              <w:rPr>
                <w:rFonts w:eastAsia="Times New Roman"/>
                <w:bCs/>
                <w:color w:val="000000"/>
              </w:rPr>
            </w:pPr>
            <w:r w:rsidRPr="003C2BC2">
              <w:rPr>
                <w:color w:val="000000"/>
              </w:rPr>
              <w:t>24.</w:t>
            </w:r>
          </w:p>
        </w:tc>
        <w:tc>
          <w:tcPr>
            <w:tcW w:w="1990" w:type="dxa"/>
          </w:tcPr>
          <w:p w14:paraId="168C78CD" w14:textId="14D573F0" w:rsidR="00377F6B" w:rsidRPr="003C2BC2" w:rsidRDefault="00377F6B" w:rsidP="001D6D6E">
            <w:pPr>
              <w:jc w:val="left"/>
              <w:rPr>
                <w:rFonts w:eastAsia="Times New Roman"/>
                <w:bCs/>
                <w:color w:val="000000"/>
              </w:rPr>
            </w:pPr>
            <w:r w:rsidRPr="003C2BC2">
              <w:rPr>
                <w:color w:val="000000"/>
              </w:rPr>
              <w:t>Article 1 Section 11(3)</w:t>
            </w:r>
          </w:p>
        </w:tc>
        <w:tc>
          <w:tcPr>
            <w:tcW w:w="4111" w:type="dxa"/>
          </w:tcPr>
          <w:p w14:paraId="260313E9" w14:textId="77777777" w:rsidR="00377F6B" w:rsidRPr="003C2BC2" w:rsidRDefault="00377F6B" w:rsidP="0081712D">
            <w:pPr>
              <w:rPr>
                <w:rFonts w:eastAsia="Times New Roman"/>
                <w:bCs/>
                <w:color w:val="000000"/>
              </w:rPr>
            </w:pPr>
            <w:r w:rsidRPr="003C2BC2">
              <w:rPr>
                <w:color w:val="000000"/>
              </w:rPr>
              <w:t>Request for further documents</w:t>
            </w:r>
          </w:p>
        </w:tc>
        <w:tc>
          <w:tcPr>
            <w:tcW w:w="1559" w:type="dxa"/>
          </w:tcPr>
          <w:p w14:paraId="5F1F9767"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5A002860" w14:textId="77777777" w:rsidR="00377F6B" w:rsidRPr="003C2BC2" w:rsidRDefault="00377F6B" w:rsidP="0081712D">
            <w:pPr>
              <w:rPr>
                <w:rFonts w:eastAsia="Times New Roman"/>
                <w:bCs/>
                <w:color w:val="000000"/>
              </w:rPr>
            </w:pPr>
            <w:r w:rsidRPr="003C2BC2">
              <w:rPr>
                <w:color w:val="000000"/>
              </w:rPr>
              <w:t>FEA</w:t>
            </w:r>
          </w:p>
        </w:tc>
      </w:tr>
      <w:tr w:rsidR="00377F6B" w:rsidRPr="003C2BC2" w14:paraId="1A848B77" w14:textId="77777777" w:rsidTr="00650125">
        <w:tc>
          <w:tcPr>
            <w:tcW w:w="704" w:type="dxa"/>
          </w:tcPr>
          <w:p w14:paraId="23147EAF" w14:textId="232F29E7" w:rsidR="00377F6B" w:rsidRPr="003C2BC2" w:rsidRDefault="00FB1321" w:rsidP="0081712D">
            <w:pPr>
              <w:rPr>
                <w:rFonts w:eastAsia="Times New Roman"/>
                <w:bCs/>
                <w:color w:val="000000"/>
              </w:rPr>
            </w:pPr>
            <w:r w:rsidRPr="003C2BC2">
              <w:rPr>
                <w:color w:val="000000"/>
              </w:rPr>
              <w:t>25.</w:t>
            </w:r>
          </w:p>
        </w:tc>
        <w:tc>
          <w:tcPr>
            <w:tcW w:w="1990" w:type="dxa"/>
          </w:tcPr>
          <w:p w14:paraId="644CBC0A" w14:textId="5BCD7110" w:rsidR="00377F6B" w:rsidRPr="003C2BC2" w:rsidRDefault="00377F6B" w:rsidP="001D6D6E">
            <w:pPr>
              <w:jc w:val="left"/>
              <w:rPr>
                <w:rFonts w:eastAsia="Times New Roman"/>
                <w:bCs/>
                <w:color w:val="000000"/>
              </w:rPr>
            </w:pPr>
            <w:r w:rsidRPr="003C2BC2">
              <w:rPr>
                <w:color w:val="000000"/>
              </w:rPr>
              <w:t>Article 1 Section 11(3)</w:t>
            </w:r>
          </w:p>
        </w:tc>
        <w:tc>
          <w:tcPr>
            <w:tcW w:w="4111" w:type="dxa"/>
          </w:tcPr>
          <w:p w14:paraId="6ED6BBDF" w14:textId="77777777" w:rsidR="00377F6B" w:rsidRPr="003C2BC2" w:rsidRDefault="00377F6B" w:rsidP="0081712D">
            <w:pPr>
              <w:rPr>
                <w:rFonts w:eastAsia="Times New Roman"/>
                <w:bCs/>
                <w:color w:val="000000"/>
              </w:rPr>
            </w:pPr>
            <w:r w:rsidRPr="003C2BC2">
              <w:rPr>
                <w:color w:val="000000"/>
              </w:rPr>
              <w:t>Submission of further documents</w:t>
            </w:r>
          </w:p>
        </w:tc>
        <w:tc>
          <w:tcPr>
            <w:tcW w:w="1559" w:type="dxa"/>
          </w:tcPr>
          <w:p w14:paraId="3EF25DF6" w14:textId="77777777" w:rsidR="00377F6B" w:rsidRPr="003C2BC2" w:rsidRDefault="00377F6B" w:rsidP="0081712D">
            <w:pPr>
              <w:rPr>
                <w:rFonts w:eastAsia="Times New Roman"/>
                <w:bCs/>
                <w:color w:val="000000"/>
              </w:rPr>
            </w:pPr>
            <w:r w:rsidRPr="003C2BC2">
              <w:rPr>
                <w:color w:val="000000"/>
              </w:rPr>
              <w:t>Businesses (IO)</w:t>
            </w:r>
          </w:p>
        </w:tc>
        <w:tc>
          <w:tcPr>
            <w:tcW w:w="1842" w:type="dxa"/>
          </w:tcPr>
          <w:p w14:paraId="730B7B42" w14:textId="77777777" w:rsidR="00377F6B" w:rsidRPr="003C2BC2" w:rsidRDefault="00377F6B" w:rsidP="0081712D">
            <w:pPr>
              <w:rPr>
                <w:rFonts w:eastAsia="Times New Roman"/>
                <w:bCs/>
                <w:color w:val="000000"/>
              </w:rPr>
            </w:pPr>
            <w:r w:rsidRPr="003C2BC2">
              <w:rPr>
                <w:color w:val="000000"/>
              </w:rPr>
              <w:t>Producers</w:t>
            </w:r>
          </w:p>
        </w:tc>
      </w:tr>
      <w:tr w:rsidR="00231454" w:rsidRPr="003C2BC2" w14:paraId="13288485" w14:textId="77777777" w:rsidTr="00650125">
        <w:tc>
          <w:tcPr>
            <w:tcW w:w="704" w:type="dxa"/>
          </w:tcPr>
          <w:p w14:paraId="331FDEA7" w14:textId="78BE0DB2" w:rsidR="00231454" w:rsidRPr="003C2BC2" w:rsidRDefault="00FB1321" w:rsidP="0081712D">
            <w:pPr>
              <w:rPr>
                <w:rFonts w:eastAsia="Times New Roman"/>
                <w:bCs/>
                <w:color w:val="000000"/>
              </w:rPr>
            </w:pPr>
            <w:r w:rsidRPr="003C2BC2">
              <w:rPr>
                <w:color w:val="000000"/>
              </w:rPr>
              <w:t>26.</w:t>
            </w:r>
          </w:p>
        </w:tc>
        <w:tc>
          <w:tcPr>
            <w:tcW w:w="1990" w:type="dxa"/>
          </w:tcPr>
          <w:p w14:paraId="68AD793E" w14:textId="73775976" w:rsidR="00231454" w:rsidRPr="003C2BC2" w:rsidRDefault="00231454" w:rsidP="001D6D6E">
            <w:pPr>
              <w:jc w:val="left"/>
              <w:rPr>
                <w:rFonts w:eastAsia="Times New Roman"/>
                <w:bCs/>
                <w:color w:val="000000"/>
              </w:rPr>
            </w:pPr>
            <w:r w:rsidRPr="003C2BC2">
              <w:rPr>
                <w:color w:val="000000"/>
              </w:rPr>
              <w:t>Article 1 Section 11(5), first sentence</w:t>
            </w:r>
          </w:p>
        </w:tc>
        <w:tc>
          <w:tcPr>
            <w:tcW w:w="4111" w:type="dxa"/>
          </w:tcPr>
          <w:p w14:paraId="621131CA" w14:textId="293EC7CB" w:rsidR="00231454" w:rsidRPr="003C2BC2" w:rsidRDefault="00231454" w:rsidP="0081712D">
            <w:pPr>
              <w:rPr>
                <w:rFonts w:eastAsia="Times New Roman"/>
                <w:bCs/>
                <w:color w:val="000000"/>
              </w:rPr>
            </w:pPr>
            <w:r w:rsidRPr="003C2BC2">
              <w:rPr>
                <w:color w:val="000000"/>
              </w:rPr>
              <w:t>Development of verification guidelines</w:t>
            </w:r>
          </w:p>
        </w:tc>
        <w:tc>
          <w:tcPr>
            <w:tcW w:w="1559" w:type="dxa"/>
          </w:tcPr>
          <w:p w14:paraId="48AFEC4C" w14:textId="6615139F" w:rsidR="00231454" w:rsidRPr="003C2BC2" w:rsidRDefault="00231454" w:rsidP="0081712D">
            <w:pPr>
              <w:rPr>
                <w:rFonts w:eastAsia="Times New Roman"/>
                <w:bCs/>
                <w:color w:val="000000"/>
              </w:rPr>
            </w:pPr>
            <w:r w:rsidRPr="003C2BC2">
              <w:rPr>
                <w:color w:val="000000"/>
              </w:rPr>
              <w:t>Authorities</w:t>
            </w:r>
          </w:p>
        </w:tc>
        <w:tc>
          <w:tcPr>
            <w:tcW w:w="1842" w:type="dxa"/>
          </w:tcPr>
          <w:p w14:paraId="2008F840" w14:textId="38D5D0F9" w:rsidR="00231454" w:rsidRPr="003C2BC2" w:rsidRDefault="00231454" w:rsidP="0081712D">
            <w:pPr>
              <w:rPr>
                <w:rFonts w:eastAsia="Times New Roman"/>
                <w:bCs/>
                <w:color w:val="000000"/>
              </w:rPr>
            </w:pPr>
            <w:r w:rsidRPr="003C2BC2">
              <w:rPr>
                <w:color w:val="000000"/>
              </w:rPr>
              <w:t>FEA</w:t>
            </w:r>
          </w:p>
        </w:tc>
      </w:tr>
      <w:tr w:rsidR="00231454" w:rsidRPr="003C2BC2" w14:paraId="4B2CA714" w14:textId="77777777" w:rsidTr="00650125">
        <w:tc>
          <w:tcPr>
            <w:tcW w:w="704" w:type="dxa"/>
          </w:tcPr>
          <w:p w14:paraId="4B423A38" w14:textId="2D3279F7" w:rsidR="00231454" w:rsidRPr="003C2BC2" w:rsidRDefault="00FB1321" w:rsidP="0081712D">
            <w:pPr>
              <w:rPr>
                <w:rFonts w:eastAsia="Times New Roman"/>
                <w:bCs/>
                <w:color w:val="000000"/>
              </w:rPr>
            </w:pPr>
            <w:r w:rsidRPr="003C2BC2">
              <w:rPr>
                <w:color w:val="000000"/>
              </w:rPr>
              <w:lastRenderedPageBreak/>
              <w:t>27.</w:t>
            </w:r>
          </w:p>
        </w:tc>
        <w:tc>
          <w:tcPr>
            <w:tcW w:w="1990" w:type="dxa"/>
          </w:tcPr>
          <w:p w14:paraId="46C065E9" w14:textId="44AFFE3A" w:rsidR="00231454" w:rsidRPr="003C2BC2" w:rsidRDefault="00231454" w:rsidP="001D6D6E">
            <w:pPr>
              <w:jc w:val="left"/>
              <w:rPr>
                <w:rFonts w:eastAsia="Times New Roman"/>
                <w:bCs/>
                <w:color w:val="000000"/>
              </w:rPr>
            </w:pPr>
            <w:r w:rsidRPr="003C2BC2">
              <w:rPr>
                <w:color w:val="000000"/>
              </w:rPr>
              <w:t>Article 1 Section 11(5), second sentence</w:t>
            </w:r>
          </w:p>
        </w:tc>
        <w:tc>
          <w:tcPr>
            <w:tcW w:w="4111" w:type="dxa"/>
          </w:tcPr>
          <w:p w14:paraId="5E12873D" w14:textId="1E674803" w:rsidR="00231454" w:rsidRPr="003C2BC2" w:rsidRDefault="00231454" w:rsidP="0081712D">
            <w:pPr>
              <w:rPr>
                <w:rFonts w:eastAsia="Times New Roman"/>
                <w:bCs/>
                <w:color w:val="000000"/>
              </w:rPr>
            </w:pPr>
            <w:r w:rsidRPr="003C2BC2">
              <w:rPr>
                <w:color w:val="000000"/>
              </w:rPr>
              <w:t>Notification of infringements to the Central Agency (ZSVR)</w:t>
            </w:r>
          </w:p>
        </w:tc>
        <w:tc>
          <w:tcPr>
            <w:tcW w:w="1559" w:type="dxa"/>
          </w:tcPr>
          <w:p w14:paraId="07DB2912" w14:textId="0FF0E4AC" w:rsidR="00231454" w:rsidRPr="003C2BC2" w:rsidRDefault="00231454" w:rsidP="0081712D">
            <w:pPr>
              <w:rPr>
                <w:rFonts w:eastAsia="Times New Roman"/>
                <w:bCs/>
                <w:color w:val="000000"/>
              </w:rPr>
            </w:pPr>
            <w:r w:rsidRPr="003C2BC2">
              <w:rPr>
                <w:color w:val="000000"/>
              </w:rPr>
              <w:t>Authorities (IO)</w:t>
            </w:r>
          </w:p>
        </w:tc>
        <w:tc>
          <w:tcPr>
            <w:tcW w:w="1842" w:type="dxa"/>
          </w:tcPr>
          <w:p w14:paraId="7DC35F51" w14:textId="5D713284" w:rsidR="00231454" w:rsidRPr="003C2BC2" w:rsidRDefault="00231454" w:rsidP="0081712D">
            <w:pPr>
              <w:rPr>
                <w:rFonts w:eastAsia="Times New Roman"/>
                <w:bCs/>
                <w:color w:val="000000"/>
              </w:rPr>
            </w:pPr>
            <w:r w:rsidRPr="003C2BC2">
              <w:rPr>
                <w:color w:val="000000"/>
              </w:rPr>
              <w:t>FEA</w:t>
            </w:r>
          </w:p>
        </w:tc>
      </w:tr>
      <w:tr w:rsidR="00377F6B" w:rsidRPr="003C2BC2" w14:paraId="13E777D5" w14:textId="77777777" w:rsidTr="00650125">
        <w:tc>
          <w:tcPr>
            <w:tcW w:w="704" w:type="dxa"/>
          </w:tcPr>
          <w:p w14:paraId="69E70AB3" w14:textId="05DA44D9" w:rsidR="00377F6B" w:rsidRPr="003C2BC2" w:rsidRDefault="00FB1321" w:rsidP="0081712D">
            <w:pPr>
              <w:rPr>
                <w:rFonts w:eastAsia="Times New Roman"/>
                <w:bCs/>
                <w:color w:val="000000"/>
              </w:rPr>
            </w:pPr>
            <w:r w:rsidRPr="003C2BC2">
              <w:rPr>
                <w:color w:val="000000"/>
              </w:rPr>
              <w:t>28.</w:t>
            </w:r>
          </w:p>
        </w:tc>
        <w:tc>
          <w:tcPr>
            <w:tcW w:w="1990" w:type="dxa"/>
          </w:tcPr>
          <w:p w14:paraId="5F927740" w14:textId="2EB8C260" w:rsidR="00377F6B" w:rsidRPr="003C2BC2" w:rsidRDefault="00377F6B" w:rsidP="001D6D6E">
            <w:pPr>
              <w:jc w:val="left"/>
              <w:rPr>
                <w:rFonts w:eastAsia="Times New Roman"/>
                <w:bCs/>
                <w:color w:val="000000"/>
              </w:rPr>
            </w:pPr>
            <w:r w:rsidRPr="003C2BC2">
              <w:rPr>
                <w:color w:val="000000"/>
              </w:rPr>
              <w:t>Article 1 Section 12</w:t>
            </w:r>
          </w:p>
        </w:tc>
        <w:tc>
          <w:tcPr>
            <w:tcW w:w="4111" w:type="dxa"/>
          </w:tcPr>
          <w:p w14:paraId="10F5C69E" w14:textId="77777777" w:rsidR="00377F6B" w:rsidRPr="003C2BC2" w:rsidRDefault="00377F6B" w:rsidP="0081712D">
            <w:pPr>
              <w:rPr>
                <w:rFonts w:eastAsia="Times New Roman"/>
                <w:bCs/>
                <w:color w:val="000000"/>
              </w:rPr>
            </w:pPr>
            <w:r w:rsidRPr="003C2BC2">
              <w:rPr>
                <w:color w:val="000000"/>
              </w:rPr>
              <w:t>Payment of single-use plastics levy</w:t>
            </w:r>
          </w:p>
        </w:tc>
        <w:tc>
          <w:tcPr>
            <w:tcW w:w="1559" w:type="dxa"/>
          </w:tcPr>
          <w:p w14:paraId="3FD1523F" w14:textId="77777777" w:rsidR="00377F6B" w:rsidRPr="003C2BC2" w:rsidRDefault="00377F6B" w:rsidP="0081712D">
            <w:pPr>
              <w:rPr>
                <w:rFonts w:eastAsia="Times New Roman"/>
                <w:bCs/>
                <w:color w:val="000000"/>
              </w:rPr>
            </w:pPr>
            <w:r w:rsidRPr="003C2BC2">
              <w:rPr>
                <w:color w:val="000000"/>
              </w:rPr>
              <w:t>Businesses</w:t>
            </w:r>
          </w:p>
        </w:tc>
        <w:tc>
          <w:tcPr>
            <w:tcW w:w="1842" w:type="dxa"/>
          </w:tcPr>
          <w:p w14:paraId="5C4D133A" w14:textId="77777777" w:rsidR="00377F6B" w:rsidRPr="003C2BC2" w:rsidRDefault="00377F6B" w:rsidP="0081712D">
            <w:pPr>
              <w:rPr>
                <w:rFonts w:eastAsia="Times New Roman"/>
                <w:bCs/>
                <w:color w:val="000000"/>
              </w:rPr>
            </w:pPr>
            <w:r w:rsidRPr="003C2BC2">
              <w:rPr>
                <w:color w:val="000000"/>
              </w:rPr>
              <w:t>Producers</w:t>
            </w:r>
          </w:p>
        </w:tc>
      </w:tr>
      <w:tr w:rsidR="00377F6B" w:rsidRPr="003C2BC2" w14:paraId="7F6EC433" w14:textId="77777777" w:rsidTr="00650125">
        <w:tc>
          <w:tcPr>
            <w:tcW w:w="704" w:type="dxa"/>
          </w:tcPr>
          <w:p w14:paraId="31ECDF1A" w14:textId="6078A78C" w:rsidR="00377F6B" w:rsidRPr="003C2BC2" w:rsidRDefault="00FB1321" w:rsidP="0081712D">
            <w:pPr>
              <w:rPr>
                <w:rFonts w:eastAsia="Times New Roman"/>
                <w:bCs/>
                <w:color w:val="000000"/>
              </w:rPr>
            </w:pPr>
            <w:r w:rsidRPr="003C2BC2">
              <w:rPr>
                <w:color w:val="000000"/>
              </w:rPr>
              <w:t>29.</w:t>
            </w:r>
          </w:p>
        </w:tc>
        <w:tc>
          <w:tcPr>
            <w:tcW w:w="1990" w:type="dxa"/>
          </w:tcPr>
          <w:p w14:paraId="6737AF2D" w14:textId="0105A569" w:rsidR="00377F6B" w:rsidRPr="003C2BC2" w:rsidRDefault="00377F6B" w:rsidP="001D6D6E">
            <w:pPr>
              <w:jc w:val="left"/>
              <w:rPr>
                <w:rFonts w:eastAsia="Times New Roman"/>
                <w:bCs/>
                <w:color w:val="000000"/>
              </w:rPr>
            </w:pPr>
            <w:r w:rsidRPr="003C2BC2">
              <w:rPr>
                <w:color w:val="000000"/>
              </w:rPr>
              <w:t xml:space="preserve">Article 1 Section 13(1) </w:t>
            </w:r>
          </w:p>
        </w:tc>
        <w:tc>
          <w:tcPr>
            <w:tcW w:w="4111" w:type="dxa"/>
          </w:tcPr>
          <w:p w14:paraId="5E483D2B" w14:textId="77777777" w:rsidR="00377F6B" w:rsidRPr="003C2BC2" w:rsidRDefault="00377F6B" w:rsidP="0081712D">
            <w:pPr>
              <w:rPr>
                <w:rFonts w:eastAsia="Times New Roman"/>
                <w:bCs/>
                <w:color w:val="000000"/>
              </w:rPr>
            </w:pPr>
            <w:r w:rsidRPr="003C2BC2">
              <w:rPr>
                <w:color w:val="000000"/>
              </w:rPr>
              <w:t>Levy notice</w:t>
            </w:r>
          </w:p>
        </w:tc>
        <w:tc>
          <w:tcPr>
            <w:tcW w:w="1559" w:type="dxa"/>
          </w:tcPr>
          <w:p w14:paraId="145F8313"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2F342B52" w14:textId="77777777" w:rsidR="00377F6B" w:rsidRPr="003C2BC2" w:rsidRDefault="00377F6B" w:rsidP="0081712D">
            <w:pPr>
              <w:rPr>
                <w:rFonts w:eastAsia="Times New Roman"/>
                <w:bCs/>
                <w:color w:val="000000"/>
              </w:rPr>
            </w:pPr>
            <w:r w:rsidRPr="003C2BC2">
              <w:rPr>
                <w:color w:val="000000"/>
              </w:rPr>
              <w:t>FEA</w:t>
            </w:r>
          </w:p>
        </w:tc>
      </w:tr>
      <w:tr w:rsidR="00377F6B" w:rsidRPr="003C2BC2" w14:paraId="064545E9" w14:textId="77777777" w:rsidTr="00650125">
        <w:tc>
          <w:tcPr>
            <w:tcW w:w="704" w:type="dxa"/>
          </w:tcPr>
          <w:p w14:paraId="5769C971" w14:textId="2C02C778" w:rsidR="00377F6B" w:rsidRPr="003C2BC2" w:rsidRDefault="00FB1321" w:rsidP="0081712D">
            <w:pPr>
              <w:rPr>
                <w:rFonts w:eastAsia="Times New Roman"/>
                <w:bCs/>
                <w:color w:val="000000"/>
              </w:rPr>
            </w:pPr>
            <w:r w:rsidRPr="003C2BC2">
              <w:rPr>
                <w:color w:val="000000"/>
              </w:rPr>
              <w:t>30.</w:t>
            </w:r>
          </w:p>
        </w:tc>
        <w:tc>
          <w:tcPr>
            <w:tcW w:w="1990" w:type="dxa"/>
          </w:tcPr>
          <w:p w14:paraId="175D44E0" w14:textId="3F3590D1" w:rsidR="00377F6B" w:rsidRPr="003C2BC2" w:rsidRDefault="00377F6B" w:rsidP="001D6D6E">
            <w:pPr>
              <w:jc w:val="left"/>
              <w:rPr>
                <w:rFonts w:eastAsia="Times New Roman"/>
                <w:bCs/>
                <w:color w:val="000000"/>
              </w:rPr>
            </w:pPr>
            <w:r w:rsidRPr="003C2BC2">
              <w:rPr>
                <w:color w:val="000000"/>
              </w:rPr>
              <w:t>Article 1 Section 13(2)</w:t>
            </w:r>
          </w:p>
        </w:tc>
        <w:tc>
          <w:tcPr>
            <w:tcW w:w="4111" w:type="dxa"/>
          </w:tcPr>
          <w:p w14:paraId="70280FC7" w14:textId="77777777" w:rsidR="00377F6B" w:rsidRPr="003C2BC2" w:rsidRDefault="00377F6B" w:rsidP="0081712D">
            <w:pPr>
              <w:rPr>
                <w:rFonts w:eastAsia="Times New Roman"/>
                <w:bCs/>
                <w:color w:val="000000"/>
              </w:rPr>
            </w:pPr>
            <w:r w:rsidRPr="003C2BC2">
              <w:rPr>
                <w:color w:val="000000"/>
              </w:rPr>
              <w:t>Estimate of mass of single-use plastic products made available on the market for the first time</w:t>
            </w:r>
          </w:p>
        </w:tc>
        <w:tc>
          <w:tcPr>
            <w:tcW w:w="1559" w:type="dxa"/>
          </w:tcPr>
          <w:p w14:paraId="4BF22D4B" w14:textId="77777777" w:rsidR="00377F6B" w:rsidRPr="003C2BC2" w:rsidRDefault="00377F6B" w:rsidP="0081712D">
            <w:pPr>
              <w:rPr>
                <w:rFonts w:eastAsia="Times New Roman"/>
                <w:bCs/>
                <w:color w:val="000000"/>
              </w:rPr>
            </w:pPr>
            <w:r w:rsidRPr="003C2BC2">
              <w:rPr>
                <w:color w:val="000000"/>
              </w:rPr>
              <w:t>Authorities</w:t>
            </w:r>
          </w:p>
        </w:tc>
        <w:tc>
          <w:tcPr>
            <w:tcW w:w="1842" w:type="dxa"/>
          </w:tcPr>
          <w:p w14:paraId="24C07495" w14:textId="77777777" w:rsidR="00377F6B" w:rsidRPr="003C2BC2" w:rsidRDefault="00377F6B" w:rsidP="0081712D">
            <w:pPr>
              <w:rPr>
                <w:rFonts w:eastAsia="Times New Roman"/>
                <w:bCs/>
                <w:color w:val="000000"/>
              </w:rPr>
            </w:pPr>
            <w:r w:rsidRPr="003C2BC2">
              <w:rPr>
                <w:color w:val="000000"/>
              </w:rPr>
              <w:t>FEA</w:t>
            </w:r>
          </w:p>
        </w:tc>
      </w:tr>
      <w:tr w:rsidR="00377F6B" w:rsidRPr="003C2BC2" w14:paraId="68FCB0AB" w14:textId="77777777" w:rsidTr="00650125">
        <w:tc>
          <w:tcPr>
            <w:tcW w:w="704" w:type="dxa"/>
          </w:tcPr>
          <w:p w14:paraId="2A979D97" w14:textId="7F8220B6" w:rsidR="00377F6B" w:rsidRPr="003C2BC2" w:rsidRDefault="00FB1321" w:rsidP="0081712D">
            <w:pPr>
              <w:rPr>
                <w:rFonts w:eastAsia="Times New Roman"/>
                <w:bCs/>
                <w:color w:val="000000"/>
              </w:rPr>
            </w:pPr>
            <w:r w:rsidRPr="003C2BC2">
              <w:rPr>
                <w:color w:val="000000"/>
              </w:rPr>
              <w:t>31.</w:t>
            </w:r>
          </w:p>
        </w:tc>
        <w:tc>
          <w:tcPr>
            <w:tcW w:w="1990" w:type="dxa"/>
          </w:tcPr>
          <w:p w14:paraId="15856833" w14:textId="3D056A4F" w:rsidR="00377F6B" w:rsidRPr="003C2BC2" w:rsidRDefault="00377F6B" w:rsidP="001D6D6E">
            <w:pPr>
              <w:jc w:val="left"/>
              <w:rPr>
                <w:rFonts w:eastAsia="Times New Roman"/>
                <w:bCs/>
                <w:color w:val="000000"/>
              </w:rPr>
            </w:pPr>
            <w:r w:rsidRPr="003C2BC2">
              <w:rPr>
                <w:color w:val="000000"/>
              </w:rPr>
              <w:t>Article 1 Section 15(1), first sentence, in conjunction with paragraphs (2) to (4)</w:t>
            </w:r>
          </w:p>
        </w:tc>
        <w:tc>
          <w:tcPr>
            <w:tcW w:w="4111" w:type="dxa"/>
          </w:tcPr>
          <w:p w14:paraId="39FB24CD" w14:textId="77777777" w:rsidR="00377F6B" w:rsidRPr="003C2BC2" w:rsidRDefault="00377F6B" w:rsidP="0081712D">
            <w:pPr>
              <w:rPr>
                <w:rFonts w:eastAsia="Times New Roman"/>
                <w:bCs/>
                <w:color w:val="000000"/>
              </w:rPr>
            </w:pPr>
            <w:r w:rsidRPr="003C2BC2">
              <w:rPr>
                <w:color w:val="000000"/>
              </w:rPr>
              <w:t>Initial registration of beneficiaries</w:t>
            </w:r>
          </w:p>
        </w:tc>
        <w:tc>
          <w:tcPr>
            <w:tcW w:w="1559" w:type="dxa"/>
          </w:tcPr>
          <w:p w14:paraId="72BF8FC1"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39FAE3AA" w14:textId="77777777" w:rsidR="00377F6B" w:rsidRPr="003C2BC2" w:rsidRDefault="00377F6B" w:rsidP="0081712D">
            <w:pPr>
              <w:rPr>
                <w:rFonts w:eastAsia="Times New Roman"/>
                <w:bCs/>
                <w:color w:val="000000"/>
              </w:rPr>
            </w:pPr>
            <w:r w:rsidRPr="003C2BC2">
              <w:rPr>
                <w:color w:val="000000"/>
              </w:rPr>
              <w:t>Beneficiaries</w:t>
            </w:r>
          </w:p>
        </w:tc>
      </w:tr>
      <w:tr w:rsidR="00377F6B" w:rsidRPr="003C2BC2" w14:paraId="011D3F88" w14:textId="77777777" w:rsidTr="00650125">
        <w:tc>
          <w:tcPr>
            <w:tcW w:w="704" w:type="dxa"/>
          </w:tcPr>
          <w:p w14:paraId="41128E00" w14:textId="02E72D2F" w:rsidR="00377F6B" w:rsidRPr="003C2BC2" w:rsidRDefault="00FB1321" w:rsidP="0081712D">
            <w:pPr>
              <w:rPr>
                <w:rFonts w:eastAsia="Times New Roman"/>
                <w:bCs/>
                <w:color w:val="000000"/>
              </w:rPr>
            </w:pPr>
            <w:r w:rsidRPr="003C2BC2">
              <w:rPr>
                <w:color w:val="000000"/>
              </w:rPr>
              <w:t>32.</w:t>
            </w:r>
          </w:p>
        </w:tc>
        <w:tc>
          <w:tcPr>
            <w:tcW w:w="1990" w:type="dxa"/>
          </w:tcPr>
          <w:p w14:paraId="7FDE75D4" w14:textId="184651A4" w:rsidR="00377F6B" w:rsidRPr="003C2BC2" w:rsidRDefault="00377F6B" w:rsidP="001D6D6E">
            <w:pPr>
              <w:jc w:val="left"/>
              <w:rPr>
                <w:rFonts w:eastAsia="Times New Roman"/>
                <w:bCs/>
                <w:color w:val="000000"/>
              </w:rPr>
            </w:pPr>
            <w:r w:rsidRPr="003C2BC2">
              <w:rPr>
                <w:color w:val="000000"/>
              </w:rPr>
              <w:t>Article 1 Section 15(1), second sentence, in conjunction with paragraphs (2) to (4)</w:t>
            </w:r>
          </w:p>
        </w:tc>
        <w:tc>
          <w:tcPr>
            <w:tcW w:w="4111" w:type="dxa"/>
          </w:tcPr>
          <w:p w14:paraId="145B526F" w14:textId="77777777" w:rsidR="00377F6B" w:rsidRPr="003C2BC2" w:rsidRDefault="00377F6B" w:rsidP="0081712D">
            <w:pPr>
              <w:rPr>
                <w:rFonts w:eastAsia="Times New Roman"/>
                <w:bCs/>
                <w:color w:val="000000"/>
              </w:rPr>
            </w:pPr>
            <w:r w:rsidRPr="003C2BC2">
              <w:rPr>
                <w:color w:val="000000"/>
              </w:rPr>
              <w:t xml:space="preserve">Amendments to registration data </w:t>
            </w:r>
          </w:p>
        </w:tc>
        <w:tc>
          <w:tcPr>
            <w:tcW w:w="1559" w:type="dxa"/>
          </w:tcPr>
          <w:p w14:paraId="0E762F17"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66F932C3" w14:textId="77777777" w:rsidR="00377F6B" w:rsidRPr="003C2BC2" w:rsidRDefault="00377F6B" w:rsidP="0081712D">
            <w:pPr>
              <w:rPr>
                <w:rFonts w:eastAsia="Times New Roman"/>
                <w:bCs/>
                <w:color w:val="000000"/>
              </w:rPr>
            </w:pPr>
            <w:r w:rsidRPr="003C2BC2">
              <w:rPr>
                <w:color w:val="000000"/>
              </w:rPr>
              <w:t>Beneficiaries</w:t>
            </w:r>
          </w:p>
        </w:tc>
      </w:tr>
      <w:tr w:rsidR="00377F6B" w:rsidRPr="003C2BC2" w14:paraId="7511CA21" w14:textId="77777777" w:rsidTr="00650125">
        <w:tc>
          <w:tcPr>
            <w:tcW w:w="704" w:type="dxa"/>
          </w:tcPr>
          <w:p w14:paraId="5A1AEBF8" w14:textId="4FDCF94D" w:rsidR="00377F6B" w:rsidRPr="003C2BC2" w:rsidRDefault="00FB1321" w:rsidP="0081712D">
            <w:pPr>
              <w:rPr>
                <w:rFonts w:eastAsia="Times New Roman"/>
                <w:bCs/>
                <w:color w:val="000000"/>
              </w:rPr>
            </w:pPr>
            <w:r w:rsidRPr="003C2BC2">
              <w:rPr>
                <w:color w:val="000000"/>
              </w:rPr>
              <w:t>33.</w:t>
            </w:r>
          </w:p>
        </w:tc>
        <w:tc>
          <w:tcPr>
            <w:tcW w:w="1990" w:type="dxa"/>
          </w:tcPr>
          <w:p w14:paraId="55DB5F56" w14:textId="7F1BF9B5" w:rsidR="00377F6B" w:rsidRPr="003C2BC2" w:rsidRDefault="00377F6B" w:rsidP="001D6D6E">
            <w:pPr>
              <w:jc w:val="left"/>
              <w:rPr>
                <w:rFonts w:eastAsia="Times New Roman"/>
                <w:bCs/>
                <w:color w:val="000000"/>
              </w:rPr>
            </w:pPr>
            <w:r w:rsidRPr="003C2BC2">
              <w:rPr>
                <w:color w:val="000000"/>
              </w:rPr>
              <w:t xml:space="preserve">Article 1 Section 15(5) subparagraphs 1 to 3 </w:t>
            </w:r>
          </w:p>
        </w:tc>
        <w:tc>
          <w:tcPr>
            <w:tcW w:w="4111" w:type="dxa"/>
          </w:tcPr>
          <w:p w14:paraId="5BE54E2B" w14:textId="77777777" w:rsidR="00377F6B" w:rsidRPr="003C2BC2" w:rsidRDefault="00377F6B" w:rsidP="0081712D">
            <w:pPr>
              <w:rPr>
                <w:rFonts w:eastAsia="Times New Roman"/>
                <w:bCs/>
                <w:color w:val="000000"/>
              </w:rPr>
            </w:pPr>
            <w:r w:rsidRPr="003C2BC2">
              <w:rPr>
                <w:color w:val="000000"/>
              </w:rPr>
              <w:t>Confirmation of registration</w:t>
            </w:r>
          </w:p>
        </w:tc>
        <w:tc>
          <w:tcPr>
            <w:tcW w:w="1559" w:type="dxa"/>
          </w:tcPr>
          <w:p w14:paraId="06F49EFE"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718421CE" w14:textId="77777777" w:rsidR="00377F6B" w:rsidRPr="003C2BC2" w:rsidRDefault="00377F6B" w:rsidP="0081712D">
            <w:pPr>
              <w:rPr>
                <w:rFonts w:eastAsia="Times New Roman"/>
                <w:bCs/>
                <w:color w:val="000000"/>
              </w:rPr>
            </w:pPr>
            <w:r w:rsidRPr="003C2BC2">
              <w:rPr>
                <w:color w:val="000000"/>
              </w:rPr>
              <w:t>FEA</w:t>
            </w:r>
          </w:p>
        </w:tc>
      </w:tr>
      <w:tr w:rsidR="00377F6B" w:rsidRPr="003C2BC2" w14:paraId="04CD17AE" w14:textId="77777777" w:rsidTr="00650125">
        <w:tc>
          <w:tcPr>
            <w:tcW w:w="704" w:type="dxa"/>
          </w:tcPr>
          <w:p w14:paraId="46843C37" w14:textId="391FBDC8" w:rsidR="00377F6B" w:rsidRPr="003C2BC2" w:rsidRDefault="00FB1321" w:rsidP="0081712D">
            <w:pPr>
              <w:rPr>
                <w:rFonts w:eastAsia="Times New Roman"/>
                <w:bCs/>
                <w:color w:val="000000"/>
              </w:rPr>
            </w:pPr>
            <w:r w:rsidRPr="003C2BC2">
              <w:rPr>
                <w:color w:val="000000"/>
              </w:rPr>
              <w:t>34.</w:t>
            </w:r>
          </w:p>
        </w:tc>
        <w:tc>
          <w:tcPr>
            <w:tcW w:w="1990" w:type="dxa"/>
          </w:tcPr>
          <w:p w14:paraId="5A06D6EE" w14:textId="288EE84D" w:rsidR="00377F6B" w:rsidRPr="003C2BC2" w:rsidRDefault="00377F6B" w:rsidP="001D6D6E">
            <w:pPr>
              <w:jc w:val="left"/>
              <w:rPr>
                <w:rFonts w:eastAsia="Times New Roman"/>
                <w:bCs/>
                <w:color w:val="000000"/>
              </w:rPr>
            </w:pPr>
            <w:r w:rsidRPr="003C2BC2">
              <w:rPr>
                <w:color w:val="000000"/>
              </w:rPr>
              <w:t>Article 1 Section 15(3) subparagraphs 4 and 5</w:t>
            </w:r>
          </w:p>
        </w:tc>
        <w:tc>
          <w:tcPr>
            <w:tcW w:w="4111" w:type="dxa"/>
          </w:tcPr>
          <w:p w14:paraId="53705734" w14:textId="77777777" w:rsidR="00377F6B" w:rsidRPr="003C2BC2" w:rsidRDefault="00377F6B" w:rsidP="0081712D">
            <w:pPr>
              <w:rPr>
                <w:rFonts w:eastAsia="Times New Roman"/>
                <w:bCs/>
                <w:color w:val="000000"/>
              </w:rPr>
            </w:pPr>
            <w:r w:rsidRPr="003C2BC2">
              <w:rPr>
                <w:color w:val="000000"/>
              </w:rPr>
              <w:t>Confirmation of amendment to registration data</w:t>
            </w:r>
          </w:p>
        </w:tc>
        <w:tc>
          <w:tcPr>
            <w:tcW w:w="1559" w:type="dxa"/>
          </w:tcPr>
          <w:p w14:paraId="17CE5191"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611BDBD3" w14:textId="77777777" w:rsidR="00377F6B" w:rsidRPr="003C2BC2" w:rsidRDefault="00377F6B" w:rsidP="0081712D">
            <w:pPr>
              <w:rPr>
                <w:rFonts w:eastAsia="Times New Roman"/>
                <w:bCs/>
                <w:color w:val="000000"/>
              </w:rPr>
            </w:pPr>
            <w:r w:rsidRPr="003C2BC2">
              <w:rPr>
                <w:color w:val="000000"/>
              </w:rPr>
              <w:t>FEA</w:t>
            </w:r>
          </w:p>
        </w:tc>
      </w:tr>
      <w:tr w:rsidR="00377F6B" w:rsidRPr="003C2BC2" w14:paraId="5FEA24C8" w14:textId="77777777" w:rsidTr="00650125">
        <w:tc>
          <w:tcPr>
            <w:tcW w:w="704" w:type="dxa"/>
          </w:tcPr>
          <w:p w14:paraId="4B122283" w14:textId="432B3D6D" w:rsidR="00377F6B" w:rsidRPr="003C2BC2" w:rsidRDefault="00FB1321" w:rsidP="0081712D">
            <w:pPr>
              <w:rPr>
                <w:rFonts w:eastAsia="Times New Roman"/>
                <w:bCs/>
                <w:color w:val="000000"/>
              </w:rPr>
            </w:pPr>
            <w:r w:rsidRPr="003C2BC2">
              <w:rPr>
                <w:color w:val="000000"/>
              </w:rPr>
              <w:t>35.</w:t>
            </w:r>
          </w:p>
        </w:tc>
        <w:tc>
          <w:tcPr>
            <w:tcW w:w="1990" w:type="dxa"/>
          </w:tcPr>
          <w:p w14:paraId="11C2CD31" w14:textId="00E03723" w:rsidR="00377F6B" w:rsidRPr="003C2BC2" w:rsidRDefault="00377F6B" w:rsidP="001D6D6E">
            <w:pPr>
              <w:jc w:val="left"/>
              <w:rPr>
                <w:rFonts w:eastAsia="Times New Roman"/>
                <w:bCs/>
                <w:color w:val="000000"/>
              </w:rPr>
            </w:pPr>
            <w:r w:rsidRPr="003C2BC2">
              <w:rPr>
                <w:color w:val="000000"/>
              </w:rPr>
              <w:t>Article 1 Section 15(6)</w:t>
            </w:r>
          </w:p>
        </w:tc>
        <w:tc>
          <w:tcPr>
            <w:tcW w:w="4111" w:type="dxa"/>
          </w:tcPr>
          <w:p w14:paraId="79467CDB" w14:textId="77777777" w:rsidR="00377F6B" w:rsidRPr="003C2BC2" w:rsidRDefault="00377F6B" w:rsidP="0081712D">
            <w:pPr>
              <w:rPr>
                <w:rFonts w:eastAsia="Times New Roman"/>
                <w:bCs/>
                <w:color w:val="000000"/>
              </w:rPr>
            </w:pPr>
            <w:r w:rsidRPr="003C2BC2">
              <w:rPr>
                <w:color w:val="000000"/>
              </w:rPr>
              <w:t>Publication and deletion of registration data on the Internet</w:t>
            </w:r>
          </w:p>
        </w:tc>
        <w:tc>
          <w:tcPr>
            <w:tcW w:w="1559" w:type="dxa"/>
          </w:tcPr>
          <w:p w14:paraId="2030D645"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0C98E086" w14:textId="77777777" w:rsidR="00377F6B" w:rsidRPr="003C2BC2" w:rsidRDefault="00377F6B" w:rsidP="0081712D">
            <w:pPr>
              <w:rPr>
                <w:rFonts w:eastAsia="Times New Roman"/>
                <w:bCs/>
                <w:color w:val="000000"/>
              </w:rPr>
            </w:pPr>
            <w:r w:rsidRPr="003C2BC2">
              <w:rPr>
                <w:color w:val="000000"/>
              </w:rPr>
              <w:t>FEA</w:t>
            </w:r>
          </w:p>
        </w:tc>
      </w:tr>
      <w:tr w:rsidR="00377F6B" w:rsidRPr="003C2BC2" w14:paraId="6473AD33" w14:textId="77777777" w:rsidTr="00650125">
        <w:tc>
          <w:tcPr>
            <w:tcW w:w="704" w:type="dxa"/>
          </w:tcPr>
          <w:p w14:paraId="3491FE06" w14:textId="118BBA08" w:rsidR="00377F6B" w:rsidRPr="003C2BC2" w:rsidRDefault="00FB1321" w:rsidP="0081712D">
            <w:pPr>
              <w:rPr>
                <w:rFonts w:eastAsia="Times New Roman"/>
                <w:bCs/>
                <w:color w:val="000000"/>
              </w:rPr>
            </w:pPr>
            <w:r w:rsidRPr="003C2BC2">
              <w:rPr>
                <w:color w:val="000000"/>
              </w:rPr>
              <w:t>36.</w:t>
            </w:r>
          </w:p>
        </w:tc>
        <w:tc>
          <w:tcPr>
            <w:tcW w:w="1990" w:type="dxa"/>
          </w:tcPr>
          <w:p w14:paraId="5FCAFF33" w14:textId="34AFF9EE" w:rsidR="00377F6B" w:rsidRPr="003C2BC2" w:rsidRDefault="00377F6B" w:rsidP="001D6D6E">
            <w:pPr>
              <w:jc w:val="left"/>
              <w:rPr>
                <w:rFonts w:eastAsia="Times New Roman"/>
                <w:bCs/>
                <w:color w:val="000000"/>
              </w:rPr>
            </w:pPr>
            <w:r w:rsidRPr="003C2BC2">
              <w:rPr>
                <w:color w:val="000000"/>
              </w:rPr>
              <w:t>Article 1 Section 16</w:t>
            </w:r>
          </w:p>
        </w:tc>
        <w:tc>
          <w:tcPr>
            <w:tcW w:w="4111" w:type="dxa"/>
          </w:tcPr>
          <w:p w14:paraId="09AD2B43" w14:textId="77777777" w:rsidR="00377F6B" w:rsidRPr="003C2BC2" w:rsidRDefault="00377F6B" w:rsidP="0081712D">
            <w:pPr>
              <w:rPr>
                <w:rFonts w:eastAsia="Times New Roman"/>
                <w:bCs/>
                <w:color w:val="000000"/>
              </w:rPr>
            </w:pPr>
            <w:r w:rsidRPr="003C2BC2">
              <w:rPr>
                <w:color w:val="000000"/>
              </w:rPr>
              <w:t>Establishment and operation of the electronic register of beneficiaries</w:t>
            </w:r>
          </w:p>
        </w:tc>
        <w:tc>
          <w:tcPr>
            <w:tcW w:w="1559" w:type="dxa"/>
          </w:tcPr>
          <w:p w14:paraId="536153C0" w14:textId="77777777" w:rsidR="00377F6B" w:rsidRPr="003C2BC2" w:rsidRDefault="00377F6B" w:rsidP="0081712D">
            <w:pPr>
              <w:rPr>
                <w:rFonts w:eastAsia="Times New Roman"/>
                <w:bCs/>
                <w:color w:val="000000"/>
              </w:rPr>
            </w:pPr>
            <w:r w:rsidRPr="003C2BC2">
              <w:rPr>
                <w:color w:val="000000"/>
              </w:rPr>
              <w:t>Authorities</w:t>
            </w:r>
          </w:p>
        </w:tc>
        <w:tc>
          <w:tcPr>
            <w:tcW w:w="1842" w:type="dxa"/>
          </w:tcPr>
          <w:p w14:paraId="57D6BF3F" w14:textId="77777777" w:rsidR="00377F6B" w:rsidRPr="003C2BC2" w:rsidRDefault="00377F6B" w:rsidP="0081712D">
            <w:pPr>
              <w:rPr>
                <w:rFonts w:eastAsia="Times New Roman"/>
                <w:bCs/>
                <w:color w:val="000000"/>
              </w:rPr>
            </w:pPr>
            <w:r w:rsidRPr="003C2BC2">
              <w:rPr>
                <w:color w:val="000000"/>
              </w:rPr>
              <w:t>FEA</w:t>
            </w:r>
          </w:p>
        </w:tc>
      </w:tr>
      <w:tr w:rsidR="00377F6B" w:rsidRPr="003C2BC2" w14:paraId="1456DE55" w14:textId="77777777" w:rsidTr="00650125">
        <w:tc>
          <w:tcPr>
            <w:tcW w:w="704" w:type="dxa"/>
          </w:tcPr>
          <w:p w14:paraId="44C86B26" w14:textId="72366BFC" w:rsidR="00377F6B" w:rsidRPr="003C2BC2" w:rsidRDefault="00FB1321" w:rsidP="0081712D">
            <w:pPr>
              <w:rPr>
                <w:rFonts w:eastAsia="Times New Roman"/>
                <w:bCs/>
                <w:color w:val="000000"/>
              </w:rPr>
            </w:pPr>
            <w:r w:rsidRPr="003C2BC2">
              <w:rPr>
                <w:color w:val="000000"/>
              </w:rPr>
              <w:t>37.</w:t>
            </w:r>
          </w:p>
        </w:tc>
        <w:tc>
          <w:tcPr>
            <w:tcW w:w="1990" w:type="dxa"/>
          </w:tcPr>
          <w:p w14:paraId="57C360AD" w14:textId="5E13EC7D" w:rsidR="00377F6B" w:rsidRPr="003C2BC2" w:rsidRDefault="00377F6B" w:rsidP="001D6D6E">
            <w:pPr>
              <w:jc w:val="left"/>
              <w:rPr>
                <w:rFonts w:eastAsia="Times New Roman"/>
                <w:bCs/>
                <w:color w:val="000000"/>
              </w:rPr>
            </w:pPr>
            <w:r w:rsidRPr="003C2BC2">
              <w:rPr>
                <w:color w:val="000000"/>
              </w:rPr>
              <w:t xml:space="preserve">Article 1 Section 17(1) </w:t>
            </w:r>
          </w:p>
        </w:tc>
        <w:tc>
          <w:tcPr>
            <w:tcW w:w="4111" w:type="dxa"/>
          </w:tcPr>
          <w:p w14:paraId="7D60BECF" w14:textId="77777777" w:rsidR="00377F6B" w:rsidRPr="003C2BC2" w:rsidRDefault="00377F6B" w:rsidP="0081712D">
            <w:pPr>
              <w:rPr>
                <w:rFonts w:eastAsia="Times New Roman"/>
                <w:bCs/>
                <w:color w:val="000000"/>
              </w:rPr>
            </w:pPr>
            <w:r w:rsidRPr="003C2BC2">
              <w:rPr>
                <w:color w:val="000000"/>
              </w:rPr>
              <w:t>Annual notification by beneficiaries</w:t>
            </w:r>
          </w:p>
        </w:tc>
        <w:tc>
          <w:tcPr>
            <w:tcW w:w="1559" w:type="dxa"/>
          </w:tcPr>
          <w:p w14:paraId="038515F8"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23A88DDB" w14:textId="77777777" w:rsidR="00377F6B" w:rsidRPr="003C2BC2" w:rsidRDefault="00377F6B" w:rsidP="0081712D">
            <w:pPr>
              <w:rPr>
                <w:rFonts w:eastAsia="Times New Roman"/>
                <w:bCs/>
                <w:color w:val="000000"/>
              </w:rPr>
            </w:pPr>
            <w:r w:rsidRPr="003C2BC2">
              <w:rPr>
                <w:color w:val="000000"/>
              </w:rPr>
              <w:t>Beneficiaries</w:t>
            </w:r>
          </w:p>
        </w:tc>
      </w:tr>
      <w:tr w:rsidR="00377F6B" w:rsidRPr="003C2BC2" w14:paraId="2F95D396" w14:textId="77777777" w:rsidTr="00650125">
        <w:tc>
          <w:tcPr>
            <w:tcW w:w="704" w:type="dxa"/>
          </w:tcPr>
          <w:p w14:paraId="639C1933" w14:textId="0EE14116" w:rsidR="00377F6B" w:rsidRPr="003C2BC2" w:rsidRDefault="00FB1321" w:rsidP="0081712D">
            <w:pPr>
              <w:rPr>
                <w:rFonts w:eastAsia="Times New Roman"/>
                <w:bCs/>
                <w:color w:val="000000"/>
              </w:rPr>
            </w:pPr>
            <w:r w:rsidRPr="003C2BC2">
              <w:rPr>
                <w:color w:val="000000"/>
              </w:rPr>
              <w:t>38.</w:t>
            </w:r>
          </w:p>
        </w:tc>
        <w:tc>
          <w:tcPr>
            <w:tcW w:w="1990" w:type="dxa"/>
          </w:tcPr>
          <w:p w14:paraId="767FADD0" w14:textId="3D645243" w:rsidR="00377F6B" w:rsidRPr="003C2BC2" w:rsidRDefault="00377F6B" w:rsidP="001D6D6E">
            <w:pPr>
              <w:jc w:val="left"/>
              <w:rPr>
                <w:rFonts w:eastAsia="Times New Roman"/>
                <w:bCs/>
                <w:color w:val="000000"/>
              </w:rPr>
            </w:pPr>
            <w:r w:rsidRPr="003C2BC2">
              <w:rPr>
                <w:color w:val="000000"/>
              </w:rPr>
              <w:t>Article 1 Section 17(3), first sentence</w:t>
            </w:r>
          </w:p>
        </w:tc>
        <w:tc>
          <w:tcPr>
            <w:tcW w:w="4111" w:type="dxa"/>
          </w:tcPr>
          <w:p w14:paraId="1B3C012C" w14:textId="77777777" w:rsidR="00377F6B" w:rsidRPr="003C2BC2" w:rsidRDefault="00377F6B" w:rsidP="0081712D">
            <w:pPr>
              <w:rPr>
                <w:rFonts w:eastAsia="Times New Roman"/>
                <w:bCs/>
                <w:color w:val="000000"/>
              </w:rPr>
            </w:pPr>
            <w:r w:rsidRPr="003C2BC2">
              <w:rPr>
                <w:color w:val="000000"/>
              </w:rPr>
              <w:t>Establishment and operation of the online portal</w:t>
            </w:r>
          </w:p>
        </w:tc>
        <w:tc>
          <w:tcPr>
            <w:tcW w:w="1559" w:type="dxa"/>
          </w:tcPr>
          <w:p w14:paraId="6805AB28" w14:textId="77777777" w:rsidR="00377F6B" w:rsidRPr="003C2BC2" w:rsidRDefault="00377F6B" w:rsidP="0081712D">
            <w:pPr>
              <w:rPr>
                <w:rFonts w:eastAsia="Times New Roman"/>
                <w:bCs/>
                <w:color w:val="000000"/>
              </w:rPr>
            </w:pPr>
            <w:r w:rsidRPr="003C2BC2">
              <w:rPr>
                <w:color w:val="000000"/>
              </w:rPr>
              <w:t>Authorities</w:t>
            </w:r>
          </w:p>
        </w:tc>
        <w:tc>
          <w:tcPr>
            <w:tcW w:w="1842" w:type="dxa"/>
          </w:tcPr>
          <w:p w14:paraId="3C8403E2" w14:textId="77777777" w:rsidR="00377F6B" w:rsidRPr="003C2BC2" w:rsidRDefault="00377F6B" w:rsidP="0081712D">
            <w:pPr>
              <w:rPr>
                <w:rFonts w:eastAsia="Times New Roman"/>
                <w:bCs/>
                <w:color w:val="000000"/>
              </w:rPr>
            </w:pPr>
            <w:r w:rsidRPr="003C2BC2">
              <w:rPr>
                <w:color w:val="000000"/>
              </w:rPr>
              <w:t>FEA</w:t>
            </w:r>
          </w:p>
        </w:tc>
      </w:tr>
      <w:tr w:rsidR="00377F6B" w:rsidRPr="003C2BC2" w14:paraId="67D6773A" w14:textId="77777777" w:rsidTr="00650125">
        <w:tc>
          <w:tcPr>
            <w:tcW w:w="704" w:type="dxa"/>
          </w:tcPr>
          <w:p w14:paraId="21E2FD35" w14:textId="20FE60BA" w:rsidR="00377F6B" w:rsidRPr="003C2BC2" w:rsidRDefault="00FB1321" w:rsidP="0081712D">
            <w:pPr>
              <w:rPr>
                <w:rFonts w:eastAsia="Times New Roman"/>
                <w:bCs/>
                <w:color w:val="000000"/>
              </w:rPr>
            </w:pPr>
            <w:r w:rsidRPr="003C2BC2">
              <w:rPr>
                <w:color w:val="000000"/>
              </w:rPr>
              <w:t>39.</w:t>
            </w:r>
          </w:p>
        </w:tc>
        <w:tc>
          <w:tcPr>
            <w:tcW w:w="1990" w:type="dxa"/>
          </w:tcPr>
          <w:p w14:paraId="1C189A52" w14:textId="4CB4A437" w:rsidR="00377F6B" w:rsidRPr="003C2BC2" w:rsidRDefault="00377F6B" w:rsidP="0081712D">
            <w:pPr>
              <w:rPr>
                <w:rFonts w:eastAsia="Times New Roman"/>
                <w:bCs/>
                <w:color w:val="000000"/>
              </w:rPr>
            </w:pPr>
            <w:r w:rsidRPr="003C2BC2">
              <w:rPr>
                <w:color w:val="000000"/>
              </w:rPr>
              <w:t>Article 1 Section 17(3), second sentence</w:t>
            </w:r>
          </w:p>
        </w:tc>
        <w:tc>
          <w:tcPr>
            <w:tcW w:w="4111" w:type="dxa"/>
          </w:tcPr>
          <w:p w14:paraId="76E4FAE0" w14:textId="77777777" w:rsidR="00377F6B" w:rsidRPr="003C2BC2" w:rsidRDefault="00377F6B" w:rsidP="0081712D">
            <w:pPr>
              <w:rPr>
                <w:rFonts w:eastAsia="Times New Roman"/>
                <w:bCs/>
                <w:color w:val="000000"/>
              </w:rPr>
            </w:pPr>
            <w:r w:rsidRPr="003C2BC2">
              <w:rPr>
                <w:color w:val="000000"/>
              </w:rPr>
              <w:t>Publication online of data on the services provided</w:t>
            </w:r>
          </w:p>
        </w:tc>
        <w:tc>
          <w:tcPr>
            <w:tcW w:w="1559" w:type="dxa"/>
          </w:tcPr>
          <w:p w14:paraId="49796154"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5097BA64" w14:textId="77777777" w:rsidR="00377F6B" w:rsidRPr="003C2BC2" w:rsidRDefault="00377F6B" w:rsidP="0081712D">
            <w:pPr>
              <w:rPr>
                <w:rFonts w:eastAsia="Times New Roman"/>
                <w:bCs/>
                <w:color w:val="000000"/>
              </w:rPr>
            </w:pPr>
            <w:r w:rsidRPr="003C2BC2">
              <w:rPr>
                <w:color w:val="000000"/>
              </w:rPr>
              <w:t>FEA</w:t>
            </w:r>
          </w:p>
        </w:tc>
      </w:tr>
      <w:tr w:rsidR="00377F6B" w:rsidRPr="003C2BC2" w14:paraId="0A08037F" w14:textId="77777777" w:rsidTr="00650125">
        <w:tc>
          <w:tcPr>
            <w:tcW w:w="704" w:type="dxa"/>
          </w:tcPr>
          <w:p w14:paraId="29A8D14D" w14:textId="684537B7" w:rsidR="00377F6B" w:rsidRPr="003C2BC2" w:rsidRDefault="00FB1321" w:rsidP="0081712D">
            <w:pPr>
              <w:rPr>
                <w:rFonts w:eastAsia="Times New Roman"/>
                <w:bCs/>
                <w:color w:val="000000"/>
              </w:rPr>
            </w:pPr>
            <w:r w:rsidRPr="003C2BC2">
              <w:rPr>
                <w:color w:val="000000"/>
              </w:rPr>
              <w:t>40.</w:t>
            </w:r>
          </w:p>
        </w:tc>
        <w:tc>
          <w:tcPr>
            <w:tcW w:w="1990" w:type="dxa"/>
          </w:tcPr>
          <w:p w14:paraId="4C7239A9" w14:textId="490C9D95" w:rsidR="00377F6B" w:rsidRPr="003C2BC2" w:rsidRDefault="00377F6B" w:rsidP="0081712D">
            <w:pPr>
              <w:rPr>
                <w:rFonts w:eastAsia="Times New Roman"/>
                <w:bCs/>
                <w:color w:val="000000"/>
              </w:rPr>
            </w:pPr>
            <w:r w:rsidRPr="003C2BC2">
              <w:rPr>
                <w:color w:val="000000"/>
              </w:rPr>
              <w:t>Article 1 Section 18</w:t>
            </w:r>
          </w:p>
        </w:tc>
        <w:tc>
          <w:tcPr>
            <w:tcW w:w="4111" w:type="dxa"/>
          </w:tcPr>
          <w:p w14:paraId="551AD532" w14:textId="77777777" w:rsidR="00377F6B" w:rsidRPr="003C2BC2" w:rsidRDefault="00377F6B" w:rsidP="0081712D">
            <w:pPr>
              <w:rPr>
                <w:rFonts w:eastAsia="Times New Roman"/>
                <w:bCs/>
                <w:color w:val="000000"/>
              </w:rPr>
            </w:pPr>
            <w:r w:rsidRPr="003C2BC2">
              <w:rPr>
                <w:color w:val="000000"/>
              </w:rPr>
              <w:t>Ordering verification of information by an expert</w:t>
            </w:r>
          </w:p>
        </w:tc>
        <w:tc>
          <w:tcPr>
            <w:tcW w:w="1559" w:type="dxa"/>
          </w:tcPr>
          <w:p w14:paraId="0171BFFA"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03DE8103" w14:textId="77777777" w:rsidR="00377F6B" w:rsidRPr="003C2BC2" w:rsidRDefault="00377F6B" w:rsidP="0081712D">
            <w:pPr>
              <w:rPr>
                <w:rFonts w:eastAsia="Times New Roman"/>
                <w:bCs/>
                <w:color w:val="000000"/>
              </w:rPr>
            </w:pPr>
            <w:r w:rsidRPr="003C2BC2">
              <w:rPr>
                <w:color w:val="000000"/>
              </w:rPr>
              <w:t>FEA</w:t>
            </w:r>
          </w:p>
        </w:tc>
      </w:tr>
      <w:tr w:rsidR="00377F6B" w:rsidRPr="003C2BC2" w14:paraId="7E159CEB" w14:textId="77777777" w:rsidTr="00650125">
        <w:tc>
          <w:tcPr>
            <w:tcW w:w="704" w:type="dxa"/>
          </w:tcPr>
          <w:p w14:paraId="707ACEF9" w14:textId="68763DA2" w:rsidR="00377F6B" w:rsidRPr="003C2BC2" w:rsidRDefault="00FB1321" w:rsidP="0081712D">
            <w:pPr>
              <w:rPr>
                <w:rFonts w:eastAsia="Times New Roman"/>
                <w:bCs/>
                <w:color w:val="000000"/>
              </w:rPr>
            </w:pPr>
            <w:r w:rsidRPr="003C2BC2">
              <w:rPr>
                <w:color w:val="000000"/>
              </w:rPr>
              <w:t>41.</w:t>
            </w:r>
          </w:p>
        </w:tc>
        <w:tc>
          <w:tcPr>
            <w:tcW w:w="1990" w:type="dxa"/>
          </w:tcPr>
          <w:p w14:paraId="32630AFE" w14:textId="04064189" w:rsidR="00377F6B" w:rsidRPr="003C2BC2" w:rsidRDefault="00377F6B" w:rsidP="0081712D">
            <w:pPr>
              <w:rPr>
                <w:rFonts w:eastAsia="Times New Roman"/>
                <w:bCs/>
                <w:color w:val="000000"/>
              </w:rPr>
            </w:pPr>
            <w:r w:rsidRPr="003C2BC2">
              <w:rPr>
                <w:color w:val="000000"/>
              </w:rPr>
              <w:t>Article 1 Section 18</w:t>
            </w:r>
          </w:p>
        </w:tc>
        <w:tc>
          <w:tcPr>
            <w:tcW w:w="4111" w:type="dxa"/>
          </w:tcPr>
          <w:p w14:paraId="1CA98AEB" w14:textId="77777777" w:rsidR="00377F6B" w:rsidRPr="003C2BC2" w:rsidRDefault="00377F6B" w:rsidP="0081712D">
            <w:pPr>
              <w:rPr>
                <w:rFonts w:eastAsia="Times New Roman"/>
                <w:bCs/>
                <w:color w:val="000000"/>
              </w:rPr>
            </w:pPr>
            <w:r w:rsidRPr="003C2BC2">
              <w:rPr>
                <w:color w:val="000000"/>
              </w:rPr>
              <w:t>Verification of information by an expert and submission of verification result</w:t>
            </w:r>
          </w:p>
        </w:tc>
        <w:tc>
          <w:tcPr>
            <w:tcW w:w="1559" w:type="dxa"/>
          </w:tcPr>
          <w:p w14:paraId="2F430847"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39A15A65" w14:textId="77777777" w:rsidR="00377F6B" w:rsidRPr="003C2BC2" w:rsidRDefault="00377F6B" w:rsidP="0081712D">
            <w:pPr>
              <w:rPr>
                <w:rFonts w:eastAsia="Times New Roman"/>
                <w:bCs/>
                <w:color w:val="000000"/>
              </w:rPr>
            </w:pPr>
            <w:r w:rsidRPr="003C2BC2">
              <w:rPr>
                <w:color w:val="000000"/>
              </w:rPr>
              <w:t>Beneficiaries</w:t>
            </w:r>
          </w:p>
        </w:tc>
      </w:tr>
      <w:tr w:rsidR="00377F6B" w:rsidRPr="003C2BC2" w14:paraId="0D8BBA54" w14:textId="77777777" w:rsidTr="00650125">
        <w:tc>
          <w:tcPr>
            <w:tcW w:w="704" w:type="dxa"/>
          </w:tcPr>
          <w:p w14:paraId="1E31E779" w14:textId="29D43C11" w:rsidR="00377F6B" w:rsidRPr="003C2BC2" w:rsidRDefault="00FB1321" w:rsidP="0081712D">
            <w:pPr>
              <w:rPr>
                <w:rFonts w:eastAsia="Times New Roman"/>
                <w:bCs/>
                <w:color w:val="000000"/>
              </w:rPr>
            </w:pPr>
            <w:r w:rsidRPr="003C2BC2">
              <w:rPr>
                <w:color w:val="000000"/>
              </w:rPr>
              <w:lastRenderedPageBreak/>
              <w:t>42.</w:t>
            </w:r>
          </w:p>
        </w:tc>
        <w:tc>
          <w:tcPr>
            <w:tcW w:w="1990" w:type="dxa"/>
          </w:tcPr>
          <w:p w14:paraId="7B89C96C" w14:textId="7F0CE787" w:rsidR="00377F6B" w:rsidRPr="003C2BC2" w:rsidRDefault="00377F6B" w:rsidP="0081712D">
            <w:pPr>
              <w:rPr>
                <w:rFonts w:eastAsia="Times New Roman"/>
                <w:bCs/>
                <w:color w:val="000000"/>
              </w:rPr>
            </w:pPr>
            <w:r w:rsidRPr="003C2BC2">
              <w:rPr>
                <w:color w:val="000000"/>
              </w:rPr>
              <w:t>Article 1 Section 20</w:t>
            </w:r>
          </w:p>
        </w:tc>
        <w:tc>
          <w:tcPr>
            <w:tcW w:w="4111" w:type="dxa"/>
          </w:tcPr>
          <w:p w14:paraId="70012479" w14:textId="77777777" w:rsidR="00377F6B" w:rsidRPr="003C2BC2" w:rsidRDefault="00377F6B" w:rsidP="0081712D">
            <w:pPr>
              <w:rPr>
                <w:rFonts w:eastAsia="Times New Roman"/>
                <w:bCs/>
                <w:color w:val="000000"/>
              </w:rPr>
            </w:pPr>
            <w:r w:rsidRPr="003C2BC2">
              <w:rPr>
                <w:color w:val="000000"/>
              </w:rPr>
              <w:t>Announcement of the points value</w:t>
            </w:r>
          </w:p>
        </w:tc>
        <w:tc>
          <w:tcPr>
            <w:tcW w:w="1559" w:type="dxa"/>
          </w:tcPr>
          <w:p w14:paraId="76E13A0D"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397D0DEB" w14:textId="77777777" w:rsidR="00377F6B" w:rsidRPr="003C2BC2" w:rsidRDefault="00377F6B" w:rsidP="0081712D">
            <w:pPr>
              <w:rPr>
                <w:rFonts w:eastAsia="Times New Roman"/>
                <w:bCs/>
                <w:color w:val="000000"/>
              </w:rPr>
            </w:pPr>
            <w:r w:rsidRPr="003C2BC2">
              <w:rPr>
                <w:color w:val="000000"/>
              </w:rPr>
              <w:t>FEA</w:t>
            </w:r>
          </w:p>
        </w:tc>
      </w:tr>
      <w:tr w:rsidR="00377F6B" w:rsidRPr="003C2BC2" w14:paraId="3BA486C6" w14:textId="77777777" w:rsidTr="00650125">
        <w:tc>
          <w:tcPr>
            <w:tcW w:w="704" w:type="dxa"/>
          </w:tcPr>
          <w:p w14:paraId="4477E6B5" w14:textId="7C4F1712" w:rsidR="00377F6B" w:rsidRPr="003C2BC2" w:rsidRDefault="00FB1321" w:rsidP="0081712D">
            <w:pPr>
              <w:rPr>
                <w:rFonts w:eastAsia="Times New Roman"/>
                <w:bCs/>
                <w:color w:val="000000"/>
              </w:rPr>
            </w:pPr>
            <w:r w:rsidRPr="003C2BC2">
              <w:rPr>
                <w:color w:val="000000"/>
              </w:rPr>
              <w:t>43.</w:t>
            </w:r>
          </w:p>
        </w:tc>
        <w:tc>
          <w:tcPr>
            <w:tcW w:w="1990" w:type="dxa"/>
          </w:tcPr>
          <w:p w14:paraId="46DA7E74" w14:textId="2D1B202D" w:rsidR="00377F6B" w:rsidRPr="003C2BC2" w:rsidRDefault="00377F6B" w:rsidP="0081712D">
            <w:pPr>
              <w:rPr>
                <w:rFonts w:eastAsia="Times New Roman"/>
                <w:bCs/>
                <w:color w:val="000000"/>
              </w:rPr>
            </w:pPr>
            <w:r w:rsidRPr="003C2BC2">
              <w:rPr>
                <w:color w:val="000000"/>
              </w:rPr>
              <w:t>Article 1 Section 21, first and second sentences</w:t>
            </w:r>
          </w:p>
        </w:tc>
        <w:tc>
          <w:tcPr>
            <w:tcW w:w="4111" w:type="dxa"/>
          </w:tcPr>
          <w:p w14:paraId="4731F3AB" w14:textId="77777777" w:rsidR="00377F6B" w:rsidRPr="003C2BC2" w:rsidRDefault="00377F6B" w:rsidP="0081712D">
            <w:pPr>
              <w:rPr>
                <w:rFonts w:eastAsia="Times New Roman"/>
                <w:bCs/>
                <w:color w:val="000000"/>
              </w:rPr>
            </w:pPr>
            <w:r w:rsidRPr="003C2BC2">
              <w:rPr>
                <w:color w:val="000000"/>
              </w:rPr>
              <w:t>Determination of the amounts to be disbursed</w:t>
            </w:r>
          </w:p>
        </w:tc>
        <w:tc>
          <w:tcPr>
            <w:tcW w:w="1559" w:type="dxa"/>
          </w:tcPr>
          <w:p w14:paraId="625DC48E"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424A68D5" w14:textId="77777777" w:rsidR="00377F6B" w:rsidRPr="003C2BC2" w:rsidRDefault="00377F6B" w:rsidP="0081712D">
            <w:pPr>
              <w:rPr>
                <w:rFonts w:eastAsia="Times New Roman"/>
                <w:bCs/>
                <w:color w:val="000000"/>
              </w:rPr>
            </w:pPr>
            <w:r w:rsidRPr="003C2BC2">
              <w:rPr>
                <w:color w:val="000000"/>
              </w:rPr>
              <w:t>FEA</w:t>
            </w:r>
          </w:p>
        </w:tc>
      </w:tr>
      <w:tr w:rsidR="00377F6B" w:rsidRPr="003C2BC2" w14:paraId="56C4A54D" w14:textId="77777777" w:rsidTr="00650125">
        <w:tc>
          <w:tcPr>
            <w:tcW w:w="704" w:type="dxa"/>
          </w:tcPr>
          <w:p w14:paraId="31D33A24" w14:textId="4C9FC687" w:rsidR="00377F6B" w:rsidRPr="003C2BC2" w:rsidRDefault="00FB1321" w:rsidP="0081712D">
            <w:pPr>
              <w:rPr>
                <w:rFonts w:eastAsia="Times New Roman"/>
                <w:bCs/>
                <w:color w:val="000000"/>
              </w:rPr>
            </w:pPr>
            <w:r w:rsidRPr="003C2BC2">
              <w:rPr>
                <w:color w:val="000000"/>
              </w:rPr>
              <w:t>44.</w:t>
            </w:r>
          </w:p>
        </w:tc>
        <w:tc>
          <w:tcPr>
            <w:tcW w:w="1990" w:type="dxa"/>
          </w:tcPr>
          <w:p w14:paraId="0F6A3340" w14:textId="04AE3B30" w:rsidR="00377F6B" w:rsidRPr="003C2BC2" w:rsidRDefault="00377F6B" w:rsidP="0081712D">
            <w:pPr>
              <w:rPr>
                <w:rFonts w:eastAsia="Times New Roman"/>
                <w:bCs/>
                <w:color w:val="000000"/>
              </w:rPr>
            </w:pPr>
            <w:r w:rsidRPr="003C2BC2">
              <w:rPr>
                <w:color w:val="000000"/>
              </w:rPr>
              <w:t>Article 1 Second 21, third sentence</w:t>
            </w:r>
          </w:p>
        </w:tc>
        <w:tc>
          <w:tcPr>
            <w:tcW w:w="4111" w:type="dxa"/>
          </w:tcPr>
          <w:p w14:paraId="783CCC41" w14:textId="77777777" w:rsidR="00377F6B" w:rsidRPr="003C2BC2" w:rsidRDefault="00377F6B" w:rsidP="0081712D">
            <w:pPr>
              <w:rPr>
                <w:rFonts w:eastAsia="Times New Roman"/>
                <w:bCs/>
                <w:color w:val="000000"/>
              </w:rPr>
            </w:pPr>
            <w:r w:rsidRPr="003C2BC2">
              <w:rPr>
                <w:color w:val="000000"/>
              </w:rPr>
              <w:t>Disbursement of amounts</w:t>
            </w:r>
          </w:p>
        </w:tc>
        <w:tc>
          <w:tcPr>
            <w:tcW w:w="1559" w:type="dxa"/>
          </w:tcPr>
          <w:p w14:paraId="4F74C7AF" w14:textId="77777777" w:rsidR="00377F6B" w:rsidRPr="003C2BC2" w:rsidRDefault="00377F6B" w:rsidP="0081712D">
            <w:pPr>
              <w:rPr>
                <w:rFonts w:eastAsia="Times New Roman"/>
                <w:bCs/>
                <w:color w:val="000000"/>
              </w:rPr>
            </w:pPr>
            <w:r w:rsidRPr="003C2BC2">
              <w:rPr>
                <w:color w:val="000000"/>
              </w:rPr>
              <w:t>Authorities</w:t>
            </w:r>
          </w:p>
        </w:tc>
        <w:tc>
          <w:tcPr>
            <w:tcW w:w="1842" w:type="dxa"/>
          </w:tcPr>
          <w:p w14:paraId="4E1D57F8" w14:textId="77777777" w:rsidR="00377F6B" w:rsidRPr="003C2BC2" w:rsidRDefault="00377F6B" w:rsidP="0081712D">
            <w:pPr>
              <w:rPr>
                <w:rFonts w:eastAsia="Times New Roman"/>
                <w:bCs/>
                <w:color w:val="000000"/>
              </w:rPr>
            </w:pPr>
            <w:r w:rsidRPr="003C2BC2">
              <w:rPr>
                <w:color w:val="000000"/>
              </w:rPr>
              <w:t>FEA</w:t>
            </w:r>
          </w:p>
        </w:tc>
      </w:tr>
      <w:tr w:rsidR="00377F6B" w:rsidRPr="003C2BC2" w14:paraId="3880D47A" w14:textId="77777777" w:rsidTr="00650125">
        <w:tc>
          <w:tcPr>
            <w:tcW w:w="704" w:type="dxa"/>
          </w:tcPr>
          <w:p w14:paraId="51065D81" w14:textId="466E1935" w:rsidR="00377F6B" w:rsidRPr="003C2BC2" w:rsidRDefault="00FB1321" w:rsidP="0081712D">
            <w:pPr>
              <w:rPr>
                <w:rFonts w:eastAsia="Times New Roman"/>
                <w:bCs/>
                <w:color w:val="000000"/>
              </w:rPr>
            </w:pPr>
            <w:r w:rsidRPr="003C2BC2">
              <w:rPr>
                <w:color w:val="000000"/>
              </w:rPr>
              <w:t>45.</w:t>
            </w:r>
          </w:p>
        </w:tc>
        <w:tc>
          <w:tcPr>
            <w:tcW w:w="1990" w:type="dxa"/>
          </w:tcPr>
          <w:p w14:paraId="7C3DF23B" w14:textId="2B2155F0" w:rsidR="00377F6B" w:rsidRPr="003C2BC2" w:rsidRDefault="00377F6B" w:rsidP="0081712D">
            <w:pPr>
              <w:rPr>
                <w:rFonts w:eastAsia="Times New Roman"/>
                <w:bCs/>
                <w:color w:val="000000"/>
              </w:rPr>
            </w:pPr>
            <w:r w:rsidRPr="003C2BC2">
              <w:rPr>
                <w:color w:val="000000"/>
              </w:rPr>
              <w:t>Article 1 Section 22</w:t>
            </w:r>
          </w:p>
        </w:tc>
        <w:tc>
          <w:tcPr>
            <w:tcW w:w="4111" w:type="dxa"/>
          </w:tcPr>
          <w:p w14:paraId="6F82AF80" w14:textId="38EAA630" w:rsidR="00377F6B" w:rsidRPr="003C2BC2" w:rsidRDefault="00377F6B" w:rsidP="001A1D98">
            <w:pPr>
              <w:rPr>
                <w:rFonts w:eastAsia="Times New Roman"/>
                <w:bCs/>
                <w:color w:val="000000"/>
              </w:rPr>
            </w:pPr>
            <w:r w:rsidRPr="003C2BC2">
              <w:rPr>
                <w:color w:val="000000"/>
              </w:rPr>
              <w:t>Statements of determination</w:t>
            </w:r>
          </w:p>
        </w:tc>
        <w:tc>
          <w:tcPr>
            <w:tcW w:w="1559" w:type="dxa"/>
          </w:tcPr>
          <w:p w14:paraId="0393BB43"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5583B342" w14:textId="77777777" w:rsidR="00377F6B" w:rsidRPr="003C2BC2" w:rsidRDefault="00377F6B" w:rsidP="0081712D">
            <w:pPr>
              <w:rPr>
                <w:rFonts w:eastAsia="Times New Roman"/>
                <w:bCs/>
                <w:color w:val="000000"/>
              </w:rPr>
            </w:pPr>
            <w:r w:rsidRPr="003C2BC2">
              <w:rPr>
                <w:color w:val="000000"/>
              </w:rPr>
              <w:t>FEA</w:t>
            </w:r>
          </w:p>
        </w:tc>
      </w:tr>
      <w:tr w:rsidR="00377F6B" w:rsidRPr="003C2BC2" w14:paraId="18D5F0F1" w14:textId="77777777" w:rsidTr="00650125">
        <w:tc>
          <w:tcPr>
            <w:tcW w:w="704" w:type="dxa"/>
          </w:tcPr>
          <w:p w14:paraId="41641C92" w14:textId="762E838C" w:rsidR="00377F6B" w:rsidRPr="003C2BC2" w:rsidRDefault="00FB1321" w:rsidP="0081712D">
            <w:pPr>
              <w:rPr>
                <w:rFonts w:eastAsia="Times New Roman"/>
                <w:bCs/>
                <w:color w:val="000000"/>
              </w:rPr>
            </w:pPr>
            <w:r w:rsidRPr="003C2BC2">
              <w:rPr>
                <w:color w:val="000000"/>
              </w:rPr>
              <w:t>46.</w:t>
            </w:r>
          </w:p>
        </w:tc>
        <w:tc>
          <w:tcPr>
            <w:tcW w:w="1990" w:type="dxa"/>
          </w:tcPr>
          <w:p w14:paraId="38A8D51F" w14:textId="1CF65CA7" w:rsidR="00377F6B" w:rsidRPr="003C2BC2" w:rsidRDefault="00377F6B" w:rsidP="0081712D">
            <w:pPr>
              <w:rPr>
                <w:rFonts w:eastAsia="Times New Roman"/>
                <w:bCs/>
                <w:color w:val="000000"/>
              </w:rPr>
            </w:pPr>
            <w:r w:rsidRPr="003C2BC2">
              <w:rPr>
                <w:color w:val="000000"/>
              </w:rPr>
              <w:t>Article 1 Section 23(1)</w:t>
            </w:r>
          </w:p>
        </w:tc>
        <w:tc>
          <w:tcPr>
            <w:tcW w:w="4111" w:type="dxa"/>
          </w:tcPr>
          <w:p w14:paraId="4004D610" w14:textId="5483ADB3" w:rsidR="00377F6B" w:rsidRPr="003C2BC2" w:rsidRDefault="00377F6B" w:rsidP="001A1D98">
            <w:pPr>
              <w:rPr>
                <w:rFonts w:eastAsia="Times New Roman"/>
                <w:bCs/>
                <w:color w:val="000000"/>
              </w:rPr>
            </w:pPr>
            <w:r w:rsidRPr="003C2BC2">
              <w:rPr>
                <w:color w:val="000000"/>
              </w:rPr>
              <w:t>Convening and organising the meetings of the single-use plastics commission</w:t>
            </w:r>
          </w:p>
        </w:tc>
        <w:tc>
          <w:tcPr>
            <w:tcW w:w="1559" w:type="dxa"/>
          </w:tcPr>
          <w:p w14:paraId="1494E873" w14:textId="77777777" w:rsidR="00377F6B" w:rsidRPr="003C2BC2" w:rsidRDefault="00377F6B" w:rsidP="0081712D">
            <w:pPr>
              <w:rPr>
                <w:rFonts w:eastAsia="Times New Roman"/>
                <w:bCs/>
                <w:color w:val="000000"/>
              </w:rPr>
            </w:pPr>
            <w:r w:rsidRPr="003C2BC2">
              <w:rPr>
                <w:color w:val="000000"/>
              </w:rPr>
              <w:t>Authorities</w:t>
            </w:r>
          </w:p>
        </w:tc>
        <w:tc>
          <w:tcPr>
            <w:tcW w:w="1842" w:type="dxa"/>
          </w:tcPr>
          <w:p w14:paraId="2FA645F1" w14:textId="77777777" w:rsidR="00377F6B" w:rsidRPr="003C2BC2" w:rsidRDefault="00377F6B" w:rsidP="0081712D">
            <w:pPr>
              <w:rPr>
                <w:rFonts w:eastAsia="Times New Roman"/>
                <w:bCs/>
                <w:color w:val="000000"/>
              </w:rPr>
            </w:pPr>
            <w:r w:rsidRPr="003C2BC2">
              <w:rPr>
                <w:color w:val="000000"/>
              </w:rPr>
              <w:t>FEA</w:t>
            </w:r>
          </w:p>
        </w:tc>
      </w:tr>
      <w:tr w:rsidR="00377F6B" w:rsidRPr="003C2BC2" w14:paraId="0F2029AB" w14:textId="77777777" w:rsidTr="00650125">
        <w:tc>
          <w:tcPr>
            <w:tcW w:w="704" w:type="dxa"/>
          </w:tcPr>
          <w:p w14:paraId="6288FE7A" w14:textId="683029AC" w:rsidR="00377F6B" w:rsidRPr="003C2BC2" w:rsidRDefault="00FB1321" w:rsidP="0081712D">
            <w:pPr>
              <w:rPr>
                <w:rFonts w:eastAsia="Times New Roman"/>
                <w:bCs/>
                <w:color w:val="000000"/>
              </w:rPr>
            </w:pPr>
            <w:r w:rsidRPr="003C2BC2">
              <w:rPr>
                <w:color w:val="000000"/>
              </w:rPr>
              <w:t>47.</w:t>
            </w:r>
          </w:p>
        </w:tc>
        <w:tc>
          <w:tcPr>
            <w:tcW w:w="1990" w:type="dxa"/>
          </w:tcPr>
          <w:p w14:paraId="3C977F9D" w14:textId="5AAB8B1C" w:rsidR="00377F6B" w:rsidRPr="003C2BC2" w:rsidRDefault="00377F6B" w:rsidP="0081712D">
            <w:pPr>
              <w:rPr>
                <w:rFonts w:eastAsia="Times New Roman"/>
                <w:bCs/>
                <w:color w:val="000000"/>
              </w:rPr>
            </w:pPr>
            <w:r w:rsidRPr="003C2BC2">
              <w:rPr>
                <w:color w:val="000000"/>
              </w:rPr>
              <w:t>Article 1 Section 23(1), second sentence, in conjunction with the second sentence of paragraph (2)</w:t>
            </w:r>
          </w:p>
        </w:tc>
        <w:tc>
          <w:tcPr>
            <w:tcW w:w="4111" w:type="dxa"/>
          </w:tcPr>
          <w:p w14:paraId="1B077617" w14:textId="77777777" w:rsidR="00377F6B" w:rsidRPr="003C2BC2" w:rsidRDefault="00377F6B" w:rsidP="0081712D">
            <w:pPr>
              <w:rPr>
                <w:rFonts w:eastAsia="Times New Roman"/>
                <w:bCs/>
                <w:color w:val="000000"/>
              </w:rPr>
            </w:pPr>
            <w:r w:rsidRPr="003C2BC2">
              <w:rPr>
                <w:color w:val="000000"/>
              </w:rPr>
              <w:t>Commissioning of studies as a basis for advice</w:t>
            </w:r>
          </w:p>
        </w:tc>
        <w:tc>
          <w:tcPr>
            <w:tcW w:w="1559" w:type="dxa"/>
          </w:tcPr>
          <w:p w14:paraId="084A11D9" w14:textId="77777777" w:rsidR="00377F6B" w:rsidRPr="003C2BC2" w:rsidRDefault="00377F6B" w:rsidP="0081712D">
            <w:pPr>
              <w:rPr>
                <w:rFonts w:eastAsia="Times New Roman"/>
                <w:bCs/>
                <w:color w:val="000000"/>
              </w:rPr>
            </w:pPr>
            <w:r w:rsidRPr="003C2BC2">
              <w:rPr>
                <w:color w:val="000000"/>
              </w:rPr>
              <w:t>Authorities</w:t>
            </w:r>
          </w:p>
        </w:tc>
        <w:tc>
          <w:tcPr>
            <w:tcW w:w="1842" w:type="dxa"/>
          </w:tcPr>
          <w:p w14:paraId="1C9B5BDF" w14:textId="77777777" w:rsidR="00377F6B" w:rsidRPr="003C2BC2" w:rsidRDefault="00377F6B" w:rsidP="0081712D">
            <w:pPr>
              <w:rPr>
                <w:rFonts w:eastAsia="Times New Roman"/>
                <w:bCs/>
                <w:color w:val="000000"/>
              </w:rPr>
            </w:pPr>
            <w:r w:rsidRPr="003C2BC2">
              <w:rPr>
                <w:color w:val="000000"/>
              </w:rPr>
              <w:t>FEA</w:t>
            </w:r>
          </w:p>
        </w:tc>
      </w:tr>
      <w:tr w:rsidR="00377F6B" w:rsidRPr="003C2BC2" w14:paraId="03BBC194" w14:textId="77777777" w:rsidTr="00650125">
        <w:tc>
          <w:tcPr>
            <w:tcW w:w="704" w:type="dxa"/>
          </w:tcPr>
          <w:p w14:paraId="5FEB4CAD" w14:textId="4612AADB" w:rsidR="00377F6B" w:rsidRPr="003C2BC2" w:rsidRDefault="00FB1321" w:rsidP="0081712D">
            <w:pPr>
              <w:rPr>
                <w:rFonts w:eastAsia="Times New Roman"/>
                <w:bCs/>
                <w:color w:val="000000"/>
              </w:rPr>
            </w:pPr>
            <w:r w:rsidRPr="003C2BC2">
              <w:rPr>
                <w:color w:val="000000"/>
              </w:rPr>
              <w:t>48.</w:t>
            </w:r>
          </w:p>
        </w:tc>
        <w:tc>
          <w:tcPr>
            <w:tcW w:w="1990" w:type="dxa"/>
          </w:tcPr>
          <w:p w14:paraId="60E97498" w14:textId="02049E46" w:rsidR="00377F6B" w:rsidRPr="003C2BC2" w:rsidRDefault="00377F6B" w:rsidP="0081712D">
            <w:pPr>
              <w:rPr>
                <w:rFonts w:eastAsia="Times New Roman"/>
                <w:bCs/>
                <w:color w:val="000000"/>
              </w:rPr>
            </w:pPr>
            <w:r w:rsidRPr="003C2BC2">
              <w:rPr>
                <w:color w:val="000000"/>
              </w:rPr>
              <w:t>Article 1 Section 24</w:t>
            </w:r>
          </w:p>
        </w:tc>
        <w:tc>
          <w:tcPr>
            <w:tcW w:w="4111" w:type="dxa"/>
          </w:tcPr>
          <w:p w14:paraId="772ACCB3" w14:textId="77777777" w:rsidR="00377F6B" w:rsidRPr="003C2BC2" w:rsidRDefault="00377F6B" w:rsidP="0081712D">
            <w:pPr>
              <w:rPr>
                <w:rFonts w:eastAsia="Times New Roman"/>
                <w:bCs/>
                <w:color w:val="000000"/>
              </w:rPr>
            </w:pPr>
            <w:r w:rsidRPr="003C2BC2">
              <w:rPr>
                <w:color w:val="000000"/>
              </w:rPr>
              <w:t>Advisory activities of the single-use plastics commission</w:t>
            </w:r>
          </w:p>
        </w:tc>
        <w:tc>
          <w:tcPr>
            <w:tcW w:w="1559" w:type="dxa"/>
          </w:tcPr>
          <w:p w14:paraId="3FFBD4EE" w14:textId="77777777" w:rsidR="00377F6B" w:rsidRPr="003C2BC2" w:rsidRDefault="00377F6B" w:rsidP="0081712D">
            <w:pPr>
              <w:rPr>
                <w:rFonts w:eastAsia="Times New Roman"/>
                <w:bCs/>
                <w:color w:val="000000"/>
              </w:rPr>
            </w:pPr>
            <w:r w:rsidRPr="003C2BC2">
              <w:rPr>
                <w:color w:val="000000"/>
              </w:rPr>
              <w:t>Businesses</w:t>
            </w:r>
          </w:p>
        </w:tc>
        <w:tc>
          <w:tcPr>
            <w:tcW w:w="1842" w:type="dxa"/>
          </w:tcPr>
          <w:p w14:paraId="3B248980" w14:textId="77777777" w:rsidR="00377F6B" w:rsidRPr="003C2BC2" w:rsidRDefault="00377F6B" w:rsidP="0081712D">
            <w:pPr>
              <w:rPr>
                <w:rFonts w:eastAsia="Times New Roman"/>
                <w:bCs/>
                <w:color w:val="000000"/>
              </w:rPr>
            </w:pPr>
            <w:r w:rsidRPr="003C2BC2">
              <w:rPr>
                <w:color w:val="000000"/>
              </w:rPr>
              <w:t>Producers</w:t>
            </w:r>
          </w:p>
        </w:tc>
      </w:tr>
      <w:tr w:rsidR="00377F6B" w:rsidRPr="003C2BC2" w14:paraId="267FAD3C" w14:textId="77777777" w:rsidTr="00650125">
        <w:tc>
          <w:tcPr>
            <w:tcW w:w="704" w:type="dxa"/>
          </w:tcPr>
          <w:p w14:paraId="54FE0895" w14:textId="2A7C5BC1" w:rsidR="00377F6B" w:rsidRPr="003C2BC2" w:rsidRDefault="00FB1321" w:rsidP="0081712D">
            <w:pPr>
              <w:rPr>
                <w:rFonts w:eastAsia="Times New Roman"/>
                <w:bCs/>
                <w:color w:val="000000"/>
              </w:rPr>
            </w:pPr>
            <w:r w:rsidRPr="003C2BC2">
              <w:rPr>
                <w:color w:val="000000"/>
              </w:rPr>
              <w:t>49.</w:t>
            </w:r>
          </w:p>
        </w:tc>
        <w:tc>
          <w:tcPr>
            <w:tcW w:w="1990" w:type="dxa"/>
          </w:tcPr>
          <w:p w14:paraId="309C1059" w14:textId="06388287" w:rsidR="00377F6B" w:rsidRPr="003C2BC2" w:rsidRDefault="00377F6B" w:rsidP="0081712D">
            <w:pPr>
              <w:rPr>
                <w:rFonts w:eastAsia="Times New Roman"/>
                <w:bCs/>
                <w:color w:val="000000"/>
              </w:rPr>
            </w:pPr>
            <w:r w:rsidRPr="003C2BC2">
              <w:rPr>
                <w:color w:val="000000"/>
              </w:rPr>
              <w:t>Article 1 Section 24</w:t>
            </w:r>
          </w:p>
        </w:tc>
        <w:tc>
          <w:tcPr>
            <w:tcW w:w="4111" w:type="dxa"/>
          </w:tcPr>
          <w:p w14:paraId="6E2C0676" w14:textId="77777777" w:rsidR="00377F6B" w:rsidRPr="003C2BC2" w:rsidRDefault="00377F6B" w:rsidP="0081712D">
            <w:pPr>
              <w:rPr>
                <w:rFonts w:eastAsia="Times New Roman"/>
                <w:bCs/>
                <w:color w:val="000000"/>
              </w:rPr>
            </w:pPr>
            <w:r w:rsidRPr="003C2BC2">
              <w:rPr>
                <w:color w:val="000000"/>
              </w:rPr>
              <w:t>Advisory activities of the single-use plastics commission</w:t>
            </w:r>
          </w:p>
        </w:tc>
        <w:tc>
          <w:tcPr>
            <w:tcW w:w="1559" w:type="dxa"/>
          </w:tcPr>
          <w:p w14:paraId="2A00DECB" w14:textId="77777777" w:rsidR="00377F6B" w:rsidRPr="003C2BC2" w:rsidRDefault="00377F6B" w:rsidP="0081712D">
            <w:pPr>
              <w:rPr>
                <w:rFonts w:eastAsia="Times New Roman"/>
                <w:bCs/>
                <w:color w:val="000000"/>
              </w:rPr>
            </w:pPr>
            <w:r w:rsidRPr="003C2BC2">
              <w:rPr>
                <w:color w:val="000000"/>
              </w:rPr>
              <w:t>Businesses</w:t>
            </w:r>
          </w:p>
        </w:tc>
        <w:tc>
          <w:tcPr>
            <w:tcW w:w="1842" w:type="dxa"/>
          </w:tcPr>
          <w:p w14:paraId="7E6FEA62" w14:textId="77777777" w:rsidR="00377F6B" w:rsidRPr="003C2BC2" w:rsidRDefault="00377F6B" w:rsidP="0081712D">
            <w:pPr>
              <w:rPr>
                <w:rFonts w:eastAsia="Times New Roman"/>
                <w:bCs/>
                <w:color w:val="000000"/>
              </w:rPr>
            </w:pPr>
            <w:r w:rsidRPr="003C2BC2">
              <w:rPr>
                <w:color w:val="000000"/>
              </w:rPr>
              <w:t>Other</w:t>
            </w:r>
          </w:p>
        </w:tc>
      </w:tr>
      <w:tr w:rsidR="00377F6B" w:rsidRPr="003C2BC2" w14:paraId="73A381C0" w14:textId="77777777" w:rsidTr="00650125">
        <w:tc>
          <w:tcPr>
            <w:tcW w:w="704" w:type="dxa"/>
          </w:tcPr>
          <w:p w14:paraId="0B25A58D" w14:textId="3608CB3B" w:rsidR="00377F6B" w:rsidRPr="003C2BC2" w:rsidRDefault="00FB1321" w:rsidP="0081712D">
            <w:pPr>
              <w:rPr>
                <w:rFonts w:eastAsia="Times New Roman"/>
                <w:bCs/>
                <w:color w:val="000000"/>
              </w:rPr>
            </w:pPr>
            <w:r w:rsidRPr="003C2BC2">
              <w:rPr>
                <w:color w:val="000000"/>
              </w:rPr>
              <w:t>50.</w:t>
            </w:r>
          </w:p>
        </w:tc>
        <w:tc>
          <w:tcPr>
            <w:tcW w:w="1990" w:type="dxa"/>
          </w:tcPr>
          <w:p w14:paraId="3E4CC207" w14:textId="40F43722" w:rsidR="00377F6B" w:rsidRPr="003C2BC2" w:rsidRDefault="00377F6B" w:rsidP="0081712D">
            <w:pPr>
              <w:rPr>
                <w:rFonts w:eastAsia="Times New Roman"/>
                <w:bCs/>
                <w:color w:val="000000"/>
              </w:rPr>
            </w:pPr>
            <w:r w:rsidRPr="003C2BC2">
              <w:rPr>
                <w:color w:val="000000"/>
              </w:rPr>
              <w:t>Article 1 Section 24</w:t>
            </w:r>
          </w:p>
        </w:tc>
        <w:tc>
          <w:tcPr>
            <w:tcW w:w="4111" w:type="dxa"/>
          </w:tcPr>
          <w:p w14:paraId="21BC5C0A" w14:textId="77777777" w:rsidR="00377F6B" w:rsidRPr="003C2BC2" w:rsidRDefault="00377F6B" w:rsidP="0081712D">
            <w:pPr>
              <w:rPr>
                <w:rFonts w:eastAsia="Times New Roman"/>
                <w:bCs/>
                <w:color w:val="000000"/>
              </w:rPr>
            </w:pPr>
            <w:r w:rsidRPr="003C2BC2">
              <w:rPr>
                <w:color w:val="000000"/>
              </w:rPr>
              <w:t>Advisory activities of the single-use plastics commission</w:t>
            </w:r>
          </w:p>
        </w:tc>
        <w:tc>
          <w:tcPr>
            <w:tcW w:w="1559" w:type="dxa"/>
          </w:tcPr>
          <w:p w14:paraId="5223A8C6" w14:textId="77777777" w:rsidR="00377F6B" w:rsidRPr="003C2BC2" w:rsidRDefault="00377F6B" w:rsidP="0081712D">
            <w:pPr>
              <w:rPr>
                <w:rFonts w:eastAsia="Times New Roman"/>
                <w:bCs/>
                <w:color w:val="000000"/>
              </w:rPr>
            </w:pPr>
            <w:r w:rsidRPr="003C2BC2">
              <w:rPr>
                <w:color w:val="000000"/>
              </w:rPr>
              <w:t>Authorities</w:t>
            </w:r>
          </w:p>
        </w:tc>
        <w:tc>
          <w:tcPr>
            <w:tcW w:w="1842" w:type="dxa"/>
          </w:tcPr>
          <w:p w14:paraId="3D0E9629" w14:textId="77777777" w:rsidR="00377F6B" w:rsidRPr="003C2BC2" w:rsidRDefault="00377F6B" w:rsidP="0081712D">
            <w:pPr>
              <w:rPr>
                <w:rFonts w:eastAsia="Times New Roman"/>
                <w:bCs/>
                <w:color w:val="000000"/>
              </w:rPr>
            </w:pPr>
            <w:r w:rsidRPr="003C2BC2">
              <w:rPr>
                <w:color w:val="000000"/>
              </w:rPr>
              <w:t>Beneficiaries</w:t>
            </w:r>
          </w:p>
        </w:tc>
      </w:tr>
      <w:tr w:rsidR="00377F6B" w:rsidRPr="003C2BC2" w14:paraId="26DE1853" w14:textId="77777777" w:rsidTr="00650125">
        <w:tc>
          <w:tcPr>
            <w:tcW w:w="704" w:type="dxa"/>
          </w:tcPr>
          <w:p w14:paraId="62B5A14D" w14:textId="68FF93FC" w:rsidR="00377F6B" w:rsidRPr="003C2BC2" w:rsidRDefault="00FB1321" w:rsidP="0081712D">
            <w:pPr>
              <w:rPr>
                <w:rFonts w:eastAsia="Times New Roman"/>
                <w:bCs/>
                <w:color w:val="000000"/>
              </w:rPr>
            </w:pPr>
            <w:r w:rsidRPr="003C2BC2">
              <w:rPr>
                <w:color w:val="000000"/>
              </w:rPr>
              <w:t>51.</w:t>
            </w:r>
          </w:p>
        </w:tc>
        <w:tc>
          <w:tcPr>
            <w:tcW w:w="1990" w:type="dxa"/>
          </w:tcPr>
          <w:p w14:paraId="6CF9FF3B" w14:textId="73F3E5C3" w:rsidR="00377F6B" w:rsidRPr="003C2BC2" w:rsidRDefault="00377F6B" w:rsidP="0081712D">
            <w:pPr>
              <w:rPr>
                <w:rFonts w:eastAsia="Times New Roman"/>
                <w:bCs/>
                <w:color w:val="000000"/>
              </w:rPr>
            </w:pPr>
            <w:r w:rsidRPr="003C2BC2">
              <w:rPr>
                <w:color w:val="000000"/>
              </w:rPr>
              <w:t>Article 1 Section 24(1) subparagraph 1 and first sentence of paragraph (2)</w:t>
            </w:r>
          </w:p>
        </w:tc>
        <w:tc>
          <w:tcPr>
            <w:tcW w:w="4111" w:type="dxa"/>
          </w:tcPr>
          <w:p w14:paraId="4DC168BA" w14:textId="77777777" w:rsidR="00377F6B" w:rsidRPr="003C2BC2" w:rsidRDefault="00377F6B" w:rsidP="0081712D">
            <w:pPr>
              <w:rPr>
                <w:rFonts w:eastAsia="Times New Roman"/>
                <w:bCs/>
                <w:color w:val="000000"/>
              </w:rPr>
            </w:pPr>
            <w:r w:rsidRPr="003C2BC2">
              <w:rPr>
                <w:color w:val="000000"/>
              </w:rPr>
              <w:t>Appointment of commission members for producers by mutual agreement</w:t>
            </w:r>
          </w:p>
        </w:tc>
        <w:tc>
          <w:tcPr>
            <w:tcW w:w="1559" w:type="dxa"/>
          </w:tcPr>
          <w:p w14:paraId="0FDB8FCD" w14:textId="77777777" w:rsidR="00377F6B" w:rsidRPr="003C2BC2" w:rsidRDefault="00377F6B" w:rsidP="0081712D">
            <w:pPr>
              <w:rPr>
                <w:rFonts w:eastAsia="Times New Roman"/>
                <w:bCs/>
                <w:color w:val="000000"/>
              </w:rPr>
            </w:pPr>
            <w:r w:rsidRPr="003C2BC2">
              <w:rPr>
                <w:color w:val="000000"/>
              </w:rPr>
              <w:t>Businesses (IO)</w:t>
            </w:r>
          </w:p>
        </w:tc>
        <w:tc>
          <w:tcPr>
            <w:tcW w:w="1842" w:type="dxa"/>
          </w:tcPr>
          <w:p w14:paraId="752851FC" w14:textId="77777777" w:rsidR="00377F6B" w:rsidRPr="003C2BC2" w:rsidRDefault="00377F6B" w:rsidP="0081712D">
            <w:pPr>
              <w:rPr>
                <w:rFonts w:eastAsia="Times New Roman"/>
                <w:bCs/>
                <w:color w:val="000000"/>
              </w:rPr>
            </w:pPr>
            <w:r w:rsidRPr="003C2BC2">
              <w:rPr>
                <w:color w:val="000000"/>
              </w:rPr>
              <w:t>Producers</w:t>
            </w:r>
          </w:p>
        </w:tc>
      </w:tr>
      <w:tr w:rsidR="00377F6B" w:rsidRPr="003C2BC2" w14:paraId="5EDB5B8C" w14:textId="77777777" w:rsidTr="00650125">
        <w:tc>
          <w:tcPr>
            <w:tcW w:w="704" w:type="dxa"/>
          </w:tcPr>
          <w:p w14:paraId="3157F1A9" w14:textId="77521B7E" w:rsidR="00377F6B" w:rsidRPr="003C2BC2" w:rsidRDefault="00FB1321" w:rsidP="0081712D">
            <w:pPr>
              <w:rPr>
                <w:rFonts w:eastAsia="Times New Roman"/>
                <w:bCs/>
                <w:color w:val="000000"/>
              </w:rPr>
            </w:pPr>
            <w:r w:rsidRPr="003C2BC2">
              <w:rPr>
                <w:color w:val="000000"/>
              </w:rPr>
              <w:t>52.</w:t>
            </w:r>
          </w:p>
        </w:tc>
        <w:tc>
          <w:tcPr>
            <w:tcW w:w="1990" w:type="dxa"/>
          </w:tcPr>
          <w:p w14:paraId="15DE9B24" w14:textId="3001210F" w:rsidR="00377F6B" w:rsidRPr="003C2BC2" w:rsidRDefault="00377F6B" w:rsidP="0081712D">
            <w:pPr>
              <w:rPr>
                <w:rFonts w:eastAsia="Times New Roman"/>
                <w:bCs/>
                <w:color w:val="000000"/>
              </w:rPr>
            </w:pPr>
            <w:r w:rsidRPr="003C2BC2">
              <w:rPr>
                <w:color w:val="000000"/>
              </w:rPr>
              <w:t>Article 1 Section 24(1) subparagraphs 2 to 4</w:t>
            </w:r>
            <w:r w:rsidRPr="003C2BC2">
              <w:t xml:space="preserve"> </w:t>
            </w:r>
            <w:r w:rsidRPr="003C2BC2">
              <w:rPr>
                <w:color w:val="000000"/>
              </w:rPr>
              <w:t>and first sentence of paragraph (2)</w:t>
            </w:r>
          </w:p>
        </w:tc>
        <w:tc>
          <w:tcPr>
            <w:tcW w:w="4111" w:type="dxa"/>
          </w:tcPr>
          <w:p w14:paraId="17F27724" w14:textId="77777777" w:rsidR="00377F6B" w:rsidRPr="003C2BC2" w:rsidRDefault="00377F6B" w:rsidP="0081712D">
            <w:pPr>
              <w:rPr>
                <w:rFonts w:eastAsia="Times New Roman"/>
                <w:bCs/>
                <w:color w:val="000000"/>
              </w:rPr>
            </w:pPr>
            <w:r w:rsidRPr="003C2BC2">
              <w:rPr>
                <w:color w:val="000000"/>
              </w:rPr>
              <w:t>Appointment of commission members for beneficiaries by mutual agreement</w:t>
            </w:r>
          </w:p>
        </w:tc>
        <w:tc>
          <w:tcPr>
            <w:tcW w:w="1559" w:type="dxa"/>
          </w:tcPr>
          <w:p w14:paraId="4BD1695C"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3BC3BAA0" w14:textId="77777777" w:rsidR="00377F6B" w:rsidRPr="003C2BC2" w:rsidRDefault="00377F6B" w:rsidP="0081712D">
            <w:pPr>
              <w:rPr>
                <w:rFonts w:eastAsia="Times New Roman"/>
                <w:bCs/>
                <w:color w:val="000000"/>
              </w:rPr>
            </w:pPr>
            <w:r w:rsidRPr="003C2BC2">
              <w:rPr>
                <w:color w:val="000000"/>
              </w:rPr>
              <w:t>Beneficiaries</w:t>
            </w:r>
          </w:p>
        </w:tc>
      </w:tr>
      <w:tr w:rsidR="00377F6B" w:rsidRPr="003C2BC2" w14:paraId="2B2757E6" w14:textId="77777777" w:rsidTr="00650125">
        <w:tc>
          <w:tcPr>
            <w:tcW w:w="704" w:type="dxa"/>
          </w:tcPr>
          <w:p w14:paraId="2053F862" w14:textId="4BBF2572" w:rsidR="00377F6B" w:rsidRPr="003C2BC2" w:rsidRDefault="00FB1321" w:rsidP="0081712D">
            <w:pPr>
              <w:rPr>
                <w:rFonts w:eastAsia="Times New Roman"/>
                <w:bCs/>
                <w:color w:val="000000"/>
              </w:rPr>
            </w:pPr>
            <w:r w:rsidRPr="003C2BC2">
              <w:rPr>
                <w:color w:val="000000"/>
              </w:rPr>
              <w:t>53.</w:t>
            </w:r>
          </w:p>
        </w:tc>
        <w:tc>
          <w:tcPr>
            <w:tcW w:w="1990" w:type="dxa"/>
          </w:tcPr>
          <w:p w14:paraId="506C7801" w14:textId="365E0FB2" w:rsidR="00377F6B" w:rsidRPr="003C2BC2" w:rsidRDefault="00377F6B" w:rsidP="0081712D">
            <w:pPr>
              <w:rPr>
                <w:rFonts w:eastAsia="Times New Roman"/>
                <w:bCs/>
                <w:color w:val="000000"/>
              </w:rPr>
            </w:pPr>
            <w:r w:rsidRPr="003C2BC2">
              <w:rPr>
                <w:color w:val="000000"/>
              </w:rPr>
              <w:t>Article 1 Section 24(1) subparagraphs 5 and 6</w:t>
            </w:r>
            <w:r w:rsidRPr="003C2BC2">
              <w:t xml:space="preserve"> </w:t>
            </w:r>
            <w:r w:rsidRPr="003C2BC2">
              <w:rPr>
                <w:color w:val="000000"/>
              </w:rPr>
              <w:t>and first sentence of paragraph (2)</w:t>
            </w:r>
          </w:p>
        </w:tc>
        <w:tc>
          <w:tcPr>
            <w:tcW w:w="4111" w:type="dxa"/>
          </w:tcPr>
          <w:p w14:paraId="6C44A53D" w14:textId="77777777" w:rsidR="00377F6B" w:rsidRPr="003C2BC2" w:rsidRDefault="00377F6B" w:rsidP="0081712D">
            <w:pPr>
              <w:rPr>
                <w:rFonts w:eastAsia="Times New Roman"/>
                <w:bCs/>
                <w:color w:val="000000"/>
              </w:rPr>
            </w:pPr>
            <w:r w:rsidRPr="003C2BC2">
              <w:rPr>
                <w:color w:val="000000"/>
              </w:rPr>
              <w:t>Appointment of other commission members by mutual agreement</w:t>
            </w:r>
          </w:p>
        </w:tc>
        <w:tc>
          <w:tcPr>
            <w:tcW w:w="1559" w:type="dxa"/>
          </w:tcPr>
          <w:p w14:paraId="2083FE10" w14:textId="77777777" w:rsidR="00377F6B" w:rsidRPr="003C2BC2" w:rsidRDefault="00377F6B" w:rsidP="0081712D">
            <w:pPr>
              <w:rPr>
                <w:rFonts w:eastAsia="Times New Roman"/>
                <w:bCs/>
                <w:color w:val="000000"/>
              </w:rPr>
            </w:pPr>
            <w:r w:rsidRPr="003C2BC2">
              <w:rPr>
                <w:color w:val="000000"/>
              </w:rPr>
              <w:t>Businesses (IO)</w:t>
            </w:r>
          </w:p>
        </w:tc>
        <w:tc>
          <w:tcPr>
            <w:tcW w:w="1842" w:type="dxa"/>
          </w:tcPr>
          <w:p w14:paraId="02B66AAE" w14:textId="77777777" w:rsidR="00377F6B" w:rsidRPr="003C2BC2" w:rsidRDefault="00377F6B" w:rsidP="0081712D">
            <w:pPr>
              <w:rPr>
                <w:rFonts w:eastAsia="Times New Roman"/>
                <w:bCs/>
                <w:color w:val="000000"/>
              </w:rPr>
            </w:pPr>
            <w:r w:rsidRPr="003C2BC2">
              <w:rPr>
                <w:color w:val="000000"/>
              </w:rPr>
              <w:t>Other</w:t>
            </w:r>
          </w:p>
        </w:tc>
      </w:tr>
      <w:tr w:rsidR="00377F6B" w:rsidRPr="003C2BC2" w14:paraId="5D7EC711" w14:textId="77777777" w:rsidTr="00650125">
        <w:tc>
          <w:tcPr>
            <w:tcW w:w="704" w:type="dxa"/>
          </w:tcPr>
          <w:p w14:paraId="1F63DF5C" w14:textId="21ED47AC" w:rsidR="00377F6B" w:rsidRPr="003C2BC2" w:rsidRDefault="00FB1321" w:rsidP="0081712D">
            <w:pPr>
              <w:rPr>
                <w:rFonts w:eastAsia="Times New Roman"/>
                <w:bCs/>
                <w:color w:val="000000"/>
              </w:rPr>
            </w:pPr>
            <w:r w:rsidRPr="003C2BC2">
              <w:rPr>
                <w:color w:val="000000"/>
              </w:rPr>
              <w:t>54.</w:t>
            </w:r>
          </w:p>
        </w:tc>
        <w:tc>
          <w:tcPr>
            <w:tcW w:w="1990" w:type="dxa"/>
          </w:tcPr>
          <w:p w14:paraId="557C9DDE" w14:textId="518CF1EF" w:rsidR="00377F6B" w:rsidRPr="003C2BC2" w:rsidRDefault="00377F6B" w:rsidP="0081712D">
            <w:pPr>
              <w:rPr>
                <w:rFonts w:eastAsia="Times New Roman"/>
                <w:bCs/>
                <w:color w:val="000000"/>
              </w:rPr>
            </w:pPr>
            <w:r w:rsidRPr="003C2BC2">
              <w:rPr>
                <w:color w:val="000000"/>
              </w:rPr>
              <w:t xml:space="preserve">Article 1 Section 24(2), second sentence </w:t>
            </w:r>
          </w:p>
        </w:tc>
        <w:tc>
          <w:tcPr>
            <w:tcW w:w="4111" w:type="dxa"/>
          </w:tcPr>
          <w:p w14:paraId="28C1387F" w14:textId="77777777" w:rsidR="00377F6B" w:rsidRPr="003C2BC2" w:rsidRDefault="00377F6B" w:rsidP="0081712D">
            <w:pPr>
              <w:rPr>
                <w:rFonts w:eastAsia="Times New Roman"/>
                <w:bCs/>
                <w:color w:val="000000"/>
              </w:rPr>
            </w:pPr>
            <w:r w:rsidRPr="003C2BC2">
              <w:rPr>
                <w:color w:val="000000"/>
              </w:rPr>
              <w:t>Invitation to appoint commission members</w:t>
            </w:r>
          </w:p>
        </w:tc>
        <w:tc>
          <w:tcPr>
            <w:tcW w:w="1559" w:type="dxa"/>
          </w:tcPr>
          <w:p w14:paraId="17A13ABA"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1F56BC34" w14:textId="77777777" w:rsidR="00377F6B" w:rsidRPr="003C2BC2" w:rsidRDefault="00377F6B" w:rsidP="0081712D">
            <w:pPr>
              <w:rPr>
                <w:rFonts w:eastAsia="Times New Roman"/>
                <w:bCs/>
                <w:color w:val="000000"/>
              </w:rPr>
            </w:pPr>
            <w:r w:rsidRPr="003C2BC2">
              <w:rPr>
                <w:color w:val="000000"/>
              </w:rPr>
              <w:t>FEA</w:t>
            </w:r>
          </w:p>
        </w:tc>
      </w:tr>
      <w:tr w:rsidR="00377F6B" w:rsidRPr="003C2BC2" w14:paraId="34E624A1" w14:textId="77777777" w:rsidTr="00650125">
        <w:tc>
          <w:tcPr>
            <w:tcW w:w="704" w:type="dxa"/>
          </w:tcPr>
          <w:p w14:paraId="63A7CF82" w14:textId="3B36EBE0" w:rsidR="00377F6B" w:rsidRPr="003C2BC2" w:rsidRDefault="00FB1321" w:rsidP="0081712D">
            <w:pPr>
              <w:rPr>
                <w:rFonts w:eastAsia="Times New Roman"/>
                <w:bCs/>
                <w:color w:val="000000"/>
              </w:rPr>
            </w:pPr>
            <w:r w:rsidRPr="003C2BC2">
              <w:rPr>
                <w:color w:val="000000"/>
              </w:rPr>
              <w:lastRenderedPageBreak/>
              <w:t>55.</w:t>
            </w:r>
          </w:p>
        </w:tc>
        <w:tc>
          <w:tcPr>
            <w:tcW w:w="1990" w:type="dxa"/>
          </w:tcPr>
          <w:p w14:paraId="37D0A37D" w14:textId="272A4899" w:rsidR="00377F6B" w:rsidRPr="003C2BC2" w:rsidRDefault="00377F6B" w:rsidP="0081712D">
            <w:pPr>
              <w:rPr>
                <w:rFonts w:eastAsia="Times New Roman"/>
                <w:bCs/>
                <w:color w:val="000000"/>
              </w:rPr>
            </w:pPr>
            <w:r w:rsidRPr="003C2BC2">
              <w:rPr>
                <w:color w:val="000000"/>
              </w:rPr>
              <w:t>Article 1 Section 24(2), third sentence</w:t>
            </w:r>
          </w:p>
        </w:tc>
        <w:tc>
          <w:tcPr>
            <w:tcW w:w="4111" w:type="dxa"/>
          </w:tcPr>
          <w:p w14:paraId="5A1CD683" w14:textId="77777777" w:rsidR="00377F6B" w:rsidRPr="003C2BC2" w:rsidRDefault="00377F6B" w:rsidP="0081712D">
            <w:pPr>
              <w:rPr>
                <w:rFonts w:eastAsia="Times New Roman"/>
                <w:bCs/>
                <w:color w:val="000000"/>
              </w:rPr>
            </w:pPr>
            <w:r w:rsidRPr="003C2BC2">
              <w:rPr>
                <w:color w:val="000000"/>
              </w:rPr>
              <w:t>Appointment of commission members by the Federal Environment Agency</w:t>
            </w:r>
          </w:p>
        </w:tc>
        <w:tc>
          <w:tcPr>
            <w:tcW w:w="1559" w:type="dxa"/>
          </w:tcPr>
          <w:p w14:paraId="1F5E5335"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00AAD626" w14:textId="77777777" w:rsidR="00377F6B" w:rsidRPr="003C2BC2" w:rsidRDefault="00377F6B" w:rsidP="0081712D">
            <w:pPr>
              <w:rPr>
                <w:rFonts w:eastAsia="Times New Roman"/>
                <w:bCs/>
                <w:color w:val="000000"/>
              </w:rPr>
            </w:pPr>
            <w:r w:rsidRPr="003C2BC2">
              <w:rPr>
                <w:color w:val="000000"/>
              </w:rPr>
              <w:t>FEA</w:t>
            </w:r>
          </w:p>
        </w:tc>
      </w:tr>
      <w:tr w:rsidR="00377F6B" w:rsidRPr="003C2BC2" w14:paraId="6D381880" w14:textId="77777777" w:rsidTr="00650125">
        <w:tc>
          <w:tcPr>
            <w:tcW w:w="704" w:type="dxa"/>
          </w:tcPr>
          <w:p w14:paraId="7C181080" w14:textId="7EF29B23" w:rsidR="00377F6B" w:rsidRPr="003C2BC2" w:rsidRDefault="00FB1321" w:rsidP="0081712D">
            <w:pPr>
              <w:rPr>
                <w:rFonts w:eastAsia="Times New Roman"/>
                <w:bCs/>
                <w:color w:val="000000"/>
              </w:rPr>
            </w:pPr>
            <w:r w:rsidRPr="003C2BC2">
              <w:rPr>
                <w:color w:val="000000"/>
              </w:rPr>
              <w:t>56.</w:t>
            </w:r>
          </w:p>
        </w:tc>
        <w:tc>
          <w:tcPr>
            <w:tcW w:w="1990" w:type="dxa"/>
          </w:tcPr>
          <w:p w14:paraId="423DE5F0" w14:textId="1C2FE934" w:rsidR="00377F6B" w:rsidRPr="003C2BC2" w:rsidRDefault="00377F6B" w:rsidP="0081712D">
            <w:pPr>
              <w:rPr>
                <w:rFonts w:eastAsia="Times New Roman"/>
                <w:bCs/>
                <w:color w:val="000000"/>
              </w:rPr>
            </w:pPr>
            <w:r w:rsidRPr="003C2BC2">
              <w:rPr>
                <w:color w:val="000000"/>
              </w:rPr>
              <w:t xml:space="preserve">Article 1 Section 25 </w:t>
            </w:r>
          </w:p>
        </w:tc>
        <w:tc>
          <w:tcPr>
            <w:tcW w:w="4111" w:type="dxa"/>
          </w:tcPr>
          <w:p w14:paraId="5BAB0BEA" w14:textId="77777777" w:rsidR="00377F6B" w:rsidRPr="003C2BC2" w:rsidRDefault="00377F6B" w:rsidP="0081712D">
            <w:pPr>
              <w:rPr>
                <w:rFonts w:eastAsia="Times New Roman"/>
                <w:bCs/>
                <w:color w:val="000000"/>
              </w:rPr>
            </w:pPr>
            <w:r w:rsidRPr="003C2BC2">
              <w:rPr>
                <w:color w:val="000000"/>
              </w:rPr>
              <w:t>Legal and technical supervision</w:t>
            </w:r>
          </w:p>
        </w:tc>
        <w:tc>
          <w:tcPr>
            <w:tcW w:w="1559" w:type="dxa"/>
          </w:tcPr>
          <w:p w14:paraId="4BF50725" w14:textId="77777777" w:rsidR="00377F6B" w:rsidRPr="003C2BC2" w:rsidRDefault="00377F6B" w:rsidP="0081712D">
            <w:pPr>
              <w:rPr>
                <w:rFonts w:eastAsia="Times New Roman"/>
                <w:bCs/>
                <w:color w:val="000000"/>
              </w:rPr>
            </w:pPr>
            <w:r w:rsidRPr="003C2BC2">
              <w:rPr>
                <w:color w:val="000000"/>
              </w:rPr>
              <w:t>Authorities</w:t>
            </w:r>
          </w:p>
        </w:tc>
        <w:tc>
          <w:tcPr>
            <w:tcW w:w="1842" w:type="dxa"/>
          </w:tcPr>
          <w:p w14:paraId="121FE8F1" w14:textId="77777777" w:rsidR="00377F6B" w:rsidRPr="003C2BC2" w:rsidRDefault="00377F6B" w:rsidP="0081712D">
            <w:pPr>
              <w:rPr>
                <w:rFonts w:eastAsia="Times New Roman"/>
                <w:bCs/>
                <w:color w:val="000000"/>
              </w:rPr>
            </w:pPr>
            <w:r w:rsidRPr="003C2BC2">
              <w:rPr>
                <w:color w:val="000000"/>
              </w:rPr>
              <w:t>BMUV</w:t>
            </w:r>
          </w:p>
        </w:tc>
      </w:tr>
      <w:tr w:rsidR="00377F6B" w:rsidRPr="003C2BC2" w14:paraId="2855C038" w14:textId="77777777" w:rsidTr="00650125">
        <w:tc>
          <w:tcPr>
            <w:tcW w:w="704" w:type="dxa"/>
          </w:tcPr>
          <w:p w14:paraId="1C10D41F" w14:textId="7323D5FC" w:rsidR="00377F6B" w:rsidRPr="003C2BC2" w:rsidRDefault="00FB1321" w:rsidP="0081712D">
            <w:pPr>
              <w:rPr>
                <w:rFonts w:eastAsia="Times New Roman"/>
                <w:bCs/>
                <w:color w:val="000000"/>
              </w:rPr>
            </w:pPr>
            <w:r w:rsidRPr="003C2BC2">
              <w:rPr>
                <w:color w:val="000000"/>
              </w:rPr>
              <w:t>57.</w:t>
            </w:r>
          </w:p>
        </w:tc>
        <w:tc>
          <w:tcPr>
            <w:tcW w:w="1990" w:type="dxa"/>
          </w:tcPr>
          <w:p w14:paraId="4CA67936" w14:textId="57F9EFBF" w:rsidR="00377F6B" w:rsidRPr="003C2BC2" w:rsidRDefault="00377F6B" w:rsidP="0081712D">
            <w:pPr>
              <w:rPr>
                <w:rFonts w:eastAsia="Times New Roman"/>
                <w:bCs/>
                <w:color w:val="000000"/>
              </w:rPr>
            </w:pPr>
            <w:r w:rsidRPr="003C2BC2">
              <w:rPr>
                <w:color w:val="000000"/>
              </w:rPr>
              <w:t>Article 1 Sections 26 and 27</w:t>
            </w:r>
          </w:p>
        </w:tc>
        <w:tc>
          <w:tcPr>
            <w:tcW w:w="4111" w:type="dxa"/>
          </w:tcPr>
          <w:p w14:paraId="2984DF31" w14:textId="77777777" w:rsidR="00377F6B" w:rsidRPr="003C2BC2" w:rsidRDefault="00377F6B" w:rsidP="0081712D">
            <w:pPr>
              <w:rPr>
                <w:rFonts w:eastAsia="Times New Roman"/>
                <w:bCs/>
                <w:color w:val="000000"/>
              </w:rPr>
            </w:pPr>
            <w:r w:rsidRPr="003C2BC2">
              <w:rPr>
                <w:color w:val="000000"/>
              </w:rPr>
              <w:t>Prosecution of regulatory offences</w:t>
            </w:r>
          </w:p>
        </w:tc>
        <w:tc>
          <w:tcPr>
            <w:tcW w:w="1559" w:type="dxa"/>
          </w:tcPr>
          <w:p w14:paraId="697314B8" w14:textId="77777777" w:rsidR="00377F6B" w:rsidRPr="003C2BC2" w:rsidRDefault="00377F6B" w:rsidP="0081712D">
            <w:pPr>
              <w:rPr>
                <w:rFonts w:eastAsia="Times New Roman"/>
                <w:bCs/>
                <w:color w:val="000000"/>
              </w:rPr>
            </w:pPr>
            <w:r w:rsidRPr="003C2BC2">
              <w:rPr>
                <w:color w:val="000000"/>
              </w:rPr>
              <w:t>Authorities</w:t>
            </w:r>
          </w:p>
        </w:tc>
        <w:tc>
          <w:tcPr>
            <w:tcW w:w="1842" w:type="dxa"/>
          </w:tcPr>
          <w:p w14:paraId="7EEEC057" w14:textId="77777777" w:rsidR="00377F6B" w:rsidRPr="003C2BC2" w:rsidRDefault="00377F6B" w:rsidP="0081712D">
            <w:pPr>
              <w:rPr>
                <w:rFonts w:eastAsia="Times New Roman"/>
                <w:bCs/>
                <w:color w:val="000000"/>
              </w:rPr>
            </w:pPr>
            <w:r w:rsidRPr="003C2BC2">
              <w:rPr>
                <w:color w:val="000000"/>
              </w:rPr>
              <w:t>FEA</w:t>
            </w:r>
          </w:p>
        </w:tc>
      </w:tr>
      <w:tr w:rsidR="00377F6B" w:rsidRPr="003C2BC2" w14:paraId="615B7CBE" w14:textId="77777777" w:rsidTr="00650125">
        <w:tc>
          <w:tcPr>
            <w:tcW w:w="704" w:type="dxa"/>
          </w:tcPr>
          <w:p w14:paraId="7CBBEC7F" w14:textId="00715E38" w:rsidR="00377F6B" w:rsidRPr="003C2BC2" w:rsidRDefault="00FB1321" w:rsidP="0081712D">
            <w:pPr>
              <w:rPr>
                <w:rFonts w:eastAsia="Times New Roman"/>
                <w:bCs/>
                <w:color w:val="000000"/>
              </w:rPr>
            </w:pPr>
            <w:r w:rsidRPr="003C2BC2">
              <w:rPr>
                <w:color w:val="000000"/>
              </w:rPr>
              <w:t>58.</w:t>
            </w:r>
          </w:p>
        </w:tc>
        <w:tc>
          <w:tcPr>
            <w:tcW w:w="1990" w:type="dxa"/>
          </w:tcPr>
          <w:p w14:paraId="506CC144" w14:textId="2A6F4808" w:rsidR="00377F6B" w:rsidRPr="003C2BC2" w:rsidRDefault="00377F6B" w:rsidP="0081712D">
            <w:pPr>
              <w:rPr>
                <w:rFonts w:eastAsia="Times New Roman"/>
                <w:bCs/>
                <w:color w:val="000000"/>
              </w:rPr>
            </w:pPr>
            <w:r w:rsidRPr="003C2BC2">
              <w:rPr>
                <w:color w:val="000000"/>
              </w:rPr>
              <w:t>Article 1 Section 28</w:t>
            </w:r>
          </w:p>
        </w:tc>
        <w:tc>
          <w:tcPr>
            <w:tcW w:w="4111" w:type="dxa"/>
          </w:tcPr>
          <w:p w14:paraId="773F34BA" w14:textId="77777777" w:rsidR="00377F6B" w:rsidRPr="003C2BC2" w:rsidRDefault="00377F6B" w:rsidP="0081712D">
            <w:pPr>
              <w:rPr>
                <w:rFonts w:eastAsia="Times New Roman"/>
                <w:bCs/>
                <w:color w:val="000000"/>
              </w:rPr>
            </w:pPr>
            <w:r w:rsidRPr="003C2BC2">
              <w:rPr>
                <w:color w:val="000000"/>
              </w:rPr>
              <w:t>Implementation of the evaluation</w:t>
            </w:r>
          </w:p>
        </w:tc>
        <w:tc>
          <w:tcPr>
            <w:tcW w:w="1559" w:type="dxa"/>
          </w:tcPr>
          <w:p w14:paraId="4ED6BA68" w14:textId="77777777" w:rsidR="00377F6B" w:rsidRPr="003C2BC2" w:rsidRDefault="00377F6B" w:rsidP="0081712D">
            <w:pPr>
              <w:rPr>
                <w:rFonts w:eastAsia="Times New Roman"/>
                <w:bCs/>
                <w:color w:val="000000"/>
              </w:rPr>
            </w:pPr>
            <w:r w:rsidRPr="003C2BC2">
              <w:rPr>
                <w:color w:val="000000"/>
              </w:rPr>
              <w:t>Authorities</w:t>
            </w:r>
          </w:p>
        </w:tc>
        <w:tc>
          <w:tcPr>
            <w:tcW w:w="1842" w:type="dxa"/>
          </w:tcPr>
          <w:p w14:paraId="1EBA04EB" w14:textId="77777777" w:rsidR="00377F6B" w:rsidRPr="003C2BC2" w:rsidRDefault="00377F6B" w:rsidP="0081712D">
            <w:pPr>
              <w:rPr>
                <w:rFonts w:eastAsia="Times New Roman"/>
                <w:bCs/>
                <w:color w:val="000000"/>
              </w:rPr>
            </w:pPr>
            <w:r w:rsidRPr="003C2BC2">
              <w:rPr>
                <w:color w:val="000000"/>
              </w:rPr>
              <w:t>BMUV</w:t>
            </w:r>
          </w:p>
        </w:tc>
      </w:tr>
      <w:tr w:rsidR="00377F6B" w:rsidRPr="003C2BC2" w14:paraId="72E41910" w14:textId="77777777" w:rsidTr="00650125">
        <w:tc>
          <w:tcPr>
            <w:tcW w:w="704" w:type="dxa"/>
          </w:tcPr>
          <w:p w14:paraId="0DCD68E8" w14:textId="2E1F6450" w:rsidR="00377F6B" w:rsidRPr="003C2BC2" w:rsidRDefault="00FB1321" w:rsidP="0081712D">
            <w:pPr>
              <w:rPr>
                <w:rFonts w:eastAsia="Times New Roman"/>
                <w:bCs/>
                <w:color w:val="000000"/>
              </w:rPr>
            </w:pPr>
            <w:r w:rsidRPr="003C2BC2">
              <w:rPr>
                <w:color w:val="000000"/>
              </w:rPr>
              <w:t>59.</w:t>
            </w:r>
          </w:p>
        </w:tc>
        <w:tc>
          <w:tcPr>
            <w:tcW w:w="1990" w:type="dxa"/>
          </w:tcPr>
          <w:p w14:paraId="1C3E44A1" w14:textId="0A2B25FD" w:rsidR="00377F6B" w:rsidRPr="003C2BC2" w:rsidRDefault="00377F6B" w:rsidP="0081712D">
            <w:pPr>
              <w:rPr>
                <w:rFonts w:eastAsia="Times New Roman"/>
                <w:bCs/>
                <w:color w:val="000000"/>
              </w:rPr>
            </w:pPr>
            <w:r w:rsidRPr="003C2BC2">
              <w:rPr>
                <w:color w:val="000000"/>
              </w:rPr>
              <w:t>Article 2 subparagraph 1 (Amendment to Section 26(1), second sentence, Packaging Ordinance)</w:t>
            </w:r>
          </w:p>
        </w:tc>
        <w:tc>
          <w:tcPr>
            <w:tcW w:w="4111" w:type="dxa"/>
          </w:tcPr>
          <w:p w14:paraId="1BDB9EBF" w14:textId="77777777" w:rsidR="00377F6B" w:rsidRPr="003C2BC2" w:rsidRDefault="00377F6B" w:rsidP="0081712D">
            <w:pPr>
              <w:rPr>
                <w:rFonts w:eastAsia="Times New Roman"/>
                <w:bCs/>
                <w:color w:val="000000"/>
              </w:rPr>
            </w:pPr>
            <w:r w:rsidRPr="003C2BC2">
              <w:rPr>
                <w:color w:val="000000"/>
              </w:rPr>
              <w:t>Transmission of register data</w:t>
            </w:r>
          </w:p>
        </w:tc>
        <w:tc>
          <w:tcPr>
            <w:tcW w:w="1559" w:type="dxa"/>
          </w:tcPr>
          <w:p w14:paraId="5365B916" w14:textId="77777777" w:rsidR="00377F6B" w:rsidRPr="003C2BC2" w:rsidRDefault="00377F6B" w:rsidP="0081712D">
            <w:pPr>
              <w:rPr>
                <w:rFonts w:eastAsia="Times New Roman"/>
                <w:bCs/>
                <w:color w:val="000000"/>
              </w:rPr>
            </w:pPr>
            <w:r w:rsidRPr="003C2BC2">
              <w:rPr>
                <w:color w:val="000000"/>
              </w:rPr>
              <w:t>Authorities (IO)</w:t>
            </w:r>
          </w:p>
        </w:tc>
        <w:tc>
          <w:tcPr>
            <w:tcW w:w="1842" w:type="dxa"/>
          </w:tcPr>
          <w:p w14:paraId="007A6793" w14:textId="77777777" w:rsidR="00377F6B" w:rsidRPr="003C2BC2" w:rsidRDefault="00377F6B" w:rsidP="0081712D">
            <w:pPr>
              <w:rPr>
                <w:rFonts w:eastAsia="Times New Roman"/>
                <w:bCs/>
                <w:color w:val="000000"/>
              </w:rPr>
            </w:pPr>
            <w:r w:rsidRPr="003C2BC2">
              <w:rPr>
                <w:color w:val="000000"/>
              </w:rPr>
              <w:t>ZSVR</w:t>
            </w:r>
          </w:p>
        </w:tc>
      </w:tr>
    </w:tbl>
    <w:p w14:paraId="33A27087" w14:textId="77777777" w:rsidR="00377F6B" w:rsidRPr="003C2BC2" w:rsidRDefault="00377F6B" w:rsidP="00FB6EEB">
      <w:pPr>
        <w:rPr>
          <w:rFonts w:eastAsia="Times New Roman"/>
          <w:bCs/>
          <w:color w:val="000000"/>
          <w:lang w:eastAsia="de-DE"/>
        </w:rPr>
      </w:pPr>
    </w:p>
    <w:p w14:paraId="79C3B7D7" w14:textId="1BD530C8" w:rsidR="00377F6B" w:rsidRPr="003C2BC2" w:rsidRDefault="00650125" w:rsidP="00FB6EEB">
      <w:pPr>
        <w:rPr>
          <w:rFonts w:eastAsia="Times New Roman"/>
          <w:b/>
          <w:color w:val="000000"/>
        </w:rPr>
      </w:pPr>
      <w:r>
        <w:rPr>
          <w:b/>
          <w:color w:val="000000"/>
          <w:lang w:val="en-US"/>
        </w:rPr>
        <w:t>c</w:t>
      </w:r>
      <w:r w:rsidR="00377F6B" w:rsidRPr="003C2BC2">
        <w:rPr>
          <w:b/>
          <w:color w:val="000000"/>
        </w:rPr>
        <w:t>) Summary of processes</w:t>
      </w:r>
    </w:p>
    <w:p w14:paraId="6470BA46" w14:textId="77777777" w:rsidR="00377F6B" w:rsidRPr="003C2BC2" w:rsidRDefault="00377F6B" w:rsidP="00FB6EEB">
      <w:pPr>
        <w:rPr>
          <w:rFonts w:eastAsia="Times New Roman"/>
          <w:b/>
          <w:color w:val="000000"/>
        </w:rPr>
      </w:pPr>
      <w:r w:rsidRPr="003C2BC2">
        <w:rPr>
          <w:b/>
          <w:color w:val="000000"/>
        </w:rPr>
        <w:t>aa) Businesses</w:t>
      </w:r>
    </w:p>
    <w:p w14:paraId="493820BC" w14:textId="5DCE206F" w:rsidR="00377F6B" w:rsidRPr="003C2BC2" w:rsidRDefault="00377F6B" w:rsidP="00FB6EEB">
      <w:pPr>
        <w:rPr>
          <w:rFonts w:eastAsia="Times New Roman"/>
          <w:bCs/>
          <w:color w:val="000000"/>
        </w:rPr>
      </w:pPr>
      <w:proofErr w:type="spellStart"/>
      <w:r w:rsidRPr="003C2BC2">
        <w:rPr>
          <w:color w:val="000000"/>
        </w:rPr>
        <w:t>aaa</w:t>
      </w:r>
      <w:proofErr w:type="spellEnd"/>
      <w:r w:rsidRPr="003C2BC2">
        <w:rPr>
          <w:color w:val="000000"/>
        </w:rPr>
        <w:t>) Producers:</w:t>
      </w:r>
    </w:p>
    <w:p w14:paraId="094C9701" w14:textId="77777777" w:rsidR="00377F6B" w:rsidRPr="003C2BC2" w:rsidRDefault="00377F6B" w:rsidP="00FB6EEB">
      <w:pPr>
        <w:pStyle w:val="ListParagraph"/>
        <w:numPr>
          <w:ilvl w:val="0"/>
          <w:numId w:val="8"/>
        </w:numPr>
        <w:jc w:val="left"/>
        <w:rPr>
          <w:rFonts w:eastAsia="Times New Roman"/>
          <w:bCs/>
          <w:color w:val="000000"/>
        </w:rPr>
      </w:pPr>
      <w:r w:rsidRPr="003C2BC2">
        <w:rPr>
          <w:color w:val="000000"/>
        </w:rPr>
        <w:t>Registration: (Requirements 4 and 5)</w:t>
      </w:r>
    </w:p>
    <w:p w14:paraId="5A49B882" w14:textId="2213BAC2" w:rsidR="00377F6B" w:rsidRPr="003C2BC2" w:rsidRDefault="00377F6B" w:rsidP="00FB6EEB">
      <w:pPr>
        <w:pStyle w:val="ListParagraph"/>
        <w:numPr>
          <w:ilvl w:val="0"/>
          <w:numId w:val="8"/>
        </w:numPr>
        <w:jc w:val="left"/>
        <w:rPr>
          <w:rFonts w:eastAsia="Times New Roman"/>
          <w:bCs/>
          <w:color w:val="000000"/>
        </w:rPr>
      </w:pPr>
      <w:r w:rsidRPr="003C2BC2">
        <w:rPr>
          <w:color w:val="000000"/>
        </w:rPr>
        <w:t>Appointment of authorised representatives (Requirements 12, 13, 15, 16, 18, 19)</w:t>
      </w:r>
    </w:p>
    <w:p w14:paraId="59384770" w14:textId="5A4F22CD" w:rsidR="00377F6B" w:rsidRPr="003C2BC2" w:rsidRDefault="00377F6B" w:rsidP="00FB6EEB">
      <w:pPr>
        <w:pStyle w:val="ListParagraph"/>
        <w:numPr>
          <w:ilvl w:val="0"/>
          <w:numId w:val="8"/>
        </w:numPr>
        <w:jc w:val="left"/>
        <w:rPr>
          <w:rFonts w:eastAsia="Times New Roman"/>
          <w:bCs/>
          <w:color w:val="000000"/>
        </w:rPr>
      </w:pPr>
      <w:r w:rsidRPr="003C2BC2">
        <w:rPr>
          <w:color w:val="000000"/>
        </w:rPr>
        <w:t>Annual notification (Requirements 20, 21, 25)</w:t>
      </w:r>
    </w:p>
    <w:p w14:paraId="5F198953" w14:textId="5D742AAA" w:rsidR="00377F6B" w:rsidRPr="003C2BC2" w:rsidRDefault="00377F6B" w:rsidP="00FB6EEB">
      <w:pPr>
        <w:pStyle w:val="ListParagraph"/>
        <w:numPr>
          <w:ilvl w:val="0"/>
          <w:numId w:val="8"/>
        </w:numPr>
        <w:jc w:val="left"/>
        <w:rPr>
          <w:rFonts w:eastAsia="Times New Roman"/>
          <w:bCs/>
          <w:color w:val="000000"/>
        </w:rPr>
      </w:pPr>
      <w:r w:rsidRPr="003C2BC2">
        <w:rPr>
          <w:color w:val="000000"/>
        </w:rPr>
        <w:t>Single-use plastics levy (Requirement 28)</w:t>
      </w:r>
    </w:p>
    <w:p w14:paraId="71B615BB" w14:textId="58178DE3" w:rsidR="00377F6B" w:rsidRPr="003C2BC2" w:rsidRDefault="00377F6B" w:rsidP="00FB6EEB">
      <w:pPr>
        <w:pStyle w:val="ListParagraph"/>
        <w:numPr>
          <w:ilvl w:val="0"/>
          <w:numId w:val="8"/>
        </w:numPr>
        <w:jc w:val="left"/>
        <w:rPr>
          <w:rFonts w:eastAsia="Times New Roman"/>
          <w:bCs/>
          <w:color w:val="000000"/>
        </w:rPr>
      </w:pPr>
      <w:r w:rsidRPr="003C2BC2">
        <w:rPr>
          <w:color w:val="000000"/>
        </w:rPr>
        <w:t>Appointment of single-use plastics commission members (Requirement 51)</w:t>
      </w:r>
    </w:p>
    <w:p w14:paraId="716CAC4E" w14:textId="628BA7A9" w:rsidR="00377F6B" w:rsidRPr="003C2BC2" w:rsidRDefault="00377F6B" w:rsidP="00FB6EEB">
      <w:pPr>
        <w:pStyle w:val="ListParagraph"/>
        <w:numPr>
          <w:ilvl w:val="0"/>
          <w:numId w:val="8"/>
        </w:numPr>
        <w:jc w:val="left"/>
        <w:rPr>
          <w:rFonts w:eastAsia="Times New Roman"/>
          <w:bCs/>
          <w:color w:val="000000"/>
        </w:rPr>
      </w:pPr>
      <w:r w:rsidRPr="003C2BC2">
        <w:rPr>
          <w:color w:val="000000"/>
        </w:rPr>
        <w:t>Advisory activities of the single-use plastics commission (Requirement 48)</w:t>
      </w:r>
    </w:p>
    <w:p w14:paraId="36A028E3" w14:textId="7BC423B9" w:rsidR="00377F6B" w:rsidRPr="003C2BC2" w:rsidRDefault="00163A0C" w:rsidP="00FB6EEB">
      <w:pPr>
        <w:rPr>
          <w:rFonts w:eastAsia="Times New Roman"/>
          <w:bCs/>
          <w:color w:val="000000"/>
        </w:rPr>
      </w:pPr>
      <w:proofErr w:type="spellStart"/>
      <w:r w:rsidRPr="003C2BC2">
        <w:rPr>
          <w:color w:val="000000"/>
        </w:rPr>
        <w:t>bbb</w:t>
      </w:r>
      <w:proofErr w:type="spellEnd"/>
      <w:r w:rsidRPr="003C2BC2">
        <w:rPr>
          <w:color w:val="000000"/>
        </w:rPr>
        <w:t>) Other (private-sector waste management industry, environmental protection associations, consumer protection associations):</w:t>
      </w:r>
    </w:p>
    <w:p w14:paraId="394D5539" w14:textId="25FA90FA" w:rsidR="00377F6B" w:rsidRPr="003C2BC2" w:rsidRDefault="00377F6B" w:rsidP="00FB6EEB">
      <w:pPr>
        <w:pStyle w:val="ListParagraph"/>
        <w:numPr>
          <w:ilvl w:val="0"/>
          <w:numId w:val="10"/>
        </w:numPr>
        <w:spacing w:line="259" w:lineRule="auto"/>
        <w:ind w:left="714" w:hanging="357"/>
        <w:jc w:val="left"/>
        <w:rPr>
          <w:rFonts w:eastAsia="Times New Roman"/>
          <w:bCs/>
          <w:color w:val="000000"/>
        </w:rPr>
      </w:pPr>
      <w:r w:rsidRPr="003C2BC2">
        <w:rPr>
          <w:color w:val="000000"/>
        </w:rPr>
        <w:t>Appointment of single-use plastics commission members (Requirement 53)</w:t>
      </w:r>
    </w:p>
    <w:p w14:paraId="66CB2D7E" w14:textId="6A4909A3" w:rsidR="00377F6B" w:rsidRPr="003C2BC2" w:rsidRDefault="00377F6B" w:rsidP="00FB6EEB">
      <w:pPr>
        <w:pStyle w:val="ListParagraph"/>
        <w:numPr>
          <w:ilvl w:val="0"/>
          <w:numId w:val="10"/>
        </w:numPr>
        <w:spacing w:line="259" w:lineRule="auto"/>
        <w:ind w:left="714" w:hanging="357"/>
        <w:jc w:val="left"/>
        <w:rPr>
          <w:rFonts w:eastAsia="Times New Roman"/>
          <w:bCs/>
          <w:color w:val="000000"/>
        </w:rPr>
      </w:pPr>
      <w:r w:rsidRPr="003C2BC2">
        <w:rPr>
          <w:color w:val="000000"/>
        </w:rPr>
        <w:t>Advisory activities of the single-use plastics commission (Requirement 49)</w:t>
      </w:r>
    </w:p>
    <w:p w14:paraId="76EFBCE4" w14:textId="2D0CC7FF" w:rsidR="00377F6B" w:rsidRPr="003C2BC2" w:rsidRDefault="00377F6B" w:rsidP="00FB6EEB">
      <w:pPr>
        <w:rPr>
          <w:rFonts w:eastAsia="Times New Roman"/>
          <w:b/>
          <w:color w:val="000000"/>
        </w:rPr>
      </w:pPr>
      <w:r w:rsidRPr="003C2BC2">
        <w:rPr>
          <w:b/>
          <w:color w:val="000000"/>
        </w:rPr>
        <w:t>bb) Authorities</w:t>
      </w:r>
    </w:p>
    <w:p w14:paraId="662E663F" w14:textId="77777777" w:rsidR="00377F6B" w:rsidRPr="003C2BC2" w:rsidRDefault="00377F6B" w:rsidP="00FB6EEB">
      <w:pPr>
        <w:rPr>
          <w:rFonts w:eastAsia="Times New Roman"/>
          <w:bCs/>
          <w:color w:val="000000"/>
        </w:rPr>
      </w:pPr>
      <w:proofErr w:type="spellStart"/>
      <w:r w:rsidRPr="003C2BC2">
        <w:rPr>
          <w:color w:val="000000"/>
        </w:rPr>
        <w:t>aaa</w:t>
      </w:r>
      <w:proofErr w:type="spellEnd"/>
      <w:r w:rsidRPr="003C2BC2">
        <w:rPr>
          <w:color w:val="000000"/>
        </w:rPr>
        <w:t>) Länder (= Beneficiaries):</w:t>
      </w:r>
    </w:p>
    <w:p w14:paraId="1D155CA0" w14:textId="6D219431" w:rsidR="00377F6B" w:rsidRPr="003C2BC2" w:rsidRDefault="00377F6B" w:rsidP="00FB6EEB">
      <w:pPr>
        <w:pStyle w:val="ListParagraph"/>
        <w:numPr>
          <w:ilvl w:val="0"/>
          <w:numId w:val="9"/>
        </w:numPr>
        <w:jc w:val="left"/>
        <w:rPr>
          <w:rFonts w:eastAsia="Times New Roman"/>
          <w:bCs/>
          <w:color w:val="000000"/>
        </w:rPr>
      </w:pPr>
      <w:r w:rsidRPr="003C2BC2">
        <w:rPr>
          <w:color w:val="000000"/>
        </w:rPr>
        <w:t>Registration (Requirements 31 and 32)</w:t>
      </w:r>
    </w:p>
    <w:p w14:paraId="578F2284" w14:textId="36F1ABCE" w:rsidR="00377F6B" w:rsidRPr="003C2BC2" w:rsidRDefault="00377F6B" w:rsidP="00FB6EEB">
      <w:pPr>
        <w:pStyle w:val="ListParagraph"/>
        <w:numPr>
          <w:ilvl w:val="0"/>
          <w:numId w:val="9"/>
        </w:numPr>
        <w:jc w:val="left"/>
        <w:rPr>
          <w:rFonts w:eastAsia="Times New Roman"/>
          <w:bCs/>
          <w:color w:val="000000"/>
        </w:rPr>
      </w:pPr>
      <w:r w:rsidRPr="003C2BC2">
        <w:rPr>
          <w:color w:val="000000"/>
        </w:rPr>
        <w:t>Annual notification (Requirements 37 and 41)</w:t>
      </w:r>
    </w:p>
    <w:p w14:paraId="292C0B3B" w14:textId="5D4C3250" w:rsidR="00377F6B" w:rsidRPr="003C2BC2" w:rsidRDefault="00377F6B" w:rsidP="00FB6EEB">
      <w:pPr>
        <w:pStyle w:val="ListParagraph"/>
        <w:numPr>
          <w:ilvl w:val="0"/>
          <w:numId w:val="9"/>
        </w:numPr>
        <w:jc w:val="left"/>
        <w:rPr>
          <w:rFonts w:eastAsia="Times New Roman"/>
          <w:bCs/>
          <w:color w:val="000000"/>
        </w:rPr>
      </w:pPr>
      <w:r w:rsidRPr="003C2BC2">
        <w:rPr>
          <w:color w:val="000000"/>
        </w:rPr>
        <w:t>Advisory activities of the single-use plastics commission (Requirement 50)</w:t>
      </w:r>
    </w:p>
    <w:p w14:paraId="19B791C8" w14:textId="4D078CC8" w:rsidR="00377F6B" w:rsidRPr="003C2BC2" w:rsidRDefault="00377F6B" w:rsidP="00FB6EEB">
      <w:pPr>
        <w:pStyle w:val="ListParagraph"/>
        <w:numPr>
          <w:ilvl w:val="0"/>
          <w:numId w:val="9"/>
        </w:numPr>
        <w:spacing w:line="259" w:lineRule="auto"/>
        <w:ind w:left="714" w:hanging="357"/>
        <w:jc w:val="left"/>
        <w:rPr>
          <w:rFonts w:eastAsia="Times New Roman"/>
          <w:bCs/>
          <w:color w:val="000000"/>
        </w:rPr>
      </w:pPr>
      <w:r w:rsidRPr="003C2BC2">
        <w:rPr>
          <w:color w:val="000000"/>
        </w:rPr>
        <w:t>Appointment of single-use plastics commission members (Requirement 52)</w:t>
      </w:r>
    </w:p>
    <w:p w14:paraId="326053BD" w14:textId="0F48089C" w:rsidR="00377F6B" w:rsidRPr="003C2BC2" w:rsidRDefault="00377F6B" w:rsidP="00FB6EEB">
      <w:pPr>
        <w:rPr>
          <w:rFonts w:eastAsia="Times New Roman"/>
          <w:color w:val="000000"/>
        </w:rPr>
      </w:pPr>
      <w:proofErr w:type="spellStart"/>
      <w:r w:rsidRPr="003C2BC2">
        <w:rPr>
          <w:color w:val="000000"/>
        </w:rPr>
        <w:t>bbb</w:t>
      </w:r>
      <w:proofErr w:type="spellEnd"/>
      <w:r w:rsidRPr="003C2BC2">
        <w:rPr>
          <w:color w:val="000000"/>
        </w:rPr>
        <w:t>) Federal Government</w:t>
      </w:r>
    </w:p>
    <w:p w14:paraId="0DF8223F" w14:textId="0618963B" w:rsidR="009A2642" w:rsidRPr="003C2BC2" w:rsidRDefault="00377F6B" w:rsidP="00FB6EEB">
      <w:pPr>
        <w:rPr>
          <w:rFonts w:eastAsia="Times New Roman"/>
          <w:color w:val="000000"/>
        </w:rPr>
      </w:pPr>
      <w:proofErr w:type="spellStart"/>
      <w:r w:rsidRPr="003C2BC2">
        <w:rPr>
          <w:color w:val="000000"/>
        </w:rPr>
        <w:t>aaaa</w:t>
      </w:r>
      <w:proofErr w:type="spellEnd"/>
      <w:r w:rsidRPr="003C2BC2">
        <w:rPr>
          <w:color w:val="000000"/>
        </w:rPr>
        <w:t>) Federal authorities (= Beneficiaries)</w:t>
      </w:r>
    </w:p>
    <w:p w14:paraId="617551A6" w14:textId="77777777" w:rsidR="00F20545" w:rsidRPr="003C2BC2" w:rsidRDefault="00F20545" w:rsidP="00F20545">
      <w:pPr>
        <w:pStyle w:val="ListParagraph"/>
        <w:numPr>
          <w:ilvl w:val="0"/>
          <w:numId w:val="9"/>
        </w:numPr>
        <w:jc w:val="left"/>
        <w:rPr>
          <w:rFonts w:eastAsia="Times New Roman"/>
          <w:bCs/>
          <w:color w:val="000000"/>
        </w:rPr>
      </w:pPr>
      <w:r w:rsidRPr="003C2BC2">
        <w:rPr>
          <w:color w:val="000000"/>
        </w:rPr>
        <w:t>Registration (Requirements 31 and 32)</w:t>
      </w:r>
    </w:p>
    <w:p w14:paraId="6CCA3108" w14:textId="77777777" w:rsidR="00F20545" w:rsidRPr="003C2BC2" w:rsidRDefault="00F20545" w:rsidP="00F20545">
      <w:pPr>
        <w:pStyle w:val="ListParagraph"/>
        <w:numPr>
          <w:ilvl w:val="0"/>
          <w:numId w:val="9"/>
        </w:numPr>
        <w:jc w:val="left"/>
        <w:rPr>
          <w:rFonts w:eastAsia="Times New Roman"/>
          <w:bCs/>
          <w:color w:val="000000"/>
        </w:rPr>
      </w:pPr>
      <w:r w:rsidRPr="003C2BC2">
        <w:rPr>
          <w:color w:val="000000"/>
        </w:rPr>
        <w:t>Annual notification (Requirements 37 and 41)</w:t>
      </w:r>
    </w:p>
    <w:p w14:paraId="23C7F70B" w14:textId="77777777" w:rsidR="00F20545" w:rsidRPr="003C2BC2" w:rsidRDefault="00F20545" w:rsidP="00F20545">
      <w:pPr>
        <w:pStyle w:val="ListParagraph"/>
        <w:numPr>
          <w:ilvl w:val="0"/>
          <w:numId w:val="9"/>
        </w:numPr>
        <w:jc w:val="left"/>
        <w:rPr>
          <w:rFonts w:eastAsia="Times New Roman"/>
          <w:bCs/>
          <w:color w:val="000000"/>
        </w:rPr>
      </w:pPr>
      <w:r w:rsidRPr="003C2BC2">
        <w:rPr>
          <w:color w:val="000000"/>
        </w:rPr>
        <w:lastRenderedPageBreak/>
        <w:t>Advisory activities of the single-use plastics commission (Requirement 50)</w:t>
      </w:r>
    </w:p>
    <w:p w14:paraId="7847FC3F" w14:textId="77FE617A" w:rsidR="00F20545" w:rsidRPr="003C2BC2" w:rsidRDefault="00F20545" w:rsidP="00F20545">
      <w:pPr>
        <w:pStyle w:val="ListParagraph"/>
        <w:numPr>
          <w:ilvl w:val="0"/>
          <w:numId w:val="9"/>
        </w:numPr>
        <w:spacing w:line="259" w:lineRule="auto"/>
        <w:ind w:left="714" w:hanging="357"/>
        <w:jc w:val="left"/>
        <w:rPr>
          <w:rFonts w:eastAsia="Times New Roman"/>
          <w:bCs/>
          <w:color w:val="000000"/>
        </w:rPr>
      </w:pPr>
      <w:r w:rsidRPr="003C2BC2">
        <w:rPr>
          <w:color w:val="000000"/>
        </w:rPr>
        <w:t>Appointment of single-use plastics commission member (Requirement 52)</w:t>
      </w:r>
    </w:p>
    <w:p w14:paraId="34794856" w14:textId="2DEDC363" w:rsidR="00377F6B" w:rsidRPr="003C2BC2" w:rsidRDefault="009A2642" w:rsidP="00FB6EEB">
      <w:pPr>
        <w:rPr>
          <w:rFonts w:eastAsia="Times New Roman"/>
          <w:bCs/>
          <w:color w:val="000000"/>
        </w:rPr>
      </w:pPr>
      <w:proofErr w:type="spellStart"/>
      <w:r w:rsidRPr="003C2BC2">
        <w:rPr>
          <w:color w:val="000000"/>
        </w:rPr>
        <w:t>bbbb</w:t>
      </w:r>
      <w:proofErr w:type="spellEnd"/>
      <w:r w:rsidRPr="003C2BC2">
        <w:rPr>
          <w:color w:val="000000"/>
        </w:rPr>
        <w:t>) Federal Environment Agency:</w:t>
      </w:r>
    </w:p>
    <w:p w14:paraId="2BD8DA71" w14:textId="77777777" w:rsidR="00377F6B" w:rsidRPr="003C2BC2" w:rsidRDefault="00377F6B" w:rsidP="00FB6EEB">
      <w:pPr>
        <w:pStyle w:val="ListParagraph"/>
        <w:numPr>
          <w:ilvl w:val="0"/>
          <w:numId w:val="7"/>
        </w:numPr>
        <w:jc w:val="left"/>
        <w:rPr>
          <w:rFonts w:eastAsia="Times New Roman"/>
          <w:bCs/>
          <w:color w:val="000000"/>
        </w:rPr>
      </w:pPr>
      <w:r w:rsidRPr="003C2BC2">
        <w:rPr>
          <w:color w:val="000000"/>
        </w:rPr>
        <w:t>Administration of the single-use plastics fund (Requirements 1, 2, 3)</w:t>
      </w:r>
    </w:p>
    <w:p w14:paraId="3940FAAA" w14:textId="402B9526" w:rsidR="00377F6B" w:rsidRPr="003C2BC2" w:rsidRDefault="00377F6B" w:rsidP="00FB6EEB">
      <w:pPr>
        <w:pStyle w:val="ListParagraph"/>
        <w:numPr>
          <w:ilvl w:val="0"/>
          <w:numId w:val="7"/>
        </w:numPr>
        <w:jc w:val="left"/>
        <w:rPr>
          <w:rFonts w:eastAsia="Times New Roman"/>
          <w:bCs/>
          <w:color w:val="000000"/>
        </w:rPr>
      </w:pPr>
      <w:r w:rsidRPr="003C2BC2">
        <w:rPr>
          <w:color w:val="000000"/>
        </w:rPr>
        <w:t>Register of producers (Requirements 6, 7, 8, 9, 10, 11)</w:t>
      </w:r>
    </w:p>
    <w:p w14:paraId="0CDD2EE4" w14:textId="62A3EA4A" w:rsidR="00377F6B" w:rsidRPr="003C2BC2" w:rsidRDefault="00377F6B" w:rsidP="00FB6EEB">
      <w:pPr>
        <w:pStyle w:val="ListParagraph"/>
        <w:numPr>
          <w:ilvl w:val="0"/>
          <w:numId w:val="7"/>
        </w:numPr>
        <w:jc w:val="left"/>
        <w:rPr>
          <w:rFonts w:eastAsia="Times New Roman"/>
          <w:bCs/>
          <w:color w:val="000000"/>
        </w:rPr>
      </w:pPr>
      <w:r w:rsidRPr="003C2BC2">
        <w:rPr>
          <w:color w:val="000000"/>
        </w:rPr>
        <w:t>Confirmation of authorised representatives (Requirements 14 and 17)</w:t>
      </w:r>
    </w:p>
    <w:p w14:paraId="1C5CA038" w14:textId="5A839A97" w:rsidR="00377F6B" w:rsidRPr="003C2BC2" w:rsidRDefault="00377F6B" w:rsidP="00FB6EEB">
      <w:pPr>
        <w:pStyle w:val="ListParagraph"/>
        <w:numPr>
          <w:ilvl w:val="0"/>
          <w:numId w:val="7"/>
        </w:numPr>
        <w:jc w:val="left"/>
        <w:rPr>
          <w:rFonts w:eastAsia="Times New Roman"/>
          <w:bCs/>
          <w:color w:val="000000"/>
        </w:rPr>
      </w:pPr>
      <w:r w:rsidRPr="003C2BC2">
        <w:rPr>
          <w:color w:val="000000"/>
        </w:rPr>
        <w:t>Notification portal for producers (Requirements 22, 23, 24)</w:t>
      </w:r>
    </w:p>
    <w:p w14:paraId="2B08E4D3" w14:textId="79390FD3" w:rsidR="009B32A1" w:rsidRPr="003C2BC2" w:rsidRDefault="009B32A1" w:rsidP="00FB6EEB">
      <w:pPr>
        <w:pStyle w:val="ListParagraph"/>
        <w:numPr>
          <w:ilvl w:val="0"/>
          <w:numId w:val="7"/>
        </w:numPr>
        <w:jc w:val="left"/>
        <w:rPr>
          <w:rFonts w:eastAsia="Times New Roman"/>
          <w:bCs/>
          <w:color w:val="000000"/>
        </w:rPr>
      </w:pPr>
      <w:r w:rsidRPr="003C2BC2">
        <w:rPr>
          <w:color w:val="000000"/>
        </w:rPr>
        <w:t>Development of verification guidelines (Requirements 26 and 27)</w:t>
      </w:r>
    </w:p>
    <w:p w14:paraId="287B5172" w14:textId="1ACCD25B" w:rsidR="00377F6B" w:rsidRPr="003C2BC2" w:rsidRDefault="00377F6B" w:rsidP="00FB6EEB">
      <w:pPr>
        <w:pStyle w:val="ListParagraph"/>
        <w:numPr>
          <w:ilvl w:val="0"/>
          <w:numId w:val="7"/>
        </w:numPr>
        <w:jc w:val="left"/>
        <w:rPr>
          <w:rFonts w:eastAsia="Times New Roman"/>
          <w:bCs/>
          <w:color w:val="000000"/>
        </w:rPr>
      </w:pPr>
      <w:r w:rsidRPr="003C2BC2">
        <w:rPr>
          <w:color w:val="000000"/>
        </w:rPr>
        <w:t>Levy notices (Requirements 29 and 30)</w:t>
      </w:r>
    </w:p>
    <w:p w14:paraId="1DF058BC" w14:textId="2FCB4FB8" w:rsidR="00377F6B" w:rsidRPr="003C2BC2" w:rsidRDefault="00377F6B" w:rsidP="00FB6EEB">
      <w:pPr>
        <w:pStyle w:val="ListParagraph"/>
        <w:numPr>
          <w:ilvl w:val="0"/>
          <w:numId w:val="7"/>
        </w:numPr>
        <w:jc w:val="left"/>
        <w:rPr>
          <w:rFonts w:eastAsia="Times New Roman"/>
          <w:bCs/>
          <w:color w:val="000000"/>
        </w:rPr>
      </w:pPr>
      <w:r w:rsidRPr="003C2BC2">
        <w:rPr>
          <w:color w:val="000000"/>
        </w:rPr>
        <w:t>Register of beneficiaries (Requirements 33, 34, 35, 36)</w:t>
      </w:r>
    </w:p>
    <w:p w14:paraId="2888E15D" w14:textId="6581ECDA" w:rsidR="00377F6B" w:rsidRPr="003C2BC2" w:rsidRDefault="00377F6B" w:rsidP="00FB6EEB">
      <w:pPr>
        <w:pStyle w:val="ListParagraph"/>
        <w:numPr>
          <w:ilvl w:val="0"/>
          <w:numId w:val="7"/>
        </w:numPr>
        <w:jc w:val="left"/>
        <w:rPr>
          <w:rFonts w:eastAsia="Times New Roman"/>
          <w:bCs/>
          <w:color w:val="000000"/>
        </w:rPr>
      </w:pPr>
      <w:r w:rsidRPr="003C2BC2">
        <w:rPr>
          <w:color w:val="000000"/>
        </w:rPr>
        <w:t>Notification portal for beneficiaries (Requirements 38, 39, 40)</w:t>
      </w:r>
    </w:p>
    <w:p w14:paraId="263A880D" w14:textId="75EFD17C" w:rsidR="00377F6B" w:rsidRPr="003C2BC2" w:rsidRDefault="00377F6B" w:rsidP="00FB6EEB">
      <w:pPr>
        <w:pStyle w:val="ListParagraph"/>
        <w:numPr>
          <w:ilvl w:val="0"/>
          <w:numId w:val="7"/>
        </w:numPr>
        <w:jc w:val="left"/>
        <w:rPr>
          <w:rFonts w:eastAsia="Times New Roman"/>
          <w:bCs/>
          <w:color w:val="000000"/>
        </w:rPr>
      </w:pPr>
      <w:r w:rsidRPr="003C2BC2">
        <w:rPr>
          <w:color w:val="000000"/>
        </w:rPr>
        <w:t>Disbursement (Requirements 42, 43, 44)</w:t>
      </w:r>
    </w:p>
    <w:p w14:paraId="2E821757" w14:textId="739132EF" w:rsidR="00377F6B" w:rsidRPr="003C2BC2" w:rsidRDefault="00377F6B" w:rsidP="00FB6EEB">
      <w:pPr>
        <w:pStyle w:val="ListParagraph"/>
        <w:numPr>
          <w:ilvl w:val="0"/>
          <w:numId w:val="7"/>
        </w:numPr>
        <w:jc w:val="left"/>
        <w:rPr>
          <w:rFonts w:eastAsia="Times New Roman"/>
          <w:bCs/>
          <w:color w:val="000000"/>
        </w:rPr>
      </w:pPr>
      <w:r w:rsidRPr="003C2BC2">
        <w:rPr>
          <w:color w:val="000000"/>
        </w:rPr>
        <w:t>Designation of products as single-use plastic products (Requirement 45)</w:t>
      </w:r>
    </w:p>
    <w:p w14:paraId="4FC63C6C" w14:textId="3B04E81B" w:rsidR="00377F6B" w:rsidRPr="003C2BC2" w:rsidRDefault="00377F6B" w:rsidP="00FB6EEB">
      <w:pPr>
        <w:pStyle w:val="ListParagraph"/>
        <w:numPr>
          <w:ilvl w:val="0"/>
          <w:numId w:val="7"/>
        </w:numPr>
        <w:jc w:val="left"/>
        <w:rPr>
          <w:rFonts w:eastAsia="Times New Roman"/>
          <w:bCs/>
          <w:color w:val="000000"/>
        </w:rPr>
      </w:pPr>
      <w:r w:rsidRPr="003C2BC2">
        <w:rPr>
          <w:color w:val="000000"/>
        </w:rPr>
        <w:t>Commission office for single-use plastics commission (Requirements 46, 47, 54, 55)</w:t>
      </w:r>
    </w:p>
    <w:p w14:paraId="0308D095" w14:textId="71BC83B3" w:rsidR="00377F6B" w:rsidRPr="003C2BC2" w:rsidRDefault="00377F6B" w:rsidP="00FB6EEB">
      <w:pPr>
        <w:pStyle w:val="ListParagraph"/>
        <w:numPr>
          <w:ilvl w:val="0"/>
          <w:numId w:val="7"/>
        </w:numPr>
        <w:jc w:val="left"/>
        <w:rPr>
          <w:rFonts w:eastAsia="Times New Roman"/>
          <w:bCs/>
          <w:color w:val="000000"/>
        </w:rPr>
      </w:pPr>
      <w:r w:rsidRPr="003C2BC2">
        <w:rPr>
          <w:color w:val="000000"/>
        </w:rPr>
        <w:t>Prosecution of regulatory offences (Requirement 57)</w:t>
      </w:r>
    </w:p>
    <w:p w14:paraId="3CBF0E5B" w14:textId="64071643" w:rsidR="00377F6B" w:rsidRPr="003C2BC2" w:rsidRDefault="009A2642" w:rsidP="00FB6EEB">
      <w:pPr>
        <w:rPr>
          <w:rFonts w:eastAsia="Times New Roman"/>
          <w:bCs/>
          <w:color w:val="000000"/>
        </w:rPr>
      </w:pPr>
      <w:proofErr w:type="spellStart"/>
      <w:r w:rsidRPr="003C2BC2">
        <w:rPr>
          <w:color w:val="000000"/>
        </w:rPr>
        <w:t>cccc</w:t>
      </w:r>
      <w:proofErr w:type="spellEnd"/>
      <w:r w:rsidRPr="003C2BC2">
        <w:rPr>
          <w:color w:val="000000"/>
        </w:rPr>
        <w:t>) Federal Ministry for the Environment, Nature Conservation, Nuclear Safety and Consumer Protection</w:t>
      </w:r>
    </w:p>
    <w:p w14:paraId="089687CD" w14:textId="136A1285" w:rsidR="00377F6B" w:rsidRPr="003C2BC2" w:rsidRDefault="00377F6B" w:rsidP="00FB6EEB">
      <w:pPr>
        <w:pStyle w:val="ListParagraph"/>
        <w:numPr>
          <w:ilvl w:val="0"/>
          <w:numId w:val="11"/>
        </w:numPr>
        <w:spacing w:line="259" w:lineRule="auto"/>
        <w:jc w:val="left"/>
        <w:rPr>
          <w:rFonts w:eastAsia="Times New Roman"/>
          <w:bCs/>
          <w:color w:val="000000"/>
        </w:rPr>
      </w:pPr>
      <w:r w:rsidRPr="003C2BC2">
        <w:rPr>
          <w:color w:val="000000"/>
        </w:rPr>
        <w:t>Legal and technical supervision (Requirement 56)</w:t>
      </w:r>
    </w:p>
    <w:p w14:paraId="11E48A5C" w14:textId="1982D3F4" w:rsidR="00377F6B" w:rsidRPr="003C2BC2" w:rsidRDefault="00377F6B" w:rsidP="00FB6EEB">
      <w:pPr>
        <w:pStyle w:val="ListParagraph"/>
        <w:numPr>
          <w:ilvl w:val="0"/>
          <w:numId w:val="11"/>
        </w:numPr>
        <w:spacing w:line="259" w:lineRule="auto"/>
        <w:jc w:val="left"/>
        <w:rPr>
          <w:rFonts w:eastAsia="Times New Roman"/>
          <w:bCs/>
          <w:color w:val="000000"/>
        </w:rPr>
      </w:pPr>
      <w:r w:rsidRPr="003C2BC2">
        <w:rPr>
          <w:color w:val="000000"/>
        </w:rPr>
        <w:t>Evaluation of legislation (Requirement 58)</w:t>
      </w:r>
    </w:p>
    <w:p w14:paraId="4B0A01AB" w14:textId="490DE248" w:rsidR="00F20545" w:rsidRPr="003C2BC2" w:rsidRDefault="00F20545" w:rsidP="00F20545">
      <w:pPr>
        <w:spacing w:line="259" w:lineRule="auto"/>
        <w:jc w:val="left"/>
      </w:pPr>
      <w:proofErr w:type="spellStart"/>
      <w:r w:rsidRPr="003C2BC2">
        <w:t>dddd</w:t>
      </w:r>
      <w:proofErr w:type="spellEnd"/>
      <w:r w:rsidRPr="003C2BC2">
        <w:t>) Central Agency</w:t>
      </w:r>
    </w:p>
    <w:p w14:paraId="44C2A10E" w14:textId="45D64771" w:rsidR="00F20545" w:rsidRPr="003C2BC2" w:rsidRDefault="00F20545" w:rsidP="007653BB">
      <w:pPr>
        <w:pStyle w:val="ListParagraph"/>
        <w:numPr>
          <w:ilvl w:val="0"/>
          <w:numId w:val="13"/>
        </w:numPr>
        <w:spacing w:line="259" w:lineRule="auto"/>
        <w:jc w:val="left"/>
        <w:rPr>
          <w:rFonts w:eastAsia="Times New Roman"/>
          <w:bCs/>
          <w:color w:val="000000"/>
        </w:rPr>
      </w:pPr>
      <w:r w:rsidRPr="003C2BC2">
        <w:rPr>
          <w:color w:val="000000"/>
        </w:rPr>
        <w:t>Transmission of register data (Requirement 59)</w:t>
      </w:r>
    </w:p>
    <w:p w14:paraId="1D917A5A" w14:textId="4CF74A22" w:rsidR="00377F6B" w:rsidRPr="003C2BC2" w:rsidRDefault="00377F6B" w:rsidP="00FB6EEB">
      <w:pPr>
        <w:rPr>
          <w:rFonts w:eastAsia="Times New Roman"/>
          <w:b/>
          <w:color w:val="000000"/>
        </w:rPr>
      </w:pPr>
      <w:r w:rsidRPr="003C2BC2">
        <w:rPr>
          <w:b/>
          <w:color w:val="000000"/>
        </w:rPr>
        <w:t>d) Compliance costs for citizens</w:t>
      </w:r>
    </w:p>
    <w:p w14:paraId="710F8ADC" w14:textId="4A26955B" w:rsidR="00377F6B" w:rsidRPr="003C2BC2" w:rsidRDefault="00377F6B" w:rsidP="00FB6EEB">
      <w:pPr>
        <w:rPr>
          <w:rFonts w:eastAsia="Times New Roman"/>
          <w:color w:val="000000"/>
        </w:rPr>
      </w:pPr>
      <w:r w:rsidRPr="003C2BC2">
        <w:rPr>
          <w:color w:val="000000"/>
        </w:rPr>
        <w:t>There are no additional compliance costs for citizens.</w:t>
      </w:r>
    </w:p>
    <w:p w14:paraId="00D838E4" w14:textId="52E22F51" w:rsidR="00377F6B" w:rsidRPr="003C2BC2" w:rsidRDefault="00377F6B" w:rsidP="00FB6EEB">
      <w:pPr>
        <w:rPr>
          <w:rFonts w:eastAsia="Times New Roman"/>
          <w:b/>
          <w:color w:val="000000"/>
        </w:rPr>
      </w:pPr>
      <w:r w:rsidRPr="003C2BC2">
        <w:rPr>
          <w:b/>
          <w:color w:val="000000"/>
        </w:rPr>
        <w:t>e) Compliance costs for businesses</w:t>
      </w:r>
    </w:p>
    <w:p w14:paraId="020B3DCD" w14:textId="281F2668" w:rsidR="00377F6B" w:rsidRPr="003C2BC2" w:rsidRDefault="00377F6B" w:rsidP="00FB6EEB">
      <w:pPr>
        <w:rPr>
          <w:rFonts w:eastAsia="Times New Roman"/>
          <w:color w:val="000000"/>
        </w:rPr>
      </w:pPr>
      <w:r w:rsidRPr="003C2BC2">
        <w:rPr>
          <w:color w:val="000000"/>
        </w:rPr>
        <w:t>One-off conversion costs and additional compliance costs will be incurred by businesses.</w:t>
      </w:r>
    </w:p>
    <w:p w14:paraId="044E9315" w14:textId="01D5A0B1" w:rsidR="00377F6B" w:rsidRPr="003C2BC2" w:rsidRDefault="00377F6B" w:rsidP="00FB6EEB">
      <w:pPr>
        <w:rPr>
          <w:rFonts w:eastAsia="Times New Roman"/>
          <w:color w:val="000000"/>
        </w:rPr>
      </w:pPr>
      <w:r w:rsidRPr="003C2BC2">
        <w:rPr>
          <w:color w:val="000000"/>
        </w:rPr>
        <w:t>In detail, compliance costs for businesses will be as follows:</w:t>
      </w:r>
    </w:p>
    <w:p w14:paraId="556D2EAE" w14:textId="77777777" w:rsidR="00377F6B" w:rsidRPr="003C2BC2" w:rsidRDefault="00377F6B" w:rsidP="00FB6EEB">
      <w:pPr>
        <w:rPr>
          <w:rFonts w:eastAsia="Times New Roman"/>
          <w:bCs/>
          <w:color w:val="000000"/>
        </w:rPr>
      </w:pPr>
      <w:r w:rsidRPr="003C2BC2">
        <w:rPr>
          <w:color w:val="000000"/>
        </w:rPr>
        <w:t>aa) Producers</w:t>
      </w:r>
    </w:p>
    <w:p w14:paraId="58A4B48E" w14:textId="77777777" w:rsidR="00377F6B" w:rsidRPr="003C2BC2" w:rsidRDefault="00377F6B" w:rsidP="00FB6EEB">
      <w:pPr>
        <w:rPr>
          <w:rFonts w:eastAsia="Times New Roman"/>
          <w:bCs/>
          <w:color w:val="000000"/>
        </w:rPr>
      </w:pPr>
      <w:proofErr w:type="spellStart"/>
      <w:r w:rsidRPr="003C2BC2">
        <w:rPr>
          <w:color w:val="000000"/>
        </w:rPr>
        <w:t>aaa</w:t>
      </w:r>
      <w:proofErr w:type="spellEnd"/>
      <w:r w:rsidRPr="003C2BC2">
        <w:rPr>
          <w:color w:val="000000"/>
        </w:rPr>
        <w:t>) Registration (Requirements 4 and 5)</w:t>
      </w:r>
    </w:p>
    <w:p w14:paraId="41AF892C" w14:textId="1D1D83FC" w:rsidR="00377F6B" w:rsidRPr="003C2BC2" w:rsidRDefault="00377F6B" w:rsidP="00377F6B">
      <w:pPr>
        <w:rPr>
          <w:rFonts w:eastAsia="Times New Roman"/>
          <w:bCs/>
          <w:color w:val="000000"/>
        </w:rPr>
      </w:pPr>
      <w:r w:rsidRPr="003C2BC2">
        <w:rPr>
          <w:color w:val="000000"/>
        </w:rPr>
        <w:t>Article 1 Section 7(1) obligates producers of certain single-use plastic products to register with the Federal Environment Agency. This is required in order for the single-use plastics levy to be collected. Registration is a one-off process; only changes to the registration data must be notified. Registration is to be purely electronic, through an online portal provided by the Federal Environment Agency. No special software is required. No material costs are incurred. The information to be provided on registration is only operational data that is already available to the producer.</w:t>
      </w:r>
    </w:p>
    <w:p w14:paraId="062E31CF" w14:textId="77777777" w:rsidR="00377F6B" w:rsidRPr="003C2BC2" w:rsidRDefault="00377F6B" w:rsidP="00FB6EEB">
      <w:pPr>
        <w:rPr>
          <w:rFonts w:eastAsia="Times New Roman"/>
          <w:bCs/>
          <w:color w:val="000000"/>
        </w:rPr>
      </w:pPr>
      <w:r w:rsidRPr="003C2BC2">
        <w:rPr>
          <w:color w:val="000000"/>
        </w:rPr>
        <w:t xml:space="preserve">Some producers are already registered with the Central Agency Packaging Register foundation in accordance with Section 9 of the Packaging Act. In these cases, registration under this Act is to be made possible by simply transferring the master data from the packaging register, using the registration number assigned there. Merging of the registers is neither </w:t>
      </w:r>
      <w:r w:rsidRPr="003C2BC2">
        <w:rPr>
          <w:color w:val="000000"/>
        </w:rPr>
        <w:lastRenderedPageBreak/>
        <w:t>possible nor wise, for example because a different definition of ‘producer’ applies in each case.</w:t>
      </w:r>
    </w:p>
    <w:p w14:paraId="353976FD" w14:textId="5AFB526B" w:rsidR="00377F6B" w:rsidRPr="003C2BC2" w:rsidRDefault="00377F6B" w:rsidP="00FB6EEB">
      <w:pPr>
        <w:rPr>
          <w:rFonts w:eastAsia="Times New Roman"/>
          <w:bCs/>
          <w:color w:val="000000"/>
        </w:rPr>
      </w:pPr>
      <w:r w:rsidRPr="003C2BC2">
        <w:rPr>
          <w:color w:val="000000"/>
        </w:rPr>
        <w:t>By means of an initial first market survey, undertaken in order to prepare a first interim report on the research project ‘Development a cost model for transposing Articles 8(2) and (3) of the Single-Use Plastics Directive’ (funding ref 3721333010), the researcher was initially able to identify a total of 388 producers affected by the requirements of the Act (producers of food packaging: 63, producers or packets and wrappers made of flexible material: 31, producers of beverage containers: 34, producers of beverage cups: 64, producers of lightweight plastic carrier bags: 39, producers of wet wipes: 37, producers of balloons: 70, producers of tobacco products and filters: 50). However, since this is only a very limited first overview, which mainly lists the large producers, it can be assumed that there are a large number of other companies that produce the above-mentioned articles that have yet to be identified by the researcher. Nor can any further conclusions for the time being be drawn from the packaging register mentioned above as regards the number of producers concerned, since only a small proportion of the packaging producers recorded in the packaging register also make the single-use plastic products covered by this Act available on the market for the first time. In addition, foreign producers who make the corresponding products available on the market for the first time in Germany and who go through the registration process must also be included; there is no data on the number of these. Accordingly, only a rough estimate can be made at this point. It will therefore be assumed going forward that 5 000 producers of the single-use plastic products concerned will be subject to the registration obligation. Of these, the master data from the existing packaging register can be transferred in about 60 per cent of the cases, i.e. for around 3 000 producers. The other 40 per cent, i.e. 2 000 producers, have to go through the entire registration process.</w:t>
      </w:r>
    </w:p>
    <w:p w14:paraId="7896A8DD" w14:textId="573F6730" w:rsidR="00377F6B" w:rsidRPr="003C2BC2" w:rsidRDefault="00377F6B" w:rsidP="00FB6EEB">
      <w:pPr>
        <w:rPr>
          <w:rFonts w:eastAsia="Times New Roman"/>
          <w:bCs/>
          <w:color w:val="000000"/>
        </w:rPr>
      </w:pPr>
      <w:r w:rsidRPr="003C2BC2">
        <w:rPr>
          <w:color w:val="000000"/>
        </w:rPr>
        <w:t>The time to be spent on registration (visiting the website, registration, data entry, confirmation, is estimated to be about 30 minutes based on experience surrounding registration under the Packaging Act and the Electrical and Electronic Equipment Act. This time should be approximately halved (i.e. 15 minutes) where data is simply transferred. The activity is assigned to Private sector C – Manufacturing, medium skill level. According to the ‘Private sector’ wage cost table (Annex VI of the Guide to Calculating and Setting Out Compliance Costs for Regulatory Projects of the Federal Government), an hourly rate of EUR 38.50 is estimated.</w:t>
      </w:r>
    </w:p>
    <w:p w14:paraId="46D92823" w14:textId="47BEE680" w:rsidR="00377F6B" w:rsidRPr="003C2BC2" w:rsidRDefault="00377F6B" w:rsidP="00FB6EEB">
      <w:pPr>
        <w:rPr>
          <w:rFonts w:eastAsia="Times New Roman"/>
          <w:bCs/>
          <w:color w:val="000000"/>
        </w:rPr>
      </w:pPr>
      <w:r w:rsidRPr="003C2BC2">
        <w:rPr>
          <w:color w:val="000000"/>
        </w:rPr>
        <w:t>In addition to producers who are already active, there will be new producers each year who have to register. However, the number of new producers of single-use plastic products will tend to decrease as the reusable share of plastic products increases with implementation of the various measures of Directive (EU) 2019/904. Based on compliance costs determined for the Packaging Act (Bundestag document 19/27634) and the Waste Electrical and Electronic Waste Act (Bundestag document 18/4901), a rotation factor of 10 per cent can be assumed and thus an estimated 500 producers will be added annually.</w:t>
      </w:r>
    </w:p>
    <w:p w14:paraId="13E59851" w14:textId="624EC2DB" w:rsidR="00377F6B" w:rsidRPr="003C2BC2" w:rsidRDefault="00377F6B" w:rsidP="00FB6EEB">
      <w:pPr>
        <w:rPr>
          <w:rFonts w:eastAsia="Times New Roman"/>
          <w:bCs/>
          <w:color w:val="000000"/>
        </w:rPr>
      </w:pPr>
      <w:r w:rsidRPr="003C2BC2">
        <w:rPr>
          <w:color w:val="000000"/>
        </w:rPr>
        <w:t>Finally, the data in the register will have to be maintained by producers; this means that changes to data must be notified. Based on experience with the packaging register, it can be assumed that approximately 10 per cent of registered producers will change their registration data each year or notify the cessation of producer activity. The time required for these activities is estimated to be 15 minutes per case and the skill level of the necessary staff is the same as for the registration process.</w:t>
      </w:r>
    </w:p>
    <w:p w14:paraId="53253B7D" w14:textId="77777777" w:rsidR="003D62F7" w:rsidRDefault="003D62F7">
      <w:pPr>
        <w:spacing w:before="0" w:after="200" w:line="276" w:lineRule="auto"/>
        <w:jc w:val="left"/>
        <w:rPr>
          <w:color w:val="000000"/>
        </w:rPr>
      </w:pPr>
      <w:r>
        <w:rPr>
          <w:color w:val="000000"/>
        </w:rPr>
        <w:br w:type="page"/>
      </w:r>
    </w:p>
    <w:p w14:paraId="6A11077B" w14:textId="0210A20B" w:rsidR="00377F6B" w:rsidRPr="003C2BC2" w:rsidRDefault="00377F6B" w:rsidP="00FB6EEB">
      <w:pPr>
        <w:rPr>
          <w:rFonts w:eastAsia="Times New Roman"/>
          <w:bCs/>
          <w:color w:val="000000"/>
        </w:rPr>
      </w:pPr>
      <w:r w:rsidRPr="003C2BC2">
        <w:rPr>
          <w:color w:val="000000"/>
        </w:rPr>
        <w:lastRenderedPageBreak/>
        <w:t>One-off conversion costs:</w:t>
      </w:r>
    </w:p>
    <w:tbl>
      <w:tblPr>
        <w:tblStyle w:val="TableGrid"/>
        <w:tblW w:w="9776" w:type="dxa"/>
        <w:tblLayout w:type="fixed"/>
        <w:tblLook w:val="04A0" w:firstRow="1" w:lastRow="0" w:firstColumn="1" w:lastColumn="0" w:noHBand="0" w:noVBand="1"/>
      </w:tblPr>
      <w:tblGrid>
        <w:gridCol w:w="993"/>
        <w:gridCol w:w="1696"/>
        <w:gridCol w:w="1701"/>
        <w:gridCol w:w="1842"/>
        <w:gridCol w:w="1843"/>
        <w:gridCol w:w="1701"/>
      </w:tblGrid>
      <w:tr w:rsidR="00377F6B" w:rsidRPr="003C2BC2" w14:paraId="3100979C" w14:textId="77777777" w:rsidTr="003D62F7">
        <w:tc>
          <w:tcPr>
            <w:tcW w:w="993" w:type="dxa"/>
            <w:shd w:val="clear" w:color="auto" w:fill="BFBFBF"/>
          </w:tcPr>
          <w:p w14:paraId="2A58F265" w14:textId="77777777" w:rsidR="00377F6B" w:rsidRPr="003C2BC2" w:rsidRDefault="00377F6B" w:rsidP="00FB6EEB">
            <w:pPr>
              <w:pStyle w:val="Text"/>
            </w:pPr>
            <w:r w:rsidRPr="003C2BC2">
              <w:t>Number of cases</w:t>
            </w:r>
          </w:p>
        </w:tc>
        <w:tc>
          <w:tcPr>
            <w:tcW w:w="1696" w:type="dxa"/>
            <w:shd w:val="clear" w:color="auto" w:fill="BFBFBF"/>
          </w:tcPr>
          <w:p w14:paraId="3157D812" w14:textId="77777777" w:rsidR="00377F6B" w:rsidRPr="003C2BC2" w:rsidRDefault="00377F6B" w:rsidP="00FB6EEB">
            <w:pPr>
              <w:pStyle w:val="Text"/>
            </w:pPr>
            <w:r w:rsidRPr="003C2BC2">
              <w:t>Time spent per case (in h)</w:t>
            </w:r>
          </w:p>
        </w:tc>
        <w:tc>
          <w:tcPr>
            <w:tcW w:w="1701" w:type="dxa"/>
            <w:shd w:val="clear" w:color="auto" w:fill="BFBFBF"/>
          </w:tcPr>
          <w:p w14:paraId="1208FA0B" w14:textId="77777777" w:rsidR="00377F6B" w:rsidRPr="003C2BC2" w:rsidRDefault="00377F6B" w:rsidP="00FB6EEB">
            <w:pPr>
              <w:pStyle w:val="Text"/>
              <w:jc w:val="left"/>
            </w:pPr>
            <w:r w:rsidRPr="003C2BC2">
              <w:t>Wage rate per h (in EUR)</w:t>
            </w:r>
          </w:p>
        </w:tc>
        <w:tc>
          <w:tcPr>
            <w:tcW w:w="1842" w:type="dxa"/>
            <w:tcBorders>
              <w:right w:val="single" w:sz="12" w:space="0" w:color="auto"/>
            </w:tcBorders>
            <w:shd w:val="clear" w:color="auto" w:fill="BFBFBF"/>
          </w:tcPr>
          <w:p w14:paraId="7D6D20C1" w14:textId="77777777" w:rsidR="00377F6B" w:rsidRPr="003C2BC2" w:rsidRDefault="00377F6B" w:rsidP="00FB6EEB">
            <w:pPr>
              <w:pStyle w:val="Text"/>
            </w:pPr>
            <w:r w:rsidRPr="003C2BC2">
              <w:t>Material costs per case (in EUR)</w:t>
            </w:r>
          </w:p>
        </w:tc>
        <w:tc>
          <w:tcPr>
            <w:tcW w:w="1843" w:type="dxa"/>
            <w:tcBorders>
              <w:top w:val="single" w:sz="8" w:space="0" w:color="auto"/>
              <w:left w:val="single" w:sz="12" w:space="0" w:color="auto"/>
            </w:tcBorders>
            <w:shd w:val="clear" w:color="auto" w:fill="BFBFBF"/>
          </w:tcPr>
          <w:p w14:paraId="5E8E851F" w14:textId="77777777" w:rsidR="00377F6B" w:rsidRPr="003C2BC2" w:rsidRDefault="00377F6B" w:rsidP="00FB6EEB">
            <w:pPr>
              <w:pStyle w:val="Text"/>
            </w:pPr>
            <w:r w:rsidRPr="003C2BC2">
              <w:t>Total personnel costs (in EUR)</w:t>
            </w:r>
          </w:p>
        </w:tc>
        <w:tc>
          <w:tcPr>
            <w:tcW w:w="1701" w:type="dxa"/>
            <w:tcBorders>
              <w:top w:val="single" w:sz="8" w:space="0" w:color="auto"/>
              <w:right w:val="single" w:sz="8" w:space="0" w:color="auto"/>
            </w:tcBorders>
            <w:shd w:val="clear" w:color="auto" w:fill="BFBFBF"/>
          </w:tcPr>
          <w:p w14:paraId="1C95DD97" w14:textId="77777777" w:rsidR="00377F6B" w:rsidRPr="003C2BC2" w:rsidRDefault="00377F6B" w:rsidP="00FB6EEB">
            <w:pPr>
              <w:pStyle w:val="Text"/>
            </w:pPr>
            <w:r w:rsidRPr="003C2BC2">
              <w:t xml:space="preserve">Material costs </w:t>
            </w:r>
          </w:p>
          <w:p w14:paraId="3C62AFD7" w14:textId="77777777" w:rsidR="00377F6B" w:rsidRPr="003C2BC2" w:rsidRDefault="00377F6B" w:rsidP="00FB6EEB">
            <w:pPr>
              <w:pStyle w:val="Text"/>
            </w:pPr>
            <w:r w:rsidRPr="003C2BC2">
              <w:t>Total (in EUR)</w:t>
            </w:r>
          </w:p>
        </w:tc>
      </w:tr>
      <w:tr w:rsidR="00377F6B" w:rsidRPr="003C2BC2" w14:paraId="229EFE51" w14:textId="77777777" w:rsidTr="003D62F7">
        <w:trPr>
          <w:trHeight w:val="368"/>
        </w:trPr>
        <w:tc>
          <w:tcPr>
            <w:tcW w:w="993" w:type="dxa"/>
            <w:vAlign w:val="center"/>
          </w:tcPr>
          <w:p w14:paraId="7EC5009A" w14:textId="77777777" w:rsidR="00377F6B" w:rsidRPr="003C2BC2" w:rsidRDefault="00377F6B" w:rsidP="00FB6EEB">
            <w:pPr>
              <w:pStyle w:val="Text"/>
            </w:pPr>
            <w:r w:rsidRPr="003C2BC2">
              <w:t>2000</w:t>
            </w:r>
          </w:p>
        </w:tc>
        <w:tc>
          <w:tcPr>
            <w:tcW w:w="1696" w:type="dxa"/>
            <w:vAlign w:val="center"/>
          </w:tcPr>
          <w:p w14:paraId="66B51857" w14:textId="77777777" w:rsidR="00377F6B" w:rsidRPr="003C2BC2" w:rsidRDefault="00377F6B" w:rsidP="00FB6EEB">
            <w:pPr>
              <w:pStyle w:val="Text"/>
            </w:pPr>
            <w:r w:rsidRPr="003C2BC2">
              <w:t>0.5</w:t>
            </w:r>
          </w:p>
        </w:tc>
        <w:tc>
          <w:tcPr>
            <w:tcW w:w="1701" w:type="dxa"/>
            <w:vAlign w:val="center"/>
          </w:tcPr>
          <w:p w14:paraId="4C73C04F" w14:textId="77777777" w:rsidR="00377F6B" w:rsidRPr="003C2BC2" w:rsidRDefault="00377F6B" w:rsidP="00FB6EEB">
            <w:pPr>
              <w:pStyle w:val="Text"/>
            </w:pPr>
            <w:r w:rsidRPr="003C2BC2">
              <w:t>38.50</w:t>
            </w:r>
          </w:p>
        </w:tc>
        <w:tc>
          <w:tcPr>
            <w:tcW w:w="1842" w:type="dxa"/>
            <w:tcBorders>
              <w:right w:val="single" w:sz="12" w:space="0" w:color="auto"/>
            </w:tcBorders>
            <w:vAlign w:val="center"/>
          </w:tcPr>
          <w:p w14:paraId="0FA57676" w14:textId="77777777" w:rsidR="00377F6B" w:rsidRPr="003C2BC2" w:rsidRDefault="00377F6B" w:rsidP="00FB6EEB">
            <w:pPr>
              <w:pStyle w:val="Text"/>
            </w:pPr>
            <w:r w:rsidRPr="003C2BC2">
              <w:t>0</w:t>
            </w:r>
          </w:p>
        </w:tc>
        <w:tc>
          <w:tcPr>
            <w:tcW w:w="1843" w:type="dxa"/>
            <w:tcBorders>
              <w:left w:val="single" w:sz="12" w:space="0" w:color="auto"/>
            </w:tcBorders>
            <w:vAlign w:val="center"/>
          </w:tcPr>
          <w:p w14:paraId="59BE4596" w14:textId="77777777" w:rsidR="00377F6B" w:rsidRPr="003C2BC2" w:rsidRDefault="00377F6B" w:rsidP="00FB6EEB">
            <w:pPr>
              <w:pStyle w:val="Text"/>
            </w:pPr>
            <w:r w:rsidRPr="003C2BC2">
              <w:t>38 500</w:t>
            </w:r>
          </w:p>
        </w:tc>
        <w:tc>
          <w:tcPr>
            <w:tcW w:w="1701" w:type="dxa"/>
            <w:tcBorders>
              <w:right w:val="single" w:sz="8" w:space="0" w:color="auto"/>
            </w:tcBorders>
            <w:vAlign w:val="center"/>
          </w:tcPr>
          <w:p w14:paraId="73807896" w14:textId="77777777" w:rsidR="00377F6B" w:rsidRPr="003C2BC2" w:rsidRDefault="00377F6B" w:rsidP="00FB6EEB">
            <w:pPr>
              <w:pStyle w:val="Text"/>
            </w:pPr>
            <w:r w:rsidRPr="003C2BC2">
              <w:t>0</w:t>
            </w:r>
          </w:p>
        </w:tc>
      </w:tr>
      <w:tr w:rsidR="00377F6B" w:rsidRPr="003C2BC2" w14:paraId="5D2EA914" w14:textId="77777777" w:rsidTr="003D62F7">
        <w:trPr>
          <w:trHeight w:val="368"/>
        </w:trPr>
        <w:tc>
          <w:tcPr>
            <w:tcW w:w="993" w:type="dxa"/>
            <w:vAlign w:val="center"/>
          </w:tcPr>
          <w:p w14:paraId="488F2B96" w14:textId="77777777" w:rsidR="00377F6B" w:rsidRPr="003C2BC2" w:rsidRDefault="00377F6B" w:rsidP="00FB6EEB">
            <w:pPr>
              <w:pStyle w:val="Text"/>
            </w:pPr>
            <w:r w:rsidRPr="003C2BC2">
              <w:t>3000</w:t>
            </w:r>
          </w:p>
        </w:tc>
        <w:tc>
          <w:tcPr>
            <w:tcW w:w="1696" w:type="dxa"/>
            <w:vAlign w:val="center"/>
          </w:tcPr>
          <w:p w14:paraId="3788023E" w14:textId="77777777" w:rsidR="00377F6B" w:rsidRPr="003C2BC2" w:rsidRDefault="00377F6B" w:rsidP="00FB6EEB">
            <w:pPr>
              <w:pStyle w:val="Text"/>
            </w:pPr>
            <w:r w:rsidRPr="003C2BC2">
              <w:t>0.25</w:t>
            </w:r>
          </w:p>
        </w:tc>
        <w:tc>
          <w:tcPr>
            <w:tcW w:w="1701" w:type="dxa"/>
            <w:vAlign w:val="center"/>
          </w:tcPr>
          <w:p w14:paraId="77CADBD0" w14:textId="77777777" w:rsidR="00377F6B" w:rsidRPr="003C2BC2" w:rsidRDefault="00377F6B" w:rsidP="00FB6EEB">
            <w:pPr>
              <w:pStyle w:val="Text"/>
            </w:pPr>
            <w:r w:rsidRPr="003C2BC2">
              <w:t>38.50</w:t>
            </w:r>
          </w:p>
        </w:tc>
        <w:tc>
          <w:tcPr>
            <w:tcW w:w="1842" w:type="dxa"/>
            <w:tcBorders>
              <w:right w:val="single" w:sz="12" w:space="0" w:color="auto"/>
            </w:tcBorders>
            <w:vAlign w:val="center"/>
          </w:tcPr>
          <w:p w14:paraId="3C5FABDB" w14:textId="77777777" w:rsidR="00377F6B" w:rsidRPr="003C2BC2" w:rsidRDefault="00377F6B" w:rsidP="00FB6EEB">
            <w:pPr>
              <w:pStyle w:val="Text"/>
            </w:pPr>
            <w:r w:rsidRPr="003C2BC2">
              <w:t>0</w:t>
            </w:r>
          </w:p>
        </w:tc>
        <w:tc>
          <w:tcPr>
            <w:tcW w:w="1843" w:type="dxa"/>
            <w:tcBorders>
              <w:left w:val="single" w:sz="12" w:space="0" w:color="auto"/>
            </w:tcBorders>
            <w:vAlign w:val="center"/>
          </w:tcPr>
          <w:p w14:paraId="3D50BC9C" w14:textId="77777777" w:rsidR="00377F6B" w:rsidRPr="003C2BC2" w:rsidRDefault="00377F6B" w:rsidP="00FB6EEB">
            <w:pPr>
              <w:pStyle w:val="Text"/>
            </w:pPr>
            <w:r w:rsidRPr="003C2BC2">
              <w:t>28 875</w:t>
            </w:r>
          </w:p>
        </w:tc>
        <w:tc>
          <w:tcPr>
            <w:tcW w:w="1701" w:type="dxa"/>
            <w:tcBorders>
              <w:right w:val="single" w:sz="8" w:space="0" w:color="auto"/>
            </w:tcBorders>
            <w:vAlign w:val="center"/>
          </w:tcPr>
          <w:p w14:paraId="5D609485" w14:textId="77777777" w:rsidR="00377F6B" w:rsidRPr="003C2BC2" w:rsidRDefault="00377F6B" w:rsidP="00FB6EEB">
            <w:pPr>
              <w:pStyle w:val="Text"/>
            </w:pPr>
            <w:r w:rsidRPr="003C2BC2">
              <w:t>0</w:t>
            </w:r>
          </w:p>
        </w:tc>
      </w:tr>
      <w:tr w:rsidR="00377F6B" w:rsidRPr="003C2BC2" w14:paraId="639E26A6" w14:textId="77777777" w:rsidTr="003D62F7">
        <w:trPr>
          <w:trHeight w:val="368"/>
        </w:trPr>
        <w:tc>
          <w:tcPr>
            <w:tcW w:w="6232" w:type="dxa"/>
            <w:gridSpan w:val="4"/>
            <w:tcBorders>
              <w:right w:val="single" w:sz="12" w:space="0" w:color="auto"/>
            </w:tcBorders>
            <w:shd w:val="clear" w:color="auto" w:fill="BFBFBF"/>
            <w:vAlign w:val="center"/>
          </w:tcPr>
          <w:p w14:paraId="62193A48" w14:textId="77777777" w:rsidR="00377F6B" w:rsidRPr="003C2BC2" w:rsidRDefault="00377F6B" w:rsidP="00FB6EEB">
            <w:pPr>
              <w:pStyle w:val="Text"/>
            </w:pPr>
            <w:r w:rsidRPr="003C2BC2">
              <w:t>One-off conversion costs (in EUR)</w:t>
            </w:r>
          </w:p>
        </w:tc>
        <w:tc>
          <w:tcPr>
            <w:tcW w:w="3544" w:type="dxa"/>
            <w:gridSpan w:val="2"/>
            <w:tcBorders>
              <w:left w:val="single" w:sz="12" w:space="0" w:color="auto"/>
              <w:bottom w:val="single" w:sz="8" w:space="0" w:color="auto"/>
              <w:right w:val="single" w:sz="8" w:space="0" w:color="auto"/>
            </w:tcBorders>
            <w:vAlign w:val="center"/>
          </w:tcPr>
          <w:p w14:paraId="7CDDCA13" w14:textId="77777777" w:rsidR="00377F6B" w:rsidRPr="003C2BC2" w:rsidRDefault="00377F6B" w:rsidP="00FB6EEB">
            <w:pPr>
              <w:pStyle w:val="Text"/>
            </w:pPr>
            <w:r w:rsidRPr="003C2BC2">
              <w:t>67 375</w:t>
            </w:r>
          </w:p>
        </w:tc>
      </w:tr>
    </w:tbl>
    <w:p w14:paraId="65C7B7A9" w14:textId="05B4B065" w:rsidR="00377F6B" w:rsidRPr="003C2BC2" w:rsidRDefault="00377F6B" w:rsidP="00FB6EEB">
      <w:pPr>
        <w:spacing w:before="240"/>
        <w:rPr>
          <w:rFonts w:eastAsia="Times New Roman"/>
          <w:bCs/>
          <w:color w:val="000000"/>
        </w:rPr>
      </w:pPr>
      <w:r w:rsidRPr="003C2BC2">
        <w:rPr>
          <w:color w:val="000000"/>
        </w:rPr>
        <w:t>Annual compliance costs:</w:t>
      </w:r>
    </w:p>
    <w:tbl>
      <w:tblPr>
        <w:tblStyle w:val="TableGrid"/>
        <w:tblW w:w="9776" w:type="dxa"/>
        <w:tblLayout w:type="fixed"/>
        <w:tblLook w:val="04A0" w:firstRow="1" w:lastRow="0" w:firstColumn="1" w:lastColumn="0" w:noHBand="0" w:noVBand="1"/>
      </w:tblPr>
      <w:tblGrid>
        <w:gridCol w:w="993"/>
        <w:gridCol w:w="1696"/>
        <w:gridCol w:w="1701"/>
        <w:gridCol w:w="1842"/>
        <w:gridCol w:w="1843"/>
        <w:gridCol w:w="1701"/>
      </w:tblGrid>
      <w:tr w:rsidR="00377F6B" w:rsidRPr="003C2BC2" w14:paraId="37E84214" w14:textId="77777777" w:rsidTr="003D62F7">
        <w:tc>
          <w:tcPr>
            <w:tcW w:w="993" w:type="dxa"/>
            <w:shd w:val="clear" w:color="auto" w:fill="BFBFBF"/>
          </w:tcPr>
          <w:p w14:paraId="39DDC78E" w14:textId="77777777" w:rsidR="00377F6B" w:rsidRPr="003C2BC2" w:rsidRDefault="00377F6B" w:rsidP="00FB6EEB">
            <w:pPr>
              <w:pStyle w:val="Text"/>
            </w:pPr>
            <w:r w:rsidRPr="003C2BC2">
              <w:t>Number of cases</w:t>
            </w:r>
          </w:p>
        </w:tc>
        <w:tc>
          <w:tcPr>
            <w:tcW w:w="1696" w:type="dxa"/>
            <w:shd w:val="clear" w:color="auto" w:fill="BFBFBF"/>
          </w:tcPr>
          <w:p w14:paraId="0C3D616A" w14:textId="77777777" w:rsidR="00377F6B" w:rsidRPr="003C2BC2" w:rsidRDefault="00377F6B" w:rsidP="00FB6EEB">
            <w:pPr>
              <w:pStyle w:val="Text"/>
            </w:pPr>
            <w:r w:rsidRPr="003C2BC2">
              <w:t>Time spent per case (in h)</w:t>
            </w:r>
          </w:p>
        </w:tc>
        <w:tc>
          <w:tcPr>
            <w:tcW w:w="1701" w:type="dxa"/>
            <w:shd w:val="clear" w:color="auto" w:fill="BFBFBF"/>
          </w:tcPr>
          <w:p w14:paraId="29CED648" w14:textId="77777777" w:rsidR="00377F6B" w:rsidRPr="003C2BC2" w:rsidRDefault="00377F6B" w:rsidP="00FB6EEB">
            <w:pPr>
              <w:pStyle w:val="Text"/>
              <w:jc w:val="left"/>
            </w:pPr>
            <w:r w:rsidRPr="003C2BC2">
              <w:t>Wage rate per h (in EUR)</w:t>
            </w:r>
          </w:p>
        </w:tc>
        <w:tc>
          <w:tcPr>
            <w:tcW w:w="1842" w:type="dxa"/>
            <w:tcBorders>
              <w:right w:val="single" w:sz="12" w:space="0" w:color="auto"/>
            </w:tcBorders>
            <w:shd w:val="clear" w:color="auto" w:fill="BFBFBF"/>
          </w:tcPr>
          <w:p w14:paraId="7EFF5986" w14:textId="77777777" w:rsidR="00377F6B" w:rsidRPr="003C2BC2" w:rsidRDefault="00377F6B" w:rsidP="00FB6EEB">
            <w:pPr>
              <w:pStyle w:val="Text"/>
            </w:pPr>
            <w:r w:rsidRPr="003C2BC2">
              <w:t>Material costs per case (in EUR)</w:t>
            </w:r>
          </w:p>
        </w:tc>
        <w:tc>
          <w:tcPr>
            <w:tcW w:w="1843" w:type="dxa"/>
            <w:tcBorders>
              <w:top w:val="single" w:sz="8" w:space="0" w:color="auto"/>
              <w:left w:val="single" w:sz="12" w:space="0" w:color="auto"/>
            </w:tcBorders>
            <w:shd w:val="clear" w:color="auto" w:fill="BFBFBF"/>
          </w:tcPr>
          <w:p w14:paraId="251A73ED" w14:textId="77777777" w:rsidR="00377F6B" w:rsidRPr="003C2BC2" w:rsidRDefault="00377F6B" w:rsidP="00FB6EEB">
            <w:pPr>
              <w:pStyle w:val="Text"/>
            </w:pPr>
            <w:r w:rsidRPr="003C2BC2">
              <w:t>Total personnel costs (in EUR)</w:t>
            </w:r>
          </w:p>
        </w:tc>
        <w:tc>
          <w:tcPr>
            <w:tcW w:w="1701" w:type="dxa"/>
            <w:tcBorders>
              <w:top w:val="single" w:sz="8" w:space="0" w:color="auto"/>
              <w:right w:val="single" w:sz="8" w:space="0" w:color="auto"/>
            </w:tcBorders>
            <w:shd w:val="clear" w:color="auto" w:fill="BFBFBF"/>
          </w:tcPr>
          <w:p w14:paraId="02DE0386" w14:textId="77777777" w:rsidR="00377F6B" w:rsidRPr="003C2BC2" w:rsidRDefault="00377F6B" w:rsidP="00FB6EEB">
            <w:pPr>
              <w:pStyle w:val="Text"/>
            </w:pPr>
            <w:r w:rsidRPr="003C2BC2">
              <w:t xml:space="preserve">Material costs </w:t>
            </w:r>
          </w:p>
          <w:p w14:paraId="1A39D68B" w14:textId="77777777" w:rsidR="00377F6B" w:rsidRPr="003C2BC2" w:rsidRDefault="00377F6B" w:rsidP="00FB6EEB">
            <w:pPr>
              <w:pStyle w:val="Text"/>
            </w:pPr>
            <w:r w:rsidRPr="003C2BC2">
              <w:t>Total (in EUR)</w:t>
            </w:r>
          </w:p>
        </w:tc>
      </w:tr>
      <w:tr w:rsidR="00377F6B" w:rsidRPr="003C2BC2" w14:paraId="55C9113F" w14:textId="77777777" w:rsidTr="003D62F7">
        <w:trPr>
          <w:trHeight w:val="368"/>
        </w:trPr>
        <w:tc>
          <w:tcPr>
            <w:tcW w:w="993" w:type="dxa"/>
            <w:vAlign w:val="center"/>
          </w:tcPr>
          <w:p w14:paraId="643BD0DB" w14:textId="77777777" w:rsidR="00377F6B" w:rsidRPr="003C2BC2" w:rsidRDefault="00377F6B" w:rsidP="00FB6EEB">
            <w:pPr>
              <w:pStyle w:val="Text"/>
            </w:pPr>
            <w:r w:rsidRPr="003C2BC2">
              <w:t>500</w:t>
            </w:r>
          </w:p>
        </w:tc>
        <w:tc>
          <w:tcPr>
            <w:tcW w:w="1696" w:type="dxa"/>
            <w:vAlign w:val="center"/>
          </w:tcPr>
          <w:p w14:paraId="65C8485C" w14:textId="77777777" w:rsidR="00377F6B" w:rsidRPr="003C2BC2" w:rsidRDefault="00377F6B" w:rsidP="00FB6EEB">
            <w:pPr>
              <w:pStyle w:val="Text"/>
            </w:pPr>
            <w:r w:rsidRPr="003C2BC2">
              <w:t>0.5</w:t>
            </w:r>
          </w:p>
        </w:tc>
        <w:tc>
          <w:tcPr>
            <w:tcW w:w="1701" w:type="dxa"/>
            <w:vAlign w:val="center"/>
          </w:tcPr>
          <w:p w14:paraId="4F8CD35A" w14:textId="77777777" w:rsidR="00377F6B" w:rsidRPr="003C2BC2" w:rsidRDefault="00377F6B" w:rsidP="00FB6EEB">
            <w:pPr>
              <w:pStyle w:val="Text"/>
            </w:pPr>
            <w:r w:rsidRPr="003C2BC2">
              <w:t>38.50</w:t>
            </w:r>
          </w:p>
        </w:tc>
        <w:tc>
          <w:tcPr>
            <w:tcW w:w="1842" w:type="dxa"/>
            <w:tcBorders>
              <w:right w:val="single" w:sz="12" w:space="0" w:color="auto"/>
            </w:tcBorders>
            <w:vAlign w:val="center"/>
          </w:tcPr>
          <w:p w14:paraId="68950D0B" w14:textId="77777777" w:rsidR="00377F6B" w:rsidRPr="003C2BC2" w:rsidRDefault="00377F6B" w:rsidP="00FB6EEB">
            <w:pPr>
              <w:pStyle w:val="Text"/>
            </w:pPr>
            <w:r w:rsidRPr="003C2BC2">
              <w:t>0</w:t>
            </w:r>
          </w:p>
        </w:tc>
        <w:tc>
          <w:tcPr>
            <w:tcW w:w="1843" w:type="dxa"/>
            <w:tcBorders>
              <w:left w:val="single" w:sz="12" w:space="0" w:color="auto"/>
            </w:tcBorders>
            <w:vAlign w:val="center"/>
          </w:tcPr>
          <w:p w14:paraId="392247AC" w14:textId="77777777" w:rsidR="00377F6B" w:rsidRPr="003C2BC2" w:rsidRDefault="00377F6B" w:rsidP="00FB6EEB">
            <w:pPr>
              <w:pStyle w:val="Text"/>
            </w:pPr>
            <w:r w:rsidRPr="003C2BC2">
              <w:t>9 625</w:t>
            </w:r>
          </w:p>
        </w:tc>
        <w:tc>
          <w:tcPr>
            <w:tcW w:w="1701" w:type="dxa"/>
            <w:tcBorders>
              <w:right w:val="single" w:sz="8" w:space="0" w:color="auto"/>
            </w:tcBorders>
            <w:vAlign w:val="center"/>
          </w:tcPr>
          <w:p w14:paraId="732461CE" w14:textId="77777777" w:rsidR="00377F6B" w:rsidRPr="003C2BC2" w:rsidRDefault="00377F6B" w:rsidP="00FB6EEB">
            <w:pPr>
              <w:pStyle w:val="Text"/>
            </w:pPr>
            <w:r w:rsidRPr="003C2BC2">
              <w:t>0</w:t>
            </w:r>
          </w:p>
        </w:tc>
      </w:tr>
      <w:tr w:rsidR="00377F6B" w:rsidRPr="003C2BC2" w14:paraId="545A0B74" w14:textId="77777777" w:rsidTr="003D62F7">
        <w:trPr>
          <w:trHeight w:val="368"/>
        </w:trPr>
        <w:tc>
          <w:tcPr>
            <w:tcW w:w="993" w:type="dxa"/>
            <w:vAlign w:val="center"/>
          </w:tcPr>
          <w:p w14:paraId="1DA79001" w14:textId="77777777" w:rsidR="00377F6B" w:rsidRPr="003C2BC2" w:rsidRDefault="00377F6B" w:rsidP="00FB6EEB">
            <w:pPr>
              <w:pStyle w:val="Text"/>
            </w:pPr>
            <w:r w:rsidRPr="003C2BC2">
              <w:t>500</w:t>
            </w:r>
          </w:p>
        </w:tc>
        <w:tc>
          <w:tcPr>
            <w:tcW w:w="1696" w:type="dxa"/>
            <w:vAlign w:val="center"/>
          </w:tcPr>
          <w:p w14:paraId="404C4257" w14:textId="77777777" w:rsidR="00377F6B" w:rsidRPr="003C2BC2" w:rsidRDefault="00377F6B" w:rsidP="00FB6EEB">
            <w:pPr>
              <w:pStyle w:val="Text"/>
            </w:pPr>
            <w:r w:rsidRPr="003C2BC2">
              <w:t>0.25</w:t>
            </w:r>
          </w:p>
        </w:tc>
        <w:tc>
          <w:tcPr>
            <w:tcW w:w="1701" w:type="dxa"/>
            <w:vAlign w:val="center"/>
          </w:tcPr>
          <w:p w14:paraId="4899E47D" w14:textId="77777777" w:rsidR="00377F6B" w:rsidRPr="003C2BC2" w:rsidRDefault="00377F6B" w:rsidP="00FB6EEB">
            <w:pPr>
              <w:pStyle w:val="Text"/>
            </w:pPr>
            <w:r w:rsidRPr="003C2BC2">
              <w:t>38.50</w:t>
            </w:r>
          </w:p>
        </w:tc>
        <w:tc>
          <w:tcPr>
            <w:tcW w:w="1842" w:type="dxa"/>
            <w:tcBorders>
              <w:right w:val="single" w:sz="12" w:space="0" w:color="auto"/>
            </w:tcBorders>
            <w:vAlign w:val="center"/>
          </w:tcPr>
          <w:p w14:paraId="52DF63EE" w14:textId="77777777" w:rsidR="00377F6B" w:rsidRPr="003C2BC2" w:rsidRDefault="00377F6B" w:rsidP="00FB6EEB">
            <w:pPr>
              <w:pStyle w:val="Text"/>
            </w:pPr>
            <w:r w:rsidRPr="003C2BC2">
              <w:t>0</w:t>
            </w:r>
          </w:p>
        </w:tc>
        <w:tc>
          <w:tcPr>
            <w:tcW w:w="1843" w:type="dxa"/>
            <w:tcBorders>
              <w:left w:val="single" w:sz="12" w:space="0" w:color="auto"/>
            </w:tcBorders>
            <w:vAlign w:val="center"/>
          </w:tcPr>
          <w:p w14:paraId="5F09771A" w14:textId="77777777" w:rsidR="00377F6B" w:rsidRPr="003C2BC2" w:rsidRDefault="00377F6B" w:rsidP="00FB6EEB">
            <w:pPr>
              <w:pStyle w:val="Text"/>
            </w:pPr>
            <w:r w:rsidRPr="003C2BC2">
              <w:t>4 813</w:t>
            </w:r>
          </w:p>
        </w:tc>
        <w:tc>
          <w:tcPr>
            <w:tcW w:w="1701" w:type="dxa"/>
            <w:tcBorders>
              <w:right w:val="single" w:sz="8" w:space="0" w:color="auto"/>
            </w:tcBorders>
            <w:vAlign w:val="center"/>
          </w:tcPr>
          <w:p w14:paraId="092B11E4" w14:textId="77777777" w:rsidR="00377F6B" w:rsidRPr="003C2BC2" w:rsidRDefault="00377F6B" w:rsidP="00FB6EEB">
            <w:pPr>
              <w:pStyle w:val="Text"/>
            </w:pPr>
            <w:r w:rsidRPr="003C2BC2">
              <w:t>0</w:t>
            </w:r>
          </w:p>
        </w:tc>
      </w:tr>
      <w:tr w:rsidR="00377F6B" w:rsidRPr="003C2BC2" w14:paraId="54A70487" w14:textId="77777777" w:rsidTr="003D62F7">
        <w:trPr>
          <w:trHeight w:val="368"/>
        </w:trPr>
        <w:tc>
          <w:tcPr>
            <w:tcW w:w="6232" w:type="dxa"/>
            <w:gridSpan w:val="4"/>
            <w:tcBorders>
              <w:right w:val="single" w:sz="12" w:space="0" w:color="auto"/>
            </w:tcBorders>
            <w:shd w:val="clear" w:color="auto" w:fill="BFBFBF"/>
            <w:vAlign w:val="center"/>
          </w:tcPr>
          <w:p w14:paraId="1D7640C0" w14:textId="77777777" w:rsidR="00377F6B" w:rsidRPr="003C2BC2" w:rsidRDefault="00377F6B" w:rsidP="00FB6EEB">
            <w:pPr>
              <w:pStyle w:val="Text"/>
            </w:pPr>
            <w:r w:rsidRPr="003C2BC2">
              <w:t>Annual compliance costs (in EUR)</w:t>
            </w:r>
          </w:p>
        </w:tc>
        <w:tc>
          <w:tcPr>
            <w:tcW w:w="3544" w:type="dxa"/>
            <w:gridSpan w:val="2"/>
            <w:tcBorders>
              <w:left w:val="single" w:sz="12" w:space="0" w:color="auto"/>
              <w:bottom w:val="single" w:sz="8" w:space="0" w:color="auto"/>
              <w:right w:val="single" w:sz="8" w:space="0" w:color="auto"/>
            </w:tcBorders>
            <w:vAlign w:val="center"/>
          </w:tcPr>
          <w:p w14:paraId="5C9ED6E5" w14:textId="77777777" w:rsidR="00377F6B" w:rsidRPr="003C2BC2" w:rsidRDefault="00377F6B" w:rsidP="00FB6EEB">
            <w:pPr>
              <w:pStyle w:val="Text"/>
            </w:pPr>
            <w:r w:rsidRPr="003C2BC2">
              <w:t>14 438</w:t>
            </w:r>
          </w:p>
        </w:tc>
      </w:tr>
    </w:tbl>
    <w:p w14:paraId="22D63A08" w14:textId="7F6D3C12" w:rsidR="00377F6B" w:rsidRPr="003C2BC2" w:rsidRDefault="00377F6B" w:rsidP="00FB6EEB">
      <w:pPr>
        <w:spacing w:before="240"/>
        <w:rPr>
          <w:rFonts w:eastAsia="Times New Roman"/>
          <w:bCs/>
          <w:color w:val="000000"/>
        </w:rPr>
      </w:pPr>
      <w:proofErr w:type="spellStart"/>
      <w:r w:rsidRPr="003C2BC2">
        <w:rPr>
          <w:color w:val="000000"/>
        </w:rPr>
        <w:t>bbb</w:t>
      </w:r>
      <w:proofErr w:type="spellEnd"/>
      <w:r w:rsidRPr="003C2BC2">
        <w:rPr>
          <w:color w:val="000000"/>
        </w:rPr>
        <w:t>) Appointment of authorised representatives (Requirements 12, 13, 15, 16, 18, 19)</w:t>
      </w:r>
    </w:p>
    <w:p w14:paraId="0F7D032D" w14:textId="5CF30E98" w:rsidR="00377F6B" w:rsidRPr="003C2BC2" w:rsidRDefault="00377F6B" w:rsidP="00FB6EEB">
      <w:pPr>
        <w:rPr>
          <w:rFonts w:eastAsia="Times New Roman"/>
          <w:bCs/>
          <w:color w:val="000000"/>
        </w:rPr>
      </w:pPr>
      <w:r w:rsidRPr="003C2BC2">
        <w:rPr>
          <w:color w:val="000000"/>
        </w:rPr>
        <w:t>Under Article 1 Section 10(1), certain producers who are not established in Germany but who operate in Germany will be required to appoint authorised representatives for the purpose of fulfilling their obligations, and the Federal Environment Agency will need to be notified of the appointment.</w:t>
      </w:r>
    </w:p>
    <w:p w14:paraId="49EF86A6" w14:textId="7EEDFEDF" w:rsidR="00377F6B" w:rsidRPr="003C2BC2" w:rsidRDefault="00377F6B" w:rsidP="00FB6EEB">
      <w:pPr>
        <w:rPr>
          <w:rFonts w:eastAsia="Times New Roman"/>
          <w:bCs/>
          <w:color w:val="000000"/>
        </w:rPr>
      </w:pPr>
      <w:r w:rsidRPr="003C2BC2">
        <w:rPr>
          <w:color w:val="000000"/>
        </w:rPr>
        <w:t>The number of producers is difficult to estimate, especially because the companies are located abroad. On the basis of experience gained from implementation of the Packaging Act and the Electrical and Electronic Equipment Act, it is expected that some 850 producers will have to appoint an authorised representative and notify same to the Federal Environment Agency when the provision enters into force; these producers will incur one-off conversion costs.</w:t>
      </w:r>
    </w:p>
    <w:p w14:paraId="050D7C14" w14:textId="77777777" w:rsidR="00377F6B" w:rsidRPr="003C2BC2" w:rsidRDefault="00377F6B" w:rsidP="00FB6EEB">
      <w:pPr>
        <w:rPr>
          <w:rFonts w:eastAsia="Times New Roman"/>
          <w:bCs/>
          <w:color w:val="000000"/>
        </w:rPr>
      </w:pPr>
      <w:r w:rsidRPr="003C2BC2">
        <w:rPr>
          <w:color w:val="000000"/>
        </w:rPr>
        <w:t>This number is based on the following assumptions: As things stand at the moment (December 2021), a total of around 239 000 producers are registered in the packaging register. Of these, about 198 000 producers (= about 83 per cent) are based in Germany and about 41 000 producers (= about 17 per cent) are based abroad.</w:t>
      </w:r>
    </w:p>
    <w:p w14:paraId="715DC2B6" w14:textId="77777777" w:rsidR="00377F6B" w:rsidRPr="003C2BC2" w:rsidRDefault="00377F6B" w:rsidP="00FB6EEB">
      <w:pPr>
        <w:rPr>
          <w:rFonts w:eastAsia="Times New Roman"/>
          <w:bCs/>
          <w:color w:val="000000"/>
        </w:rPr>
      </w:pPr>
      <w:r w:rsidRPr="003C2BC2">
        <w:rPr>
          <w:color w:val="000000"/>
        </w:rPr>
        <w:t>The register of producers of electrical and electronic equipment currently (December 2021) contains 26 932 registered producers, 9 500 of which have appointed an authorised representative. This means that about 35 per cent of registered producers are based abroad.</w:t>
      </w:r>
    </w:p>
    <w:p w14:paraId="3503A9D8" w14:textId="77777777" w:rsidR="00377F6B" w:rsidRPr="003C2BC2" w:rsidRDefault="00377F6B" w:rsidP="00FB6EEB">
      <w:pPr>
        <w:rPr>
          <w:rFonts w:eastAsia="Times New Roman"/>
          <w:bCs/>
          <w:color w:val="000000"/>
        </w:rPr>
      </w:pPr>
      <w:r w:rsidRPr="003C2BC2">
        <w:rPr>
          <w:color w:val="000000"/>
        </w:rPr>
        <w:t xml:space="preserve">If an approximate average is applied to these two approaches (packaging register and register of electrical and electronic equipment producers) and this is transferred to producers of single-use plastic products, it can be assumed that the percentage of foreign single-use plastic products producers will be around 26 per cent of the total number of those producers. Thus, on the basis of the 5 000 producers (cf. </w:t>
      </w:r>
      <w:proofErr w:type="spellStart"/>
      <w:r w:rsidRPr="003C2BC2">
        <w:rPr>
          <w:color w:val="000000"/>
        </w:rPr>
        <w:t>aaa</w:t>
      </w:r>
      <w:proofErr w:type="spellEnd"/>
      <w:r w:rsidRPr="003C2BC2">
        <w:rPr>
          <w:color w:val="000000"/>
        </w:rPr>
        <w:t>) there will be about 1 300 producers who have to appoint an authorised representative.</w:t>
      </w:r>
    </w:p>
    <w:p w14:paraId="68978255" w14:textId="77777777" w:rsidR="00377F6B" w:rsidRPr="003C2BC2" w:rsidRDefault="00377F6B" w:rsidP="00FB6EEB">
      <w:pPr>
        <w:rPr>
          <w:rFonts w:eastAsia="Times New Roman"/>
          <w:bCs/>
          <w:color w:val="000000"/>
        </w:rPr>
      </w:pPr>
      <w:r w:rsidRPr="003C2BC2">
        <w:rPr>
          <w:color w:val="000000"/>
        </w:rPr>
        <w:t xml:space="preserve">In addition – given the rotation factor of 10 per cent estimated under </w:t>
      </w:r>
      <w:proofErr w:type="spellStart"/>
      <w:r w:rsidRPr="003C2BC2">
        <w:rPr>
          <w:color w:val="000000"/>
        </w:rPr>
        <w:t>aaa</w:t>
      </w:r>
      <w:proofErr w:type="spellEnd"/>
      <w:r w:rsidRPr="003C2BC2">
        <w:rPr>
          <w:color w:val="000000"/>
        </w:rPr>
        <w:t xml:space="preserve"> – it can be assumed that there will be 130 cases per year (10 per cent of 1 300 producers) where a new </w:t>
      </w:r>
      <w:r w:rsidRPr="003C2BC2">
        <w:rPr>
          <w:color w:val="000000"/>
        </w:rPr>
        <w:lastRenderedPageBreak/>
        <w:t>appointment is made and a further 130 cases per year where a change to the appointment needs to be notified or where termination of the appointment needs to be notified.</w:t>
      </w:r>
    </w:p>
    <w:p w14:paraId="176FDFEE" w14:textId="4988A1EA" w:rsidR="00377F6B" w:rsidRPr="003C2BC2" w:rsidRDefault="00377F6B" w:rsidP="00FB6EEB">
      <w:pPr>
        <w:rPr>
          <w:rFonts w:eastAsia="Times New Roman"/>
          <w:bCs/>
          <w:color w:val="000000"/>
        </w:rPr>
      </w:pPr>
      <w:r w:rsidRPr="003C2BC2">
        <w:rPr>
          <w:color w:val="000000"/>
        </w:rPr>
        <w:t>According to experience gained from implementation of the Electrical and Electronic Equipment Act and the Packaging Act, the cost of notifying such appointment is estimated at 60 minutes, the cost of notifying changes or termination of the appointment is 30 minutes. The staff required for the activity are assigned to Private sector C – Manufacturing, medium skill level. According to the ‘Private sector’ wage cost table (Annex VI of the Guide to Calculating and Setting Out Compliance Costs for Regulatory Projects of the Federal Government), an hourly rate of EUR 38.50 is estimated.</w:t>
      </w:r>
    </w:p>
    <w:p w14:paraId="39EE7A43" w14:textId="19B87A22" w:rsidR="00377F6B" w:rsidRPr="003C2BC2" w:rsidRDefault="00377F6B" w:rsidP="00FB6EEB">
      <w:pPr>
        <w:rPr>
          <w:rFonts w:eastAsia="Times New Roman"/>
          <w:bCs/>
          <w:color w:val="000000"/>
        </w:rPr>
      </w:pPr>
      <w:r w:rsidRPr="003C2BC2">
        <w:rPr>
          <w:color w:val="000000"/>
        </w:rPr>
        <w:t>In accordance with Article 1 Section 10(4), producers established in Germany who sell or make single-use plastic products available for the first time on an overseas market without being established there are to appoint an authorised representative for that market. There is no requirement to notify the German authorities. Since the requirements concerning the appointment are governed by foreign law, it is not possible to estimate the compliance costs. However, according to a cautious assessment, the number of German producers concerned can be assumed to be very large.</w:t>
      </w:r>
    </w:p>
    <w:p w14:paraId="0CD53D27" w14:textId="77777777" w:rsidR="00377F6B" w:rsidRPr="003C2BC2" w:rsidRDefault="00377F6B" w:rsidP="00FB6EEB">
      <w:pPr>
        <w:rPr>
          <w:rFonts w:eastAsia="Times New Roman"/>
          <w:bCs/>
          <w:color w:val="000000"/>
        </w:rPr>
      </w:pPr>
      <w:r w:rsidRPr="003C2BC2">
        <w:rPr>
          <w:color w:val="000000"/>
        </w:rPr>
        <w:t>One-off conversion costs:</w:t>
      </w:r>
    </w:p>
    <w:tbl>
      <w:tblPr>
        <w:tblStyle w:val="TableGrid"/>
        <w:tblW w:w="9067" w:type="dxa"/>
        <w:tblLayout w:type="fixed"/>
        <w:tblLook w:val="04A0" w:firstRow="1" w:lastRow="0" w:firstColumn="1" w:lastColumn="0" w:noHBand="0" w:noVBand="1"/>
      </w:tblPr>
      <w:tblGrid>
        <w:gridCol w:w="993"/>
        <w:gridCol w:w="1417"/>
        <w:gridCol w:w="1413"/>
        <w:gridCol w:w="1984"/>
        <w:gridCol w:w="1559"/>
        <w:gridCol w:w="1701"/>
      </w:tblGrid>
      <w:tr w:rsidR="00377F6B" w:rsidRPr="003C2BC2" w14:paraId="26ABF221" w14:textId="77777777" w:rsidTr="0081712D">
        <w:tc>
          <w:tcPr>
            <w:tcW w:w="993" w:type="dxa"/>
            <w:shd w:val="clear" w:color="auto" w:fill="BFBFBF"/>
          </w:tcPr>
          <w:p w14:paraId="6B97A85A" w14:textId="77777777" w:rsidR="00377F6B" w:rsidRPr="003C2BC2" w:rsidRDefault="00377F6B" w:rsidP="00FB6EEB">
            <w:pPr>
              <w:pStyle w:val="Text"/>
            </w:pPr>
            <w:r w:rsidRPr="003C2BC2">
              <w:t>Number of cases</w:t>
            </w:r>
          </w:p>
        </w:tc>
        <w:tc>
          <w:tcPr>
            <w:tcW w:w="1417" w:type="dxa"/>
            <w:shd w:val="clear" w:color="auto" w:fill="BFBFBF"/>
          </w:tcPr>
          <w:p w14:paraId="342284D3" w14:textId="77777777" w:rsidR="00377F6B" w:rsidRPr="003C2BC2" w:rsidRDefault="00377F6B" w:rsidP="00FB6EEB">
            <w:pPr>
              <w:pStyle w:val="Text"/>
            </w:pPr>
            <w:r w:rsidRPr="003C2BC2">
              <w:t>Time spent per case (in h)</w:t>
            </w:r>
          </w:p>
        </w:tc>
        <w:tc>
          <w:tcPr>
            <w:tcW w:w="1413" w:type="dxa"/>
            <w:shd w:val="clear" w:color="auto" w:fill="BFBFBF"/>
          </w:tcPr>
          <w:p w14:paraId="2B4E5D82"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7866094F" w14:textId="77777777" w:rsidR="00377F6B" w:rsidRPr="003C2BC2" w:rsidRDefault="00377F6B" w:rsidP="00FB6EEB">
            <w:pPr>
              <w:pStyle w:val="Text"/>
            </w:pPr>
            <w:r w:rsidRPr="003C2BC2">
              <w:t>Material costs per case (in EUR)</w:t>
            </w:r>
          </w:p>
        </w:tc>
        <w:tc>
          <w:tcPr>
            <w:tcW w:w="1559" w:type="dxa"/>
            <w:tcBorders>
              <w:top w:val="single" w:sz="8" w:space="0" w:color="auto"/>
              <w:left w:val="single" w:sz="12" w:space="0" w:color="auto"/>
            </w:tcBorders>
            <w:shd w:val="clear" w:color="auto" w:fill="BFBFBF"/>
          </w:tcPr>
          <w:p w14:paraId="7D8007AB" w14:textId="77777777" w:rsidR="00377F6B" w:rsidRPr="003C2BC2" w:rsidRDefault="00377F6B" w:rsidP="00FB6EEB">
            <w:pPr>
              <w:pStyle w:val="Text"/>
            </w:pPr>
            <w:r w:rsidRPr="003C2BC2">
              <w:t>Total personnel costs (in EUR)</w:t>
            </w:r>
          </w:p>
        </w:tc>
        <w:tc>
          <w:tcPr>
            <w:tcW w:w="1701" w:type="dxa"/>
            <w:tcBorders>
              <w:top w:val="single" w:sz="8" w:space="0" w:color="auto"/>
              <w:right w:val="single" w:sz="8" w:space="0" w:color="auto"/>
            </w:tcBorders>
            <w:shd w:val="clear" w:color="auto" w:fill="BFBFBF"/>
          </w:tcPr>
          <w:p w14:paraId="33B32195" w14:textId="77777777" w:rsidR="00377F6B" w:rsidRPr="003C2BC2" w:rsidRDefault="00377F6B" w:rsidP="00FB6EEB">
            <w:pPr>
              <w:pStyle w:val="Text"/>
            </w:pPr>
            <w:r w:rsidRPr="003C2BC2">
              <w:t xml:space="preserve">Material costs </w:t>
            </w:r>
          </w:p>
          <w:p w14:paraId="7A1C31B5" w14:textId="77777777" w:rsidR="00377F6B" w:rsidRPr="003C2BC2" w:rsidRDefault="00377F6B" w:rsidP="00FB6EEB">
            <w:pPr>
              <w:pStyle w:val="Text"/>
            </w:pPr>
            <w:r w:rsidRPr="003C2BC2">
              <w:t>Total (in EUR)</w:t>
            </w:r>
          </w:p>
        </w:tc>
      </w:tr>
      <w:tr w:rsidR="00377F6B" w:rsidRPr="003C2BC2" w14:paraId="0A302467" w14:textId="77777777" w:rsidTr="0081712D">
        <w:trPr>
          <w:trHeight w:val="368"/>
        </w:trPr>
        <w:tc>
          <w:tcPr>
            <w:tcW w:w="993" w:type="dxa"/>
            <w:vAlign w:val="center"/>
          </w:tcPr>
          <w:p w14:paraId="2D749BC1" w14:textId="77777777" w:rsidR="00377F6B" w:rsidRPr="003C2BC2" w:rsidRDefault="00377F6B" w:rsidP="00FB6EEB">
            <w:pPr>
              <w:pStyle w:val="Text"/>
            </w:pPr>
            <w:r w:rsidRPr="003C2BC2">
              <w:t>1300</w:t>
            </w:r>
          </w:p>
        </w:tc>
        <w:tc>
          <w:tcPr>
            <w:tcW w:w="1417" w:type="dxa"/>
            <w:vAlign w:val="center"/>
          </w:tcPr>
          <w:p w14:paraId="6D8804B1" w14:textId="77777777" w:rsidR="00377F6B" w:rsidRPr="003C2BC2" w:rsidRDefault="00377F6B" w:rsidP="00FB6EEB">
            <w:pPr>
              <w:pStyle w:val="Text"/>
            </w:pPr>
            <w:r w:rsidRPr="003C2BC2">
              <w:t>1</w:t>
            </w:r>
          </w:p>
        </w:tc>
        <w:tc>
          <w:tcPr>
            <w:tcW w:w="1413" w:type="dxa"/>
            <w:vAlign w:val="center"/>
          </w:tcPr>
          <w:p w14:paraId="1628E261" w14:textId="77777777" w:rsidR="00377F6B" w:rsidRPr="003C2BC2" w:rsidRDefault="00377F6B" w:rsidP="00FB6EEB">
            <w:pPr>
              <w:pStyle w:val="Text"/>
            </w:pPr>
            <w:r w:rsidRPr="003C2BC2">
              <w:t>38.50</w:t>
            </w:r>
          </w:p>
        </w:tc>
        <w:tc>
          <w:tcPr>
            <w:tcW w:w="1984" w:type="dxa"/>
            <w:tcBorders>
              <w:right w:val="single" w:sz="12" w:space="0" w:color="auto"/>
            </w:tcBorders>
            <w:vAlign w:val="center"/>
          </w:tcPr>
          <w:p w14:paraId="39816241" w14:textId="77777777" w:rsidR="00377F6B" w:rsidRPr="003C2BC2" w:rsidRDefault="00377F6B" w:rsidP="00FB6EEB">
            <w:pPr>
              <w:pStyle w:val="Text"/>
            </w:pPr>
            <w:r w:rsidRPr="003C2BC2">
              <w:t>0</w:t>
            </w:r>
          </w:p>
        </w:tc>
        <w:tc>
          <w:tcPr>
            <w:tcW w:w="1559" w:type="dxa"/>
            <w:tcBorders>
              <w:left w:val="single" w:sz="12" w:space="0" w:color="auto"/>
            </w:tcBorders>
            <w:vAlign w:val="center"/>
          </w:tcPr>
          <w:p w14:paraId="33A3283D" w14:textId="77777777" w:rsidR="00377F6B" w:rsidRPr="003C2BC2" w:rsidRDefault="00377F6B" w:rsidP="00FB6EEB">
            <w:pPr>
              <w:pStyle w:val="Text"/>
            </w:pPr>
            <w:r w:rsidRPr="003C2BC2">
              <w:t>50 050</w:t>
            </w:r>
          </w:p>
        </w:tc>
        <w:tc>
          <w:tcPr>
            <w:tcW w:w="1701" w:type="dxa"/>
            <w:tcBorders>
              <w:right w:val="single" w:sz="8" w:space="0" w:color="auto"/>
            </w:tcBorders>
            <w:vAlign w:val="center"/>
          </w:tcPr>
          <w:p w14:paraId="154B70B9" w14:textId="77777777" w:rsidR="00377F6B" w:rsidRPr="003C2BC2" w:rsidRDefault="00377F6B" w:rsidP="00FB6EEB">
            <w:pPr>
              <w:pStyle w:val="Text"/>
            </w:pPr>
            <w:r w:rsidRPr="003C2BC2">
              <w:t>0</w:t>
            </w:r>
          </w:p>
        </w:tc>
      </w:tr>
      <w:tr w:rsidR="00377F6B" w:rsidRPr="003C2BC2" w14:paraId="4B77C7E7" w14:textId="77777777" w:rsidTr="0081712D">
        <w:trPr>
          <w:trHeight w:val="368"/>
        </w:trPr>
        <w:tc>
          <w:tcPr>
            <w:tcW w:w="5807" w:type="dxa"/>
            <w:gridSpan w:val="4"/>
            <w:tcBorders>
              <w:right w:val="single" w:sz="12" w:space="0" w:color="auto"/>
            </w:tcBorders>
            <w:shd w:val="clear" w:color="auto" w:fill="BFBFBF"/>
            <w:vAlign w:val="center"/>
          </w:tcPr>
          <w:p w14:paraId="73F149EC" w14:textId="77777777" w:rsidR="00377F6B" w:rsidRPr="003C2BC2" w:rsidRDefault="00377F6B" w:rsidP="00FB6EEB">
            <w:pPr>
              <w:pStyle w:val="Text"/>
            </w:pPr>
            <w:r w:rsidRPr="003C2BC2">
              <w:t>One-off conversion costs (in EUR)</w:t>
            </w:r>
          </w:p>
        </w:tc>
        <w:tc>
          <w:tcPr>
            <w:tcW w:w="3260" w:type="dxa"/>
            <w:gridSpan w:val="2"/>
            <w:tcBorders>
              <w:left w:val="single" w:sz="12" w:space="0" w:color="auto"/>
              <w:bottom w:val="single" w:sz="8" w:space="0" w:color="auto"/>
              <w:right w:val="single" w:sz="8" w:space="0" w:color="auto"/>
            </w:tcBorders>
            <w:vAlign w:val="center"/>
          </w:tcPr>
          <w:p w14:paraId="0AADE005" w14:textId="77777777" w:rsidR="00377F6B" w:rsidRPr="003C2BC2" w:rsidRDefault="00377F6B" w:rsidP="00FB6EEB">
            <w:pPr>
              <w:pStyle w:val="Text"/>
            </w:pPr>
            <w:r w:rsidRPr="003C2BC2">
              <w:t>50 050</w:t>
            </w:r>
          </w:p>
        </w:tc>
      </w:tr>
    </w:tbl>
    <w:p w14:paraId="300DF262" w14:textId="630D5768" w:rsidR="00377F6B" w:rsidRPr="003C2BC2" w:rsidRDefault="00377F6B" w:rsidP="00FB6EEB">
      <w:pPr>
        <w:spacing w:before="240"/>
        <w:rPr>
          <w:rFonts w:eastAsia="Times New Roman"/>
          <w:bCs/>
          <w:color w:val="000000"/>
        </w:rPr>
      </w:pPr>
      <w:r w:rsidRPr="003C2BC2">
        <w:rPr>
          <w:color w:val="000000"/>
        </w:rPr>
        <w:t>Annual compliance costs:</w:t>
      </w:r>
    </w:p>
    <w:tbl>
      <w:tblPr>
        <w:tblStyle w:val="TableGrid"/>
        <w:tblW w:w="9067" w:type="dxa"/>
        <w:tblLayout w:type="fixed"/>
        <w:tblLook w:val="04A0" w:firstRow="1" w:lastRow="0" w:firstColumn="1" w:lastColumn="0" w:noHBand="0" w:noVBand="1"/>
      </w:tblPr>
      <w:tblGrid>
        <w:gridCol w:w="993"/>
        <w:gridCol w:w="1417"/>
        <w:gridCol w:w="1413"/>
        <w:gridCol w:w="1984"/>
        <w:gridCol w:w="1701"/>
        <w:gridCol w:w="1559"/>
      </w:tblGrid>
      <w:tr w:rsidR="00377F6B" w:rsidRPr="003C2BC2" w14:paraId="59644CAA" w14:textId="77777777" w:rsidTr="0081712D">
        <w:tc>
          <w:tcPr>
            <w:tcW w:w="993" w:type="dxa"/>
            <w:shd w:val="clear" w:color="auto" w:fill="BFBFBF"/>
          </w:tcPr>
          <w:p w14:paraId="2218553F" w14:textId="77777777" w:rsidR="00377F6B" w:rsidRPr="003C2BC2" w:rsidRDefault="00377F6B" w:rsidP="00FB6EEB">
            <w:pPr>
              <w:pStyle w:val="Text"/>
            </w:pPr>
            <w:r w:rsidRPr="003C2BC2">
              <w:t>Number of cases</w:t>
            </w:r>
          </w:p>
        </w:tc>
        <w:tc>
          <w:tcPr>
            <w:tcW w:w="1417" w:type="dxa"/>
            <w:shd w:val="clear" w:color="auto" w:fill="BFBFBF"/>
          </w:tcPr>
          <w:p w14:paraId="1A8B1BD8" w14:textId="77777777" w:rsidR="00377F6B" w:rsidRPr="003C2BC2" w:rsidRDefault="00377F6B" w:rsidP="00FB6EEB">
            <w:pPr>
              <w:pStyle w:val="Text"/>
            </w:pPr>
            <w:r w:rsidRPr="003C2BC2">
              <w:t>Time spent per case (in h)</w:t>
            </w:r>
          </w:p>
        </w:tc>
        <w:tc>
          <w:tcPr>
            <w:tcW w:w="1413" w:type="dxa"/>
            <w:shd w:val="clear" w:color="auto" w:fill="BFBFBF"/>
          </w:tcPr>
          <w:p w14:paraId="65B7EBA8"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5BD88317" w14:textId="77777777" w:rsidR="00377F6B" w:rsidRPr="003C2BC2" w:rsidRDefault="00377F6B" w:rsidP="00FB6EEB">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1C29FB40" w14:textId="77777777" w:rsidR="00377F6B" w:rsidRPr="003C2BC2" w:rsidRDefault="00377F6B" w:rsidP="00FB6EEB">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11987D53" w14:textId="77777777" w:rsidR="00377F6B" w:rsidRPr="003C2BC2" w:rsidRDefault="00377F6B" w:rsidP="00FB6EEB">
            <w:pPr>
              <w:pStyle w:val="Text"/>
            </w:pPr>
            <w:r w:rsidRPr="003C2BC2">
              <w:t xml:space="preserve">Material costs </w:t>
            </w:r>
          </w:p>
          <w:p w14:paraId="220CA009" w14:textId="77777777" w:rsidR="00377F6B" w:rsidRPr="003C2BC2" w:rsidRDefault="00377F6B" w:rsidP="00FB6EEB">
            <w:pPr>
              <w:pStyle w:val="Text"/>
            </w:pPr>
            <w:r w:rsidRPr="003C2BC2">
              <w:t>Total (in EUR)</w:t>
            </w:r>
          </w:p>
        </w:tc>
      </w:tr>
      <w:tr w:rsidR="00377F6B" w:rsidRPr="003C2BC2" w14:paraId="7E2D62AF" w14:textId="77777777" w:rsidTr="0081712D">
        <w:trPr>
          <w:trHeight w:val="368"/>
        </w:trPr>
        <w:tc>
          <w:tcPr>
            <w:tcW w:w="993" w:type="dxa"/>
            <w:vAlign w:val="center"/>
          </w:tcPr>
          <w:p w14:paraId="77DDF5F6" w14:textId="77777777" w:rsidR="00377F6B" w:rsidRPr="003C2BC2" w:rsidRDefault="00377F6B" w:rsidP="00FB6EEB">
            <w:pPr>
              <w:pStyle w:val="Text"/>
            </w:pPr>
            <w:r w:rsidRPr="003C2BC2">
              <w:t>130</w:t>
            </w:r>
          </w:p>
        </w:tc>
        <w:tc>
          <w:tcPr>
            <w:tcW w:w="1417" w:type="dxa"/>
            <w:vAlign w:val="center"/>
          </w:tcPr>
          <w:p w14:paraId="1931E744" w14:textId="77777777" w:rsidR="00377F6B" w:rsidRPr="003C2BC2" w:rsidRDefault="00377F6B" w:rsidP="00FB6EEB">
            <w:pPr>
              <w:pStyle w:val="Text"/>
            </w:pPr>
            <w:r w:rsidRPr="003C2BC2">
              <w:t>1</w:t>
            </w:r>
          </w:p>
        </w:tc>
        <w:tc>
          <w:tcPr>
            <w:tcW w:w="1413" w:type="dxa"/>
            <w:vAlign w:val="center"/>
          </w:tcPr>
          <w:p w14:paraId="2A81C9C9" w14:textId="77777777" w:rsidR="00377F6B" w:rsidRPr="003C2BC2" w:rsidRDefault="00377F6B" w:rsidP="00FB6EEB">
            <w:pPr>
              <w:pStyle w:val="Text"/>
            </w:pPr>
            <w:r w:rsidRPr="003C2BC2">
              <w:t>38.50</w:t>
            </w:r>
          </w:p>
        </w:tc>
        <w:tc>
          <w:tcPr>
            <w:tcW w:w="1984" w:type="dxa"/>
            <w:tcBorders>
              <w:right w:val="single" w:sz="12" w:space="0" w:color="auto"/>
            </w:tcBorders>
            <w:vAlign w:val="center"/>
          </w:tcPr>
          <w:p w14:paraId="5026F2B2"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013965DE" w14:textId="77777777" w:rsidR="00377F6B" w:rsidRPr="003C2BC2" w:rsidRDefault="00377F6B" w:rsidP="00FB6EEB">
            <w:pPr>
              <w:pStyle w:val="Text"/>
            </w:pPr>
            <w:r w:rsidRPr="003C2BC2">
              <w:t>5 005</w:t>
            </w:r>
          </w:p>
        </w:tc>
        <w:tc>
          <w:tcPr>
            <w:tcW w:w="1559" w:type="dxa"/>
            <w:tcBorders>
              <w:right w:val="single" w:sz="8" w:space="0" w:color="auto"/>
            </w:tcBorders>
            <w:vAlign w:val="center"/>
          </w:tcPr>
          <w:p w14:paraId="1205A8E7" w14:textId="77777777" w:rsidR="00377F6B" w:rsidRPr="003C2BC2" w:rsidRDefault="00377F6B" w:rsidP="00FB6EEB">
            <w:pPr>
              <w:pStyle w:val="Text"/>
            </w:pPr>
            <w:r w:rsidRPr="003C2BC2">
              <w:t>0</w:t>
            </w:r>
          </w:p>
        </w:tc>
      </w:tr>
      <w:tr w:rsidR="00377F6B" w:rsidRPr="003C2BC2" w14:paraId="5E7AC951" w14:textId="77777777" w:rsidTr="0081712D">
        <w:trPr>
          <w:trHeight w:val="368"/>
        </w:trPr>
        <w:tc>
          <w:tcPr>
            <w:tcW w:w="993" w:type="dxa"/>
            <w:vAlign w:val="center"/>
          </w:tcPr>
          <w:p w14:paraId="2E2FC4D4" w14:textId="77777777" w:rsidR="00377F6B" w:rsidRPr="003C2BC2" w:rsidRDefault="00377F6B" w:rsidP="00FB6EEB">
            <w:pPr>
              <w:pStyle w:val="Text"/>
            </w:pPr>
            <w:r w:rsidRPr="003C2BC2">
              <w:t>130</w:t>
            </w:r>
          </w:p>
        </w:tc>
        <w:tc>
          <w:tcPr>
            <w:tcW w:w="1417" w:type="dxa"/>
            <w:vAlign w:val="center"/>
          </w:tcPr>
          <w:p w14:paraId="799ED4CD" w14:textId="77777777" w:rsidR="00377F6B" w:rsidRPr="003C2BC2" w:rsidRDefault="00377F6B" w:rsidP="00FB6EEB">
            <w:pPr>
              <w:pStyle w:val="Text"/>
            </w:pPr>
            <w:r w:rsidRPr="003C2BC2">
              <w:t>0.5</w:t>
            </w:r>
          </w:p>
        </w:tc>
        <w:tc>
          <w:tcPr>
            <w:tcW w:w="1413" w:type="dxa"/>
            <w:vAlign w:val="center"/>
          </w:tcPr>
          <w:p w14:paraId="5D56A9DE" w14:textId="77777777" w:rsidR="00377F6B" w:rsidRPr="003C2BC2" w:rsidRDefault="00377F6B" w:rsidP="00FB6EEB">
            <w:pPr>
              <w:pStyle w:val="Text"/>
            </w:pPr>
            <w:r w:rsidRPr="003C2BC2">
              <w:t>38.50</w:t>
            </w:r>
          </w:p>
        </w:tc>
        <w:tc>
          <w:tcPr>
            <w:tcW w:w="1984" w:type="dxa"/>
            <w:tcBorders>
              <w:right w:val="single" w:sz="12" w:space="0" w:color="auto"/>
            </w:tcBorders>
            <w:vAlign w:val="center"/>
          </w:tcPr>
          <w:p w14:paraId="60BF8AFB"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2F439727" w14:textId="77777777" w:rsidR="00377F6B" w:rsidRPr="003C2BC2" w:rsidRDefault="00377F6B" w:rsidP="00FB6EEB">
            <w:pPr>
              <w:pStyle w:val="Text"/>
            </w:pPr>
            <w:r w:rsidRPr="003C2BC2">
              <w:t>2 503</w:t>
            </w:r>
          </w:p>
        </w:tc>
        <w:tc>
          <w:tcPr>
            <w:tcW w:w="1559" w:type="dxa"/>
            <w:tcBorders>
              <w:right w:val="single" w:sz="8" w:space="0" w:color="auto"/>
            </w:tcBorders>
            <w:vAlign w:val="center"/>
          </w:tcPr>
          <w:p w14:paraId="4F0A7016" w14:textId="77777777" w:rsidR="00377F6B" w:rsidRPr="003C2BC2" w:rsidRDefault="00377F6B" w:rsidP="00FB6EEB">
            <w:pPr>
              <w:pStyle w:val="Text"/>
            </w:pPr>
            <w:r w:rsidRPr="003C2BC2">
              <w:t>0</w:t>
            </w:r>
          </w:p>
        </w:tc>
      </w:tr>
      <w:tr w:rsidR="00377F6B" w:rsidRPr="003C2BC2" w14:paraId="39687EE6" w14:textId="77777777" w:rsidTr="0081712D">
        <w:trPr>
          <w:trHeight w:val="368"/>
        </w:trPr>
        <w:tc>
          <w:tcPr>
            <w:tcW w:w="5807" w:type="dxa"/>
            <w:gridSpan w:val="4"/>
            <w:tcBorders>
              <w:right w:val="single" w:sz="12" w:space="0" w:color="auto"/>
            </w:tcBorders>
            <w:shd w:val="clear" w:color="auto" w:fill="BFBFBF"/>
            <w:vAlign w:val="center"/>
          </w:tcPr>
          <w:p w14:paraId="278A13A6"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77209E5E" w14:textId="77777777" w:rsidR="00377F6B" w:rsidRPr="003C2BC2" w:rsidRDefault="00377F6B" w:rsidP="00FB6EEB">
            <w:pPr>
              <w:pStyle w:val="Text"/>
            </w:pPr>
            <w:r w:rsidRPr="003C2BC2">
              <w:t>7 508</w:t>
            </w:r>
          </w:p>
        </w:tc>
      </w:tr>
    </w:tbl>
    <w:p w14:paraId="3B2F91B1" w14:textId="53444216" w:rsidR="00377F6B" w:rsidRPr="003C2BC2" w:rsidRDefault="00377F6B" w:rsidP="00FB6EEB">
      <w:pPr>
        <w:spacing w:before="240"/>
        <w:rPr>
          <w:rFonts w:eastAsia="Times New Roman"/>
          <w:bCs/>
          <w:color w:val="000000"/>
        </w:rPr>
      </w:pPr>
      <w:r w:rsidRPr="003C2BC2">
        <w:rPr>
          <w:color w:val="000000"/>
        </w:rPr>
        <w:t>ccc) Annual notification (Requirements 20, 21, 25)</w:t>
      </w:r>
    </w:p>
    <w:p w14:paraId="2AF50A25" w14:textId="7F4D3892" w:rsidR="00377F6B" w:rsidRPr="003C2BC2" w:rsidRDefault="00377F6B" w:rsidP="00FB6EEB">
      <w:pPr>
        <w:rPr>
          <w:rFonts w:eastAsia="Times New Roman"/>
          <w:bCs/>
          <w:color w:val="000000"/>
        </w:rPr>
      </w:pPr>
      <w:r w:rsidRPr="003C2BC2">
        <w:rPr>
          <w:color w:val="000000"/>
        </w:rPr>
        <w:t>Under the first sentence of Article 1 Section 11(1), producers of the single-use plastic products listed in Annex 1 are required to notify the Federal Environment Agency once a year of the type and mass of the products made available on the market for the first time. It can be assumed that producers are aware of the quantities of the products they place on the market. It then only requires a simple calculation (number multiplied by the respective product mass) in order to generate the required data. Notifying the data therefore consists of two steps: preparing the data and entering the data in the specified screen of the online platform. In addition, the second and third sentences of Article 1 Section 11(1) stipulate that the data must be examined and confirmed by an independent expert prior to notification.</w:t>
      </w:r>
    </w:p>
    <w:p w14:paraId="1592F4ED" w14:textId="77777777" w:rsidR="00377F6B" w:rsidRPr="003C2BC2" w:rsidRDefault="00377F6B" w:rsidP="00FB6EEB">
      <w:pPr>
        <w:rPr>
          <w:rFonts w:eastAsia="Times New Roman"/>
          <w:bCs/>
          <w:color w:val="000000"/>
        </w:rPr>
      </w:pPr>
      <w:r w:rsidRPr="003C2BC2">
        <w:rPr>
          <w:color w:val="000000"/>
        </w:rPr>
        <w:t xml:space="preserve">The cost of preparing the data is estimated to be 45 minutes on average. The cost of entering the data is estimated to be 15 minutes. The staff required for the activity are assigned </w:t>
      </w:r>
      <w:r w:rsidRPr="003C2BC2">
        <w:rPr>
          <w:color w:val="000000"/>
        </w:rPr>
        <w:lastRenderedPageBreak/>
        <w:t>to Private sector C – Manufacturing, medium skill level. According to the ‘Private sector’ wage cost table (Annex VI of the Guide to Calculating and Setting Out Compliance Costs for Regulatory Projects of the Federal Government), an hourly rate of EUR 38.50 is estimated.</w:t>
      </w:r>
    </w:p>
    <w:p w14:paraId="41CAE683" w14:textId="494D3A12" w:rsidR="00377F6B" w:rsidRPr="003C2BC2" w:rsidRDefault="00377F6B" w:rsidP="00FB6EEB">
      <w:pPr>
        <w:rPr>
          <w:rFonts w:eastAsia="Times New Roman"/>
          <w:bCs/>
          <w:color w:val="000000"/>
        </w:rPr>
      </w:pPr>
      <w:r w:rsidRPr="003C2BC2">
        <w:rPr>
          <w:color w:val="000000"/>
        </w:rPr>
        <w:t>The costs of involving the expert are estimated to be around EUR 176.40 per case. Based on experience gained from implementation of the Packaging Act and the Commercial Waste Ordinance, an average examination period of three hours is assumed and EUR 58.80 per hour is estimated for the remuneration of the expert, in line with Annex VI of the Compliance Costs Guide ‘Provision of professional, scientific and technical services (high skill level)’.</w:t>
      </w:r>
      <w:r w:rsidRPr="003C2BC2">
        <w:t xml:space="preserve"> </w:t>
      </w:r>
      <w:r w:rsidRPr="003C2BC2">
        <w:rPr>
          <w:color w:val="000000"/>
        </w:rPr>
        <w:t>However, producers are exempted from the obligation to involve experts under Section 11(4) below a quantity threshold. This reduces the number of cases. An estimate in this regard is not yet possible.</w:t>
      </w:r>
    </w:p>
    <w:p w14:paraId="1FFA1532" w14:textId="77777777" w:rsidR="00377F6B" w:rsidRPr="003C2BC2" w:rsidRDefault="00377F6B" w:rsidP="00FB6EEB">
      <w:pPr>
        <w:rPr>
          <w:rFonts w:eastAsia="Times New Roman"/>
          <w:bCs/>
          <w:color w:val="000000"/>
        </w:rPr>
      </w:pPr>
      <w:r w:rsidRPr="003C2BC2">
        <w:rPr>
          <w:color w:val="000000"/>
        </w:rPr>
        <w:t>At the same time, there may be a need to provide additional documents on a case-by-case basis. However, experience shows that this will only be required in about 10 per cent of cases. The time required for this is estimated to be 60 minutes per case. The staff required for the activity will likewise be assigned to Private sector C – Manufacturing, medium skill level. According to the ‘Private sector’ wage cost table (Annex VI of the Guide to Calculating and Setting Out Compliance Costs for Regulatory Projects of the Federal Government), an hourly rate of EUR 38.50 is estimated.</w:t>
      </w:r>
    </w:p>
    <w:p w14:paraId="580BDE54" w14:textId="77777777" w:rsidR="00377F6B" w:rsidRPr="003C2BC2" w:rsidRDefault="00377F6B" w:rsidP="00FB6EEB">
      <w:pPr>
        <w:rPr>
          <w:rFonts w:eastAsia="Times New Roman"/>
          <w:bCs/>
          <w:color w:val="000000"/>
        </w:rPr>
      </w:pPr>
      <w:r w:rsidRPr="003C2BC2">
        <w:rPr>
          <w:color w:val="000000"/>
        </w:rPr>
        <w:t xml:space="preserve">Annual compliance costs: </w:t>
      </w:r>
    </w:p>
    <w:tbl>
      <w:tblPr>
        <w:tblStyle w:val="TableGrid"/>
        <w:tblW w:w="9204" w:type="dxa"/>
        <w:tblLayout w:type="fixed"/>
        <w:tblLook w:val="04A0" w:firstRow="1" w:lastRow="0" w:firstColumn="1" w:lastColumn="0" w:noHBand="0" w:noVBand="1"/>
      </w:tblPr>
      <w:tblGrid>
        <w:gridCol w:w="1129"/>
        <w:gridCol w:w="1417"/>
        <w:gridCol w:w="1413"/>
        <w:gridCol w:w="1985"/>
        <w:gridCol w:w="1701"/>
        <w:gridCol w:w="1559"/>
      </w:tblGrid>
      <w:tr w:rsidR="00377F6B" w:rsidRPr="003C2BC2" w14:paraId="36D785F9" w14:textId="77777777" w:rsidTr="003D62F7">
        <w:tc>
          <w:tcPr>
            <w:tcW w:w="1129" w:type="dxa"/>
            <w:shd w:val="clear" w:color="auto" w:fill="BFBFBF"/>
          </w:tcPr>
          <w:p w14:paraId="5A5D1B13" w14:textId="77777777" w:rsidR="00377F6B" w:rsidRPr="003C2BC2" w:rsidRDefault="00377F6B" w:rsidP="00FB6EEB">
            <w:pPr>
              <w:pStyle w:val="Text"/>
            </w:pPr>
            <w:r w:rsidRPr="003C2BC2">
              <w:t>Number of cases</w:t>
            </w:r>
          </w:p>
        </w:tc>
        <w:tc>
          <w:tcPr>
            <w:tcW w:w="1417" w:type="dxa"/>
            <w:shd w:val="clear" w:color="auto" w:fill="BFBFBF"/>
          </w:tcPr>
          <w:p w14:paraId="40E48A95" w14:textId="77777777" w:rsidR="00377F6B" w:rsidRPr="003C2BC2" w:rsidRDefault="00377F6B" w:rsidP="00FB6EEB">
            <w:pPr>
              <w:pStyle w:val="Text"/>
            </w:pPr>
            <w:r w:rsidRPr="003C2BC2">
              <w:t>Time spent per case (in h)</w:t>
            </w:r>
          </w:p>
        </w:tc>
        <w:tc>
          <w:tcPr>
            <w:tcW w:w="1413" w:type="dxa"/>
            <w:shd w:val="clear" w:color="auto" w:fill="BFBFBF"/>
          </w:tcPr>
          <w:p w14:paraId="1AA55870"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543E8027" w14:textId="77777777" w:rsidR="00377F6B" w:rsidRPr="003C2BC2" w:rsidRDefault="00377F6B" w:rsidP="00FB6EEB">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7CC72C3C" w14:textId="77777777" w:rsidR="00377F6B" w:rsidRPr="003C2BC2" w:rsidRDefault="00377F6B" w:rsidP="00FB6EEB">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7FF8F25A" w14:textId="77777777" w:rsidR="00377F6B" w:rsidRPr="003C2BC2" w:rsidRDefault="00377F6B" w:rsidP="00FB6EEB">
            <w:pPr>
              <w:pStyle w:val="Text"/>
            </w:pPr>
            <w:r w:rsidRPr="003C2BC2">
              <w:t xml:space="preserve">Material costs </w:t>
            </w:r>
          </w:p>
          <w:p w14:paraId="0C7670F1" w14:textId="77777777" w:rsidR="00377F6B" w:rsidRPr="003C2BC2" w:rsidRDefault="00377F6B" w:rsidP="00FB6EEB">
            <w:pPr>
              <w:pStyle w:val="Text"/>
            </w:pPr>
            <w:r w:rsidRPr="003C2BC2">
              <w:t>Total (in EUR)</w:t>
            </w:r>
          </w:p>
        </w:tc>
      </w:tr>
      <w:tr w:rsidR="00377F6B" w:rsidRPr="003C2BC2" w14:paraId="56F980E7" w14:textId="77777777" w:rsidTr="003D62F7">
        <w:trPr>
          <w:trHeight w:val="368"/>
        </w:trPr>
        <w:tc>
          <w:tcPr>
            <w:tcW w:w="1129" w:type="dxa"/>
            <w:vAlign w:val="center"/>
          </w:tcPr>
          <w:p w14:paraId="053B72AF" w14:textId="77777777" w:rsidR="00377F6B" w:rsidRPr="003C2BC2" w:rsidRDefault="00377F6B" w:rsidP="00FB6EEB">
            <w:pPr>
              <w:pStyle w:val="Text"/>
            </w:pPr>
            <w:r w:rsidRPr="003C2BC2">
              <w:t>5 000</w:t>
            </w:r>
          </w:p>
        </w:tc>
        <w:tc>
          <w:tcPr>
            <w:tcW w:w="1417" w:type="dxa"/>
            <w:vAlign w:val="center"/>
          </w:tcPr>
          <w:p w14:paraId="54AB5327" w14:textId="77777777" w:rsidR="00377F6B" w:rsidRPr="003C2BC2" w:rsidRDefault="00377F6B" w:rsidP="00FB6EEB">
            <w:pPr>
              <w:pStyle w:val="Text"/>
            </w:pPr>
            <w:r w:rsidRPr="003C2BC2">
              <w:t>1</w:t>
            </w:r>
          </w:p>
        </w:tc>
        <w:tc>
          <w:tcPr>
            <w:tcW w:w="1413" w:type="dxa"/>
            <w:vAlign w:val="center"/>
          </w:tcPr>
          <w:p w14:paraId="4BA1E61E" w14:textId="77777777" w:rsidR="00377F6B" w:rsidRPr="003C2BC2" w:rsidRDefault="00377F6B" w:rsidP="00FB6EEB">
            <w:pPr>
              <w:pStyle w:val="Text"/>
            </w:pPr>
            <w:r w:rsidRPr="003C2BC2">
              <w:t>38.50</w:t>
            </w:r>
          </w:p>
        </w:tc>
        <w:tc>
          <w:tcPr>
            <w:tcW w:w="1984" w:type="dxa"/>
            <w:tcBorders>
              <w:right w:val="single" w:sz="12" w:space="0" w:color="auto"/>
            </w:tcBorders>
            <w:vAlign w:val="center"/>
          </w:tcPr>
          <w:p w14:paraId="1D05FCC5"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09BECC50" w14:textId="77777777" w:rsidR="00377F6B" w:rsidRPr="003C2BC2" w:rsidRDefault="00377F6B" w:rsidP="00FB6EEB">
            <w:pPr>
              <w:pStyle w:val="Text"/>
            </w:pPr>
            <w:r w:rsidRPr="003C2BC2">
              <w:t>192 500</w:t>
            </w:r>
          </w:p>
        </w:tc>
        <w:tc>
          <w:tcPr>
            <w:tcW w:w="1559" w:type="dxa"/>
            <w:tcBorders>
              <w:right w:val="single" w:sz="8" w:space="0" w:color="auto"/>
            </w:tcBorders>
            <w:vAlign w:val="center"/>
          </w:tcPr>
          <w:p w14:paraId="77B0DC1F" w14:textId="77777777" w:rsidR="00377F6B" w:rsidRPr="003C2BC2" w:rsidRDefault="00377F6B" w:rsidP="00FB6EEB">
            <w:pPr>
              <w:pStyle w:val="Text"/>
            </w:pPr>
            <w:r w:rsidRPr="003C2BC2">
              <w:t>0</w:t>
            </w:r>
          </w:p>
        </w:tc>
      </w:tr>
      <w:tr w:rsidR="00377F6B" w:rsidRPr="003C2BC2" w14:paraId="7470ED57" w14:textId="77777777" w:rsidTr="003D62F7">
        <w:trPr>
          <w:trHeight w:val="368"/>
        </w:trPr>
        <w:tc>
          <w:tcPr>
            <w:tcW w:w="1129" w:type="dxa"/>
            <w:vAlign w:val="center"/>
          </w:tcPr>
          <w:p w14:paraId="3CD310A2" w14:textId="77777777" w:rsidR="00377F6B" w:rsidRPr="003C2BC2" w:rsidRDefault="00377F6B" w:rsidP="00FB6EEB">
            <w:pPr>
              <w:pStyle w:val="Text"/>
            </w:pPr>
            <w:r w:rsidRPr="003C2BC2">
              <w:t>5 000</w:t>
            </w:r>
          </w:p>
        </w:tc>
        <w:tc>
          <w:tcPr>
            <w:tcW w:w="1417" w:type="dxa"/>
            <w:vAlign w:val="center"/>
          </w:tcPr>
          <w:p w14:paraId="0831F437" w14:textId="77777777" w:rsidR="00377F6B" w:rsidRPr="003C2BC2" w:rsidRDefault="00377F6B" w:rsidP="00FB6EEB">
            <w:pPr>
              <w:pStyle w:val="Text"/>
            </w:pPr>
            <w:r w:rsidRPr="003C2BC2">
              <w:t>3</w:t>
            </w:r>
          </w:p>
        </w:tc>
        <w:tc>
          <w:tcPr>
            <w:tcW w:w="1413" w:type="dxa"/>
            <w:vAlign w:val="center"/>
          </w:tcPr>
          <w:p w14:paraId="7F72A1E4" w14:textId="77777777" w:rsidR="00377F6B" w:rsidRPr="003C2BC2" w:rsidRDefault="00377F6B" w:rsidP="00FB6EEB">
            <w:pPr>
              <w:pStyle w:val="Text"/>
            </w:pPr>
            <w:r w:rsidRPr="003C2BC2">
              <w:t>58.80</w:t>
            </w:r>
          </w:p>
        </w:tc>
        <w:tc>
          <w:tcPr>
            <w:tcW w:w="1984" w:type="dxa"/>
            <w:tcBorders>
              <w:right w:val="single" w:sz="12" w:space="0" w:color="auto"/>
            </w:tcBorders>
            <w:vAlign w:val="center"/>
          </w:tcPr>
          <w:p w14:paraId="6BB9A5B5"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4C16F096" w14:textId="77777777" w:rsidR="00377F6B" w:rsidRPr="003C2BC2" w:rsidRDefault="00377F6B" w:rsidP="00FB6EEB">
            <w:pPr>
              <w:pStyle w:val="Text"/>
            </w:pPr>
            <w:r w:rsidRPr="003C2BC2">
              <w:t>882 000</w:t>
            </w:r>
          </w:p>
        </w:tc>
        <w:tc>
          <w:tcPr>
            <w:tcW w:w="1559" w:type="dxa"/>
            <w:tcBorders>
              <w:right w:val="single" w:sz="8" w:space="0" w:color="auto"/>
            </w:tcBorders>
            <w:vAlign w:val="center"/>
          </w:tcPr>
          <w:p w14:paraId="2718909F" w14:textId="77777777" w:rsidR="00377F6B" w:rsidRPr="003C2BC2" w:rsidRDefault="00377F6B" w:rsidP="00FB6EEB">
            <w:pPr>
              <w:pStyle w:val="Text"/>
            </w:pPr>
            <w:r w:rsidRPr="003C2BC2">
              <w:t>0</w:t>
            </w:r>
          </w:p>
        </w:tc>
      </w:tr>
      <w:tr w:rsidR="00377F6B" w:rsidRPr="003C2BC2" w14:paraId="64942FA1" w14:textId="77777777" w:rsidTr="003D62F7">
        <w:trPr>
          <w:trHeight w:val="368"/>
        </w:trPr>
        <w:tc>
          <w:tcPr>
            <w:tcW w:w="1129" w:type="dxa"/>
            <w:vAlign w:val="center"/>
          </w:tcPr>
          <w:p w14:paraId="2B4E0AAF" w14:textId="77777777" w:rsidR="00377F6B" w:rsidRPr="003C2BC2" w:rsidRDefault="00377F6B" w:rsidP="00FB6EEB">
            <w:pPr>
              <w:pStyle w:val="Text"/>
            </w:pPr>
            <w:r w:rsidRPr="003C2BC2">
              <w:t>500</w:t>
            </w:r>
          </w:p>
        </w:tc>
        <w:tc>
          <w:tcPr>
            <w:tcW w:w="1417" w:type="dxa"/>
            <w:vAlign w:val="center"/>
          </w:tcPr>
          <w:p w14:paraId="6BFC9A96" w14:textId="77777777" w:rsidR="00377F6B" w:rsidRPr="003C2BC2" w:rsidRDefault="00377F6B" w:rsidP="00FB6EEB">
            <w:pPr>
              <w:pStyle w:val="Text"/>
            </w:pPr>
            <w:r w:rsidRPr="003C2BC2">
              <w:t>1</w:t>
            </w:r>
          </w:p>
        </w:tc>
        <w:tc>
          <w:tcPr>
            <w:tcW w:w="1413" w:type="dxa"/>
            <w:vAlign w:val="center"/>
          </w:tcPr>
          <w:p w14:paraId="54C3637A" w14:textId="77777777" w:rsidR="00377F6B" w:rsidRPr="003C2BC2" w:rsidRDefault="00377F6B" w:rsidP="00FB6EEB">
            <w:pPr>
              <w:pStyle w:val="Text"/>
            </w:pPr>
            <w:r w:rsidRPr="003C2BC2">
              <w:t>38.50</w:t>
            </w:r>
          </w:p>
        </w:tc>
        <w:tc>
          <w:tcPr>
            <w:tcW w:w="1984" w:type="dxa"/>
            <w:tcBorders>
              <w:right w:val="single" w:sz="12" w:space="0" w:color="auto"/>
            </w:tcBorders>
            <w:vAlign w:val="center"/>
          </w:tcPr>
          <w:p w14:paraId="66CC2A3E" w14:textId="77777777" w:rsidR="00377F6B" w:rsidRPr="003C2BC2" w:rsidRDefault="00377F6B" w:rsidP="00FB6EEB">
            <w:pPr>
              <w:pStyle w:val="Text"/>
            </w:pPr>
          </w:p>
        </w:tc>
        <w:tc>
          <w:tcPr>
            <w:tcW w:w="1701" w:type="dxa"/>
            <w:tcBorders>
              <w:left w:val="single" w:sz="12" w:space="0" w:color="auto"/>
            </w:tcBorders>
            <w:vAlign w:val="center"/>
          </w:tcPr>
          <w:p w14:paraId="417D6E15" w14:textId="77777777" w:rsidR="00377F6B" w:rsidRPr="003C2BC2" w:rsidRDefault="00377F6B" w:rsidP="00FB6EEB">
            <w:pPr>
              <w:pStyle w:val="Text"/>
            </w:pPr>
            <w:r w:rsidRPr="003C2BC2">
              <w:t>19 250</w:t>
            </w:r>
          </w:p>
        </w:tc>
        <w:tc>
          <w:tcPr>
            <w:tcW w:w="1559" w:type="dxa"/>
            <w:tcBorders>
              <w:right w:val="single" w:sz="8" w:space="0" w:color="auto"/>
            </w:tcBorders>
            <w:vAlign w:val="center"/>
          </w:tcPr>
          <w:p w14:paraId="03F4E224" w14:textId="77777777" w:rsidR="00377F6B" w:rsidRPr="003C2BC2" w:rsidRDefault="00377F6B" w:rsidP="00FB6EEB">
            <w:pPr>
              <w:pStyle w:val="Text"/>
            </w:pPr>
            <w:r w:rsidRPr="003C2BC2">
              <w:t>0</w:t>
            </w:r>
          </w:p>
        </w:tc>
      </w:tr>
      <w:tr w:rsidR="00377F6B" w:rsidRPr="003C2BC2" w14:paraId="66FAF077" w14:textId="77777777" w:rsidTr="003D62F7">
        <w:trPr>
          <w:trHeight w:val="368"/>
        </w:trPr>
        <w:tc>
          <w:tcPr>
            <w:tcW w:w="5944" w:type="dxa"/>
            <w:gridSpan w:val="4"/>
            <w:tcBorders>
              <w:right w:val="single" w:sz="12" w:space="0" w:color="auto"/>
            </w:tcBorders>
            <w:shd w:val="clear" w:color="auto" w:fill="BFBFBF"/>
            <w:vAlign w:val="center"/>
          </w:tcPr>
          <w:p w14:paraId="23F4284E"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68BAF2A1" w14:textId="77777777" w:rsidR="00377F6B" w:rsidRPr="003C2BC2" w:rsidRDefault="00377F6B" w:rsidP="00FB6EEB">
            <w:pPr>
              <w:pStyle w:val="Text"/>
            </w:pPr>
            <w:r w:rsidRPr="003C2BC2">
              <w:t>1 093 750</w:t>
            </w:r>
          </w:p>
        </w:tc>
      </w:tr>
    </w:tbl>
    <w:p w14:paraId="329ED91E" w14:textId="0E3346E4" w:rsidR="00377F6B" w:rsidRPr="003C2BC2" w:rsidDel="009053DF" w:rsidRDefault="00377F6B" w:rsidP="00FB6EEB">
      <w:pPr>
        <w:spacing w:before="240"/>
        <w:rPr>
          <w:rFonts w:eastAsia="Times New Roman"/>
          <w:bCs/>
          <w:color w:val="000000"/>
        </w:rPr>
      </w:pPr>
      <w:proofErr w:type="spellStart"/>
      <w:r w:rsidRPr="003C2BC2">
        <w:rPr>
          <w:color w:val="000000"/>
        </w:rPr>
        <w:t>ddd</w:t>
      </w:r>
      <w:proofErr w:type="spellEnd"/>
      <w:r w:rsidRPr="003C2BC2">
        <w:rPr>
          <w:color w:val="000000"/>
        </w:rPr>
        <w:t>) Single-use plastics levy (Requirement 28)</w:t>
      </w:r>
    </w:p>
    <w:p w14:paraId="12FC1218" w14:textId="168D7A72" w:rsidR="00377F6B" w:rsidRPr="003C2BC2" w:rsidRDefault="00377F6B" w:rsidP="00FB6EEB">
      <w:pPr>
        <w:rPr>
          <w:rFonts w:eastAsia="Times New Roman"/>
          <w:bCs/>
          <w:color w:val="000000"/>
        </w:rPr>
      </w:pPr>
      <w:r w:rsidRPr="003C2BC2">
        <w:rPr>
          <w:color w:val="000000"/>
        </w:rPr>
        <w:t>Article 1 Section 12 obligates producers to pay the levy, which is to be determined by the Federal Environment Agency each year by means of a levy notice, within one month (see Article Section 13(3)). This is a simple payment instruction involving no particular difficulty (low skill level), and therefore one minute has been estimated for implementing it. No material costs are incurred.</w:t>
      </w:r>
    </w:p>
    <w:p w14:paraId="6B4ECD0D" w14:textId="77777777" w:rsidR="00377F6B" w:rsidRPr="003C2BC2" w:rsidRDefault="00377F6B" w:rsidP="00FB6EEB">
      <w:pPr>
        <w:rPr>
          <w:rFonts w:eastAsia="Times New Roman"/>
          <w:bCs/>
          <w:color w:val="000000"/>
        </w:rPr>
      </w:pPr>
      <w:r w:rsidRPr="003C2BC2">
        <w:rPr>
          <w:color w:val="000000"/>
        </w:rPr>
        <w:t>Annual compliance costs:</w:t>
      </w:r>
    </w:p>
    <w:tbl>
      <w:tblPr>
        <w:tblStyle w:val="TableGrid"/>
        <w:tblW w:w="9204" w:type="dxa"/>
        <w:tblLayout w:type="fixed"/>
        <w:tblLook w:val="04A0" w:firstRow="1" w:lastRow="0" w:firstColumn="1" w:lastColumn="0" w:noHBand="0" w:noVBand="1"/>
      </w:tblPr>
      <w:tblGrid>
        <w:gridCol w:w="1129"/>
        <w:gridCol w:w="1417"/>
        <w:gridCol w:w="1413"/>
        <w:gridCol w:w="1985"/>
        <w:gridCol w:w="1701"/>
        <w:gridCol w:w="1559"/>
      </w:tblGrid>
      <w:tr w:rsidR="00377F6B" w:rsidRPr="003C2BC2" w14:paraId="58762689" w14:textId="77777777" w:rsidTr="003D62F7">
        <w:tc>
          <w:tcPr>
            <w:tcW w:w="1129" w:type="dxa"/>
            <w:shd w:val="clear" w:color="auto" w:fill="BFBFBF"/>
          </w:tcPr>
          <w:p w14:paraId="491D5D9D" w14:textId="77777777" w:rsidR="00377F6B" w:rsidRPr="003C2BC2" w:rsidRDefault="00377F6B" w:rsidP="00FB6EEB">
            <w:pPr>
              <w:pStyle w:val="Text"/>
            </w:pPr>
            <w:r w:rsidRPr="003C2BC2">
              <w:t>Number of cases</w:t>
            </w:r>
          </w:p>
        </w:tc>
        <w:tc>
          <w:tcPr>
            <w:tcW w:w="1417" w:type="dxa"/>
            <w:shd w:val="clear" w:color="auto" w:fill="BFBFBF"/>
          </w:tcPr>
          <w:p w14:paraId="069D2D79" w14:textId="77777777" w:rsidR="00377F6B" w:rsidRPr="003C2BC2" w:rsidRDefault="00377F6B" w:rsidP="00FB6EEB">
            <w:pPr>
              <w:pStyle w:val="Text"/>
            </w:pPr>
            <w:r w:rsidRPr="003C2BC2">
              <w:t>Time spent per case (in h)</w:t>
            </w:r>
          </w:p>
        </w:tc>
        <w:tc>
          <w:tcPr>
            <w:tcW w:w="1413" w:type="dxa"/>
            <w:shd w:val="clear" w:color="auto" w:fill="BFBFBF"/>
          </w:tcPr>
          <w:p w14:paraId="56E641D7"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5A78A880" w14:textId="77777777" w:rsidR="00377F6B" w:rsidRPr="003C2BC2" w:rsidRDefault="00377F6B" w:rsidP="00FB6EEB">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61E516B5" w14:textId="77777777" w:rsidR="00377F6B" w:rsidRPr="003C2BC2" w:rsidRDefault="00377F6B" w:rsidP="00FB6EEB">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2CA50049" w14:textId="77777777" w:rsidR="00377F6B" w:rsidRPr="003C2BC2" w:rsidRDefault="00377F6B" w:rsidP="00FB6EEB">
            <w:pPr>
              <w:pStyle w:val="Text"/>
            </w:pPr>
            <w:r w:rsidRPr="003C2BC2">
              <w:t xml:space="preserve">Material costs </w:t>
            </w:r>
          </w:p>
          <w:p w14:paraId="5108C4E3" w14:textId="77777777" w:rsidR="00377F6B" w:rsidRPr="003C2BC2" w:rsidRDefault="00377F6B" w:rsidP="00FB6EEB">
            <w:pPr>
              <w:pStyle w:val="Text"/>
            </w:pPr>
            <w:r w:rsidRPr="003C2BC2">
              <w:t>Total (in EUR)</w:t>
            </w:r>
          </w:p>
        </w:tc>
      </w:tr>
      <w:tr w:rsidR="00377F6B" w:rsidRPr="003C2BC2" w14:paraId="6166C172" w14:textId="77777777" w:rsidTr="003D62F7">
        <w:trPr>
          <w:trHeight w:val="368"/>
        </w:trPr>
        <w:tc>
          <w:tcPr>
            <w:tcW w:w="1129" w:type="dxa"/>
            <w:vAlign w:val="center"/>
          </w:tcPr>
          <w:p w14:paraId="47B12917" w14:textId="77777777" w:rsidR="00377F6B" w:rsidRPr="003C2BC2" w:rsidRDefault="00377F6B" w:rsidP="00FB6EEB">
            <w:pPr>
              <w:pStyle w:val="Text"/>
            </w:pPr>
            <w:r w:rsidRPr="003C2BC2">
              <w:t>5 000</w:t>
            </w:r>
          </w:p>
        </w:tc>
        <w:tc>
          <w:tcPr>
            <w:tcW w:w="1417" w:type="dxa"/>
            <w:vAlign w:val="center"/>
          </w:tcPr>
          <w:p w14:paraId="72823098" w14:textId="77777777" w:rsidR="00377F6B" w:rsidRPr="003C2BC2" w:rsidRDefault="00377F6B" w:rsidP="00FB6EEB">
            <w:pPr>
              <w:pStyle w:val="Text"/>
            </w:pPr>
            <w:r w:rsidRPr="003C2BC2">
              <w:t>0.016</w:t>
            </w:r>
          </w:p>
        </w:tc>
        <w:tc>
          <w:tcPr>
            <w:tcW w:w="1413" w:type="dxa"/>
            <w:vAlign w:val="center"/>
          </w:tcPr>
          <w:p w14:paraId="078F1DE0" w14:textId="77777777" w:rsidR="00377F6B" w:rsidRPr="003C2BC2" w:rsidRDefault="00377F6B" w:rsidP="00FB6EEB">
            <w:pPr>
              <w:pStyle w:val="Text"/>
            </w:pPr>
            <w:r w:rsidRPr="003C2BC2">
              <w:t>28.50</w:t>
            </w:r>
          </w:p>
        </w:tc>
        <w:tc>
          <w:tcPr>
            <w:tcW w:w="1984" w:type="dxa"/>
            <w:tcBorders>
              <w:right w:val="single" w:sz="12" w:space="0" w:color="auto"/>
            </w:tcBorders>
            <w:vAlign w:val="center"/>
          </w:tcPr>
          <w:p w14:paraId="1879C829"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13007FB3" w14:textId="77777777" w:rsidR="00377F6B" w:rsidRPr="003C2BC2" w:rsidRDefault="00377F6B" w:rsidP="00FB6EEB">
            <w:pPr>
              <w:pStyle w:val="Text"/>
            </w:pPr>
            <w:r w:rsidRPr="003C2BC2">
              <w:t>2 280</w:t>
            </w:r>
          </w:p>
        </w:tc>
        <w:tc>
          <w:tcPr>
            <w:tcW w:w="1559" w:type="dxa"/>
            <w:tcBorders>
              <w:right w:val="single" w:sz="8" w:space="0" w:color="auto"/>
            </w:tcBorders>
            <w:vAlign w:val="center"/>
          </w:tcPr>
          <w:p w14:paraId="152FAF5A" w14:textId="77777777" w:rsidR="00377F6B" w:rsidRPr="003C2BC2" w:rsidRDefault="00377F6B" w:rsidP="00FB6EEB">
            <w:pPr>
              <w:pStyle w:val="Text"/>
            </w:pPr>
            <w:r w:rsidRPr="003C2BC2">
              <w:t>0</w:t>
            </w:r>
          </w:p>
        </w:tc>
      </w:tr>
      <w:tr w:rsidR="00377F6B" w:rsidRPr="003C2BC2" w14:paraId="271236CC" w14:textId="77777777" w:rsidTr="003D62F7">
        <w:trPr>
          <w:trHeight w:val="368"/>
        </w:trPr>
        <w:tc>
          <w:tcPr>
            <w:tcW w:w="5944" w:type="dxa"/>
            <w:gridSpan w:val="4"/>
            <w:tcBorders>
              <w:right w:val="single" w:sz="12" w:space="0" w:color="auto"/>
            </w:tcBorders>
            <w:shd w:val="clear" w:color="auto" w:fill="BFBFBF"/>
            <w:vAlign w:val="center"/>
          </w:tcPr>
          <w:p w14:paraId="3E1823A2"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3F1BC2F0" w14:textId="77777777" w:rsidR="00377F6B" w:rsidRPr="003C2BC2" w:rsidRDefault="00377F6B" w:rsidP="00FB6EEB">
            <w:pPr>
              <w:pStyle w:val="Text"/>
            </w:pPr>
            <w:r w:rsidRPr="003C2BC2">
              <w:t>2 280</w:t>
            </w:r>
          </w:p>
        </w:tc>
      </w:tr>
    </w:tbl>
    <w:p w14:paraId="538AF1E4" w14:textId="09DF015E" w:rsidR="00377F6B" w:rsidRPr="003C2BC2" w:rsidRDefault="00377F6B" w:rsidP="00FB6EEB">
      <w:pPr>
        <w:spacing w:before="240"/>
        <w:rPr>
          <w:rFonts w:eastAsia="Times New Roman"/>
          <w:bCs/>
          <w:color w:val="000000"/>
        </w:rPr>
      </w:pPr>
      <w:proofErr w:type="spellStart"/>
      <w:r w:rsidRPr="003C2BC2">
        <w:rPr>
          <w:color w:val="000000"/>
        </w:rPr>
        <w:lastRenderedPageBreak/>
        <w:t>eee</w:t>
      </w:r>
      <w:proofErr w:type="spellEnd"/>
      <w:r w:rsidRPr="003C2BC2">
        <w:rPr>
          <w:color w:val="000000"/>
        </w:rPr>
        <w:t>) Appointment of single-use plastics commission members (Requirement 51)</w:t>
      </w:r>
    </w:p>
    <w:p w14:paraId="146E93FE" w14:textId="4C9F3291" w:rsidR="00377F6B" w:rsidRPr="003C2BC2" w:rsidRDefault="00377F6B" w:rsidP="00FB6EEB">
      <w:pPr>
        <w:rPr>
          <w:rFonts w:eastAsia="Times New Roman"/>
          <w:bCs/>
          <w:color w:val="000000"/>
        </w:rPr>
      </w:pPr>
      <w:r w:rsidRPr="003C2BC2">
        <w:rPr>
          <w:color w:val="000000"/>
        </w:rPr>
        <w:t>The single-use plastics commission is to be composed in accordance with the procedure described in Article 1 Section 24. In doing so, producers can themselves appoint people to the six seats allocated to them in the commission. Appointment of members by producers as a whole enables active participation in the decision-making process. Producers therefore have a strong interest in making use of this possibility; it can therefore be assumed that at least the activities necessary to reach a consensus will be carried out, even if no consensus is reached.</w:t>
      </w:r>
    </w:p>
    <w:p w14:paraId="7130463F" w14:textId="368E1522" w:rsidR="00377F6B" w:rsidRPr="003C2BC2" w:rsidRDefault="00377F6B" w:rsidP="00FB6EEB">
      <w:pPr>
        <w:rPr>
          <w:rFonts w:eastAsia="Times New Roman"/>
          <w:bCs/>
          <w:color w:val="000000"/>
        </w:rPr>
      </w:pPr>
      <w:r w:rsidRPr="003C2BC2">
        <w:rPr>
          <w:color w:val="000000"/>
        </w:rPr>
        <w:t>It is clear from the explanatory notes on Article 1 Section 24 that it does not make sense for such consensus to be reached between individual producers, but rather through (producer) associations representing the market. In this regard, the explanatory notes refer to Sections 10 and 12 of the foundation statutes of the Central Agency Packaging Register, which provide for the participation of a total of five associations (</w:t>
      </w:r>
      <w:proofErr w:type="spellStart"/>
      <w:r w:rsidRPr="003C2BC2">
        <w:rPr>
          <w:color w:val="000000"/>
        </w:rPr>
        <w:t>Handelsverband</w:t>
      </w:r>
      <w:proofErr w:type="spellEnd"/>
      <w:r w:rsidRPr="003C2BC2">
        <w:rPr>
          <w:color w:val="000000"/>
        </w:rPr>
        <w:t xml:space="preserve"> Deutschland </w:t>
      </w:r>
      <w:proofErr w:type="spellStart"/>
      <w:r w:rsidRPr="003C2BC2">
        <w:rPr>
          <w:color w:val="000000"/>
        </w:rPr>
        <w:t>e.V.</w:t>
      </w:r>
      <w:proofErr w:type="spellEnd"/>
      <w:r w:rsidRPr="003C2BC2">
        <w:rPr>
          <w:color w:val="000000"/>
        </w:rPr>
        <w:t xml:space="preserve">; </w:t>
      </w:r>
      <w:proofErr w:type="spellStart"/>
      <w:r w:rsidRPr="003C2BC2">
        <w:rPr>
          <w:color w:val="000000"/>
        </w:rPr>
        <w:t>Bundesverband</w:t>
      </w:r>
      <w:proofErr w:type="spellEnd"/>
      <w:r w:rsidRPr="003C2BC2">
        <w:rPr>
          <w:color w:val="000000"/>
        </w:rPr>
        <w:t xml:space="preserve"> der </w:t>
      </w:r>
      <w:proofErr w:type="spellStart"/>
      <w:r w:rsidRPr="003C2BC2">
        <w:rPr>
          <w:color w:val="000000"/>
        </w:rPr>
        <w:t>deutschen</w:t>
      </w:r>
      <w:proofErr w:type="spellEnd"/>
      <w:r w:rsidRPr="003C2BC2">
        <w:rPr>
          <w:color w:val="000000"/>
        </w:rPr>
        <w:t xml:space="preserve"> </w:t>
      </w:r>
      <w:proofErr w:type="spellStart"/>
      <w:r w:rsidRPr="003C2BC2">
        <w:rPr>
          <w:color w:val="000000"/>
        </w:rPr>
        <w:t>Industrie</w:t>
      </w:r>
      <w:proofErr w:type="spellEnd"/>
      <w:r w:rsidRPr="003C2BC2">
        <w:rPr>
          <w:color w:val="000000"/>
        </w:rPr>
        <w:t xml:space="preserve"> </w:t>
      </w:r>
      <w:proofErr w:type="spellStart"/>
      <w:r w:rsidRPr="003C2BC2">
        <w:rPr>
          <w:color w:val="000000"/>
        </w:rPr>
        <w:t>e.V.</w:t>
      </w:r>
      <w:proofErr w:type="spellEnd"/>
      <w:r w:rsidRPr="003C2BC2">
        <w:rPr>
          <w:color w:val="000000"/>
        </w:rPr>
        <w:t xml:space="preserve">; IK </w:t>
      </w:r>
      <w:proofErr w:type="spellStart"/>
      <w:r w:rsidRPr="003C2BC2">
        <w:rPr>
          <w:color w:val="000000"/>
        </w:rPr>
        <w:t>Industrievereinigung</w:t>
      </w:r>
      <w:proofErr w:type="spellEnd"/>
      <w:r w:rsidRPr="003C2BC2">
        <w:rPr>
          <w:color w:val="000000"/>
        </w:rPr>
        <w:t xml:space="preserve"> </w:t>
      </w:r>
      <w:proofErr w:type="spellStart"/>
      <w:r w:rsidRPr="003C2BC2">
        <w:rPr>
          <w:color w:val="000000"/>
        </w:rPr>
        <w:t>Kunststoffverpackungen</w:t>
      </w:r>
      <w:proofErr w:type="spellEnd"/>
      <w:r w:rsidRPr="003C2BC2">
        <w:rPr>
          <w:color w:val="000000"/>
        </w:rPr>
        <w:t xml:space="preserve"> </w:t>
      </w:r>
      <w:proofErr w:type="spellStart"/>
      <w:r w:rsidRPr="003C2BC2">
        <w:rPr>
          <w:color w:val="000000"/>
        </w:rPr>
        <w:t>e.V.</w:t>
      </w:r>
      <w:proofErr w:type="spellEnd"/>
      <w:r w:rsidRPr="003C2BC2">
        <w:rPr>
          <w:color w:val="000000"/>
        </w:rPr>
        <w:t xml:space="preserve">; </w:t>
      </w:r>
      <w:proofErr w:type="spellStart"/>
      <w:r w:rsidRPr="003C2BC2">
        <w:rPr>
          <w:color w:val="000000"/>
        </w:rPr>
        <w:t>Bundesverband</w:t>
      </w:r>
      <w:proofErr w:type="spellEnd"/>
      <w:r w:rsidRPr="003C2BC2">
        <w:rPr>
          <w:color w:val="000000"/>
        </w:rPr>
        <w:t xml:space="preserve"> für </w:t>
      </w:r>
      <w:proofErr w:type="spellStart"/>
      <w:r w:rsidRPr="003C2BC2">
        <w:rPr>
          <w:color w:val="000000"/>
        </w:rPr>
        <w:t>Kunststoffverpackungen</w:t>
      </w:r>
      <w:proofErr w:type="spellEnd"/>
      <w:r w:rsidRPr="003C2BC2">
        <w:rPr>
          <w:color w:val="000000"/>
        </w:rPr>
        <w:t xml:space="preserve"> und </w:t>
      </w:r>
      <w:proofErr w:type="spellStart"/>
      <w:r w:rsidRPr="003C2BC2">
        <w:rPr>
          <w:color w:val="000000"/>
        </w:rPr>
        <w:t>Folien</w:t>
      </w:r>
      <w:proofErr w:type="spellEnd"/>
      <w:r w:rsidRPr="003C2BC2">
        <w:rPr>
          <w:color w:val="000000"/>
        </w:rPr>
        <w:t xml:space="preserve">; </w:t>
      </w:r>
      <w:proofErr w:type="spellStart"/>
      <w:r w:rsidRPr="003C2BC2">
        <w:rPr>
          <w:color w:val="000000"/>
        </w:rPr>
        <w:t>Markenverband</w:t>
      </w:r>
      <w:proofErr w:type="spellEnd"/>
      <w:r w:rsidRPr="003C2BC2">
        <w:rPr>
          <w:color w:val="000000"/>
        </w:rPr>
        <w:t xml:space="preserve"> </w:t>
      </w:r>
      <w:proofErr w:type="spellStart"/>
      <w:r w:rsidRPr="003C2BC2">
        <w:rPr>
          <w:color w:val="000000"/>
        </w:rPr>
        <w:t>e.V.</w:t>
      </w:r>
      <w:proofErr w:type="spellEnd"/>
      <w:r w:rsidRPr="003C2BC2">
        <w:rPr>
          <w:color w:val="000000"/>
        </w:rPr>
        <w:t xml:space="preserve">; </w:t>
      </w:r>
      <w:proofErr w:type="spellStart"/>
      <w:r w:rsidRPr="003C2BC2">
        <w:rPr>
          <w:color w:val="000000"/>
        </w:rPr>
        <w:t>Bundesverband</w:t>
      </w:r>
      <w:proofErr w:type="spellEnd"/>
      <w:r w:rsidRPr="003C2BC2">
        <w:rPr>
          <w:color w:val="000000"/>
        </w:rPr>
        <w:t xml:space="preserve"> der </w:t>
      </w:r>
      <w:proofErr w:type="spellStart"/>
      <w:r w:rsidRPr="003C2BC2">
        <w:rPr>
          <w:color w:val="000000"/>
        </w:rPr>
        <w:t>Deutschen</w:t>
      </w:r>
      <w:proofErr w:type="spellEnd"/>
      <w:r w:rsidRPr="003C2BC2">
        <w:rPr>
          <w:color w:val="000000"/>
        </w:rPr>
        <w:t xml:space="preserve"> </w:t>
      </w:r>
      <w:proofErr w:type="spellStart"/>
      <w:r w:rsidRPr="003C2BC2">
        <w:rPr>
          <w:color w:val="000000"/>
        </w:rPr>
        <w:t>Ernährungsindustrie</w:t>
      </w:r>
      <w:proofErr w:type="spellEnd"/>
      <w:r w:rsidRPr="003C2BC2">
        <w:rPr>
          <w:color w:val="000000"/>
        </w:rPr>
        <w:t xml:space="preserve"> </w:t>
      </w:r>
      <w:proofErr w:type="spellStart"/>
      <w:r w:rsidRPr="003C2BC2">
        <w:rPr>
          <w:color w:val="000000"/>
        </w:rPr>
        <w:t>e.V.</w:t>
      </w:r>
      <w:proofErr w:type="spellEnd"/>
      <w:r w:rsidRPr="003C2BC2">
        <w:rPr>
          <w:color w:val="000000"/>
        </w:rPr>
        <w:t>).</w:t>
      </w:r>
    </w:p>
    <w:p w14:paraId="6403C9F5" w14:textId="52CF28A4" w:rsidR="00377F6B" w:rsidRPr="003C2BC2" w:rsidRDefault="00377F6B" w:rsidP="00FB6EEB">
      <w:pPr>
        <w:rPr>
          <w:rFonts w:eastAsia="Times New Roman"/>
          <w:bCs/>
          <w:color w:val="000000"/>
        </w:rPr>
      </w:pPr>
      <w:r w:rsidRPr="003C2BC2">
        <w:rPr>
          <w:color w:val="000000"/>
        </w:rPr>
        <w:t>Experience shows that consensus on the six members of the commission will require two half-day (i.e. four-hour) coordination meetings. At the same time, it can be assumed that the producers’ consensus on the composition of the single-use plastics commission will be reviewed or updated once a year. Therefore, an additional annual external all-day (i.e. eight-hour) meeting should be expected. The aim of the meetings will be to reach consensus on the proper division of seats in the single-use plastics commission, which provides corresponding opportunities to exert influence. It can therefore be assumed that the meetings will be complex, also requiring the presence of managers (Private sector C – Manufacturing, high skill level; according to the ‘Private sector’ wage cost table (Annex VI of the Guide to Calculating and Setting Out Compliance Costs for Regulatory Projects of the Federal Government), an hourly rate of EUR 68.70 is estimated).</w:t>
      </w:r>
    </w:p>
    <w:p w14:paraId="0067AB94" w14:textId="687C06C2" w:rsidR="00377F6B" w:rsidRPr="003C2BC2" w:rsidRDefault="00377F6B" w:rsidP="00FB6EEB">
      <w:pPr>
        <w:rPr>
          <w:rFonts w:eastAsia="Times New Roman"/>
          <w:bCs/>
          <w:color w:val="000000"/>
        </w:rPr>
      </w:pPr>
      <w:r w:rsidRPr="003C2BC2">
        <w:rPr>
          <w:color w:val="000000"/>
        </w:rPr>
        <w:t>One-off conversion costs:</w:t>
      </w:r>
    </w:p>
    <w:tbl>
      <w:tblPr>
        <w:tblStyle w:val="TableGrid"/>
        <w:tblW w:w="9204" w:type="dxa"/>
        <w:tblLayout w:type="fixed"/>
        <w:tblLook w:val="04A0" w:firstRow="1" w:lastRow="0" w:firstColumn="1" w:lastColumn="0" w:noHBand="0" w:noVBand="1"/>
      </w:tblPr>
      <w:tblGrid>
        <w:gridCol w:w="1129"/>
        <w:gridCol w:w="1417"/>
        <w:gridCol w:w="1413"/>
        <w:gridCol w:w="1985"/>
        <w:gridCol w:w="1559"/>
        <w:gridCol w:w="1701"/>
      </w:tblGrid>
      <w:tr w:rsidR="00377F6B" w:rsidRPr="003C2BC2" w14:paraId="3BA4C0AD" w14:textId="77777777" w:rsidTr="003D62F7">
        <w:tc>
          <w:tcPr>
            <w:tcW w:w="1129" w:type="dxa"/>
            <w:shd w:val="clear" w:color="auto" w:fill="BFBFBF"/>
          </w:tcPr>
          <w:p w14:paraId="242DEBA3" w14:textId="77777777" w:rsidR="00377F6B" w:rsidRPr="003C2BC2" w:rsidRDefault="00377F6B" w:rsidP="00FB6EEB">
            <w:pPr>
              <w:pStyle w:val="Text"/>
            </w:pPr>
            <w:r w:rsidRPr="003C2BC2">
              <w:t>Number of cases</w:t>
            </w:r>
          </w:p>
        </w:tc>
        <w:tc>
          <w:tcPr>
            <w:tcW w:w="1417" w:type="dxa"/>
            <w:shd w:val="clear" w:color="auto" w:fill="BFBFBF"/>
          </w:tcPr>
          <w:p w14:paraId="10B59FC4" w14:textId="77777777" w:rsidR="00377F6B" w:rsidRPr="003C2BC2" w:rsidRDefault="00377F6B" w:rsidP="00FB6EEB">
            <w:pPr>
              <w:pStyle w:val="Text"/>
            </w:pPr>
            <w:r w:rsidRPr="003C2BC2">
              <w:t>Time spent per case (in h)</w:t>
            </w:r>
          </w:p>
        </w:tc>
        <w:tc>
          <w:tcPr>
            <w:tcW w:w="1413" w:type="dxa"/>
            <w:shd w:val="clear" w:color="auto" w:fill="BFBFBF"/>
          </w:tcPr>
          <w:p w14:paraId="22BED202"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0D8B6C39" w14:textId="77777777" w:rsidR="00377F6B" w:rsidRPr="003C2BC2" w:rsidRDefault="00377F6B" w:rsidP="00FB6EEB">
            <w:pPr>
              <w:pStyle w:val="Text"/>
            </w:pPr>
            <w:r w:rsidRPr="003C2BC2">
              <w:t>Material costs per case (in EUR)</w:t>
            </w:r>
          </w:p>
        </w:tc>
        <w:tc>
          <w:tcPr>
            <w:tcW w:w="1559" w:type="dxa"/>
            <w:tcBorders>
              <w:top w:val="single" w:sz="8" w:space="0" w:color="auto"/>
              <w:left w:val="single" w:sz="12" w:space="0" w:color="auto"/>
            </w:tcBorders>
            <w:shd w:val="clear" w:color="auto" w:fill="BFBFBF"/>
          </w:tcPr>
          <w:p w14:paraId="38C383D9" w14:textId="77777777" w:rsidR="00377F6B" w:rsidRPr="003C2BC2" w:rsidRDefault="00377F6B" w:rsidP="00FB6EEB">
            <w:pPr>
              <w:pStyle w:val="Text"/>
            </w:pPr>
            <w:r w:rsidRPr="003C2BC2">
              <w:t>Total personnel costs (in EUR)</w:t>
            </w:r>
          </w:p>
        </w:tc>
        <w:tc>
          <w:tcPr>
            <w:tcW w:w="1701" w:type="dxa"/>
            <w:tcBorders>
              <w:top w:val="single" w:sz="8" w:space="0" w:color="auto"/>
              <w:right w:val="single" w:sz="8" w:space="0" w:color="auto"/>
            </w:tcBorders>
            <w:shd w:val="clear" w:color="auto" w:fill="BFBFBF"/>
          </w:tcPr>
          <w:p w14:paraId="3FA5FE10" w14:textId="77777777" w:rsidR="00377F6B" w:rsidRPr="003C2BC2" w:rsidRDefault="00377F6B" w:rsidP="00FB6EEB">
            <w:pPr>
              <w:pStyle w:val="Text"/>
            </w:pPr>
            <w:r w:rsidRPr="003C2BC2">
              <w:t xml:space="preserve">Material costs </w:t>
            </w:r>
          </w:p>
          <w:p w14:paraId="5E108AAC" w14:textId="77777777" w:rsidR="00377F6B" w:rsidRPr="003C2BC2" w:rsidRDefault="00377F6B" w:rsidP="00FB6EEB">
            <w:pPr>
              <w:pStyle w:val="Text"/>
            </w:pPr>
            <w:r w:rsidRPr="003C2BC2">
              <w:t>Total (in EUR)</w:t>
            </w:r>
          </w:p>
        </w:tc>
      </w:tr>
      <w:tr w:rsidR="00377F6B" w:rsidRPr="003C2BC2" w14:paraId="0C71E935" w14:textId="77777777" w:rsidTr="003D62F7">
        <w:trPr>
          <w:trHeight w:val="368"/>
        </w:trPr>
        <w:tc>
          <w:tcPr>
            <w:tcW w:w="1129" w:type="dxa"/>
            <w:vAlign w:val="center"/>
          </w:tcPr>
          <w:p w14:paraId="3A807EAC" w14:textId="77777777" w:rsidR="00377F6B" w:rsidRPr="003C2BC2" w:rsidRDefault="00377F6B" w:rsidP="00FB6EEB">
            <w:pPr>
              <w:pStyle w:val="Text"/>
            </w:pPr>
            <w:r w:rsidRPr="003C2BC2">
              <w:t>5</w:t>
            </w:r>
          </w:p>
        </w:tc>
        <w:tc>
          <w:tcPr>
            <w:tcW w:w="1417" w:type="dxa"/>
            <w:vAlign w:val="center"/>
          </w:tcPr>
          <w:p w14:paraId="6E884D72" w14:textId="77777777" w:rsidR="00377F6B" w:rsidRPr="003C2BC2" w:rsidRDefault="00377F6B" w:rsidP="00FB6EEB">
            <w:pPr>
              <w:pStyle w:val="Text"/>
            </w:pPr>
            <w:r w:rsidRPr="003C2BC2">
              <w:t>8</w:t>
            </w:r>
          </w:p>
        </w:tc>
        <w:tc>
          <w:tcPr>
            <w:tcW w:w="1413" w:type="dxa"/>
            <w:vAlign w:val="center"/>
          </w:tcPr>
          <w:p w14:paraId="7E0FFAC2" w14:textId="77777777" w:rsidR="00377F6B" w:rsidRPr="003C2BC2" w:rsidRDefault="00377F6B" w:rsidP="00FB6EEB">
            <w:pPr>
              <w:pStyle w:val="Text"/>
            </w:pPr>
            <w:r w:rsidRPr="003C2BC2">
              <w:t>68.70</w:t>
            </w:r>
          </w:p>
        </w:tc>
        <w:tc>
          <w:tcPr>
            <w:tcW w:w="1984" w:type="dxa"/>
            <w:tcBorders>
              <w:right w:val="single" w:sz="12" w:space="0" w:color="auto"/>
            </w:tcBorders>
            <w:vAlign w:val="center"/>
          </w:tcPr>
          <w:p w14:paraId="4613D77E" w14:textId="77777777" w:rsidR="00377F6B" w:rsidRPr="003C2BC2" w:rsidRDefault="00377F6B" w:rsidP="00FB6EEB">
            <w:pPr>
              <w:pStyle w:val="Text"/>
            </w:pPr>
            <w:r w:rsidRPr="003C2BC2">
              <w:t>0</w:t>
            </w:r>
          </w:p>
        </w:tc>
        <w:tc>
          <w:tcPr>
            <w:tcW w:w="1559" w:type="dxa"/>
            <w:tcBorders>
              <w:left w:val="single" w:sz="12" w:space="0" w:color="auto"/>
            </w:tcBorders>
            <w:vAlign w:val="center"/>
          </w:tcPr>
          <w:p w14:paraId="023ECFB9" w14:textId="77777777" w:rsidR="00377F6B" w:rsidRPr="003C2BC2" w:rsidRDefault="00377F6B" w:rsidP="00FB6EEB">
            <w:pPr>
              <w:pStyle w:val="Text"/>
            </w:pPr>
            <w:r w:rsidRPr="003C2BC2">
              <w:t>2 748</w:t>
            </w:r>
          </w:p>
        </w:tc>
        <w:tc>
          <w:tcPr>
            <w:tcW w:w="1701" w:type="dxa"/>
            <w:tcBorders>
              <w:right w:val="single" w:sz="8" w:space="0" w:color="auto"/>
            </w:tcBorders>
            <w:vAlign w:val="center"/>
          </w:tcPr>
          <w:p w14:paraId="3EB3A29B" w14:textId="77777777" w:rsidR="00377F6B" w:rsidRPr="003C2BC2" w:rsidRDefault="00377F6B" w:rsidP="00FB6EEB">
            <w:pPr>
              <w:pStyle w:val="Text"/>
            </w:pPr>
            <w:r w:rsidRPr="003C2BC2">
              <w:t>0</w:t>
            </w:r>
          </w:p>
        </w:tc>
      </w:tr>
      <w:tr w:rsidR="00377F6B" w:rsidRPr="003C2BC2" w14:paraId="0C8AE166" w14:textId="77777777" w:rsidTr="003D62F7">
        <w:trPr>
          <w:trHeight w:val="368"/>
        </w:trPr>
        <w:tc>
          <w:tcPr>
            <w:tcW w:w="5944" w:type="dxa"/>
            <w:gridSpan w:val="4"/>
            <w:tcBorders>
              <w:right w:val="single" w:sz="12" w:space="0" w:color="auto"/>
            </w:tcBorders>
            <w:shd w:val="clear" w:color="auto" w:fill="BFBFBF"/>
            <w:vAlign w:val="center"/>
          </w:tcPr>
          <w:p w14:paraId="090C5905" w14:textId="77777777" w:rsidR="00377F6B" w:rsidRPr="003C2BC2" w:rsidRDefault="00377F6B" w:rsidP="00FB6EEB">
            <w:pPr>
              <w:pStyle w:val="Text"/>
            </w:pPr>
            <w:r w:rsidRPr="003C2BC2">
              <w:t>One-off conversion costs (in EUR)</w:t>
            </w:r>
          </w:p>
        </w:tc>
        <w:tc>
          <w:tcPr>
            <w:tcW w:w="3260" w:type="dxa"/>
            <w:gridSpan w:val="2"/>
            <w:tcBorders>
              <w:left w:val="single" w:sz="12" w:space="0" w:color="auto"/>
              <w:bottom w:val="single" w:sz="8" w:space="0" w:color="auto"/>
              <w:right w:val="single" w:sz="8" w:space="0" w:color="auto"/>
            </w:tcBorders>
            <w:vAlign w:val="center"/>
          </w:tcPr>
          <w:p w14:paraId="39BFC239" w14:textId="77777777" w:rsidR="00377F6B" w:rsidRPr="003C2BC2" w:rsidRDefault="00377F6B" w:rsidP="00FB6EEB">
            <w:pPr>
              <w:pStyle w:val="Text"/>
            </w:pPr>
            <w:r w:rsidRPr="003C2BC2">
              <w:t>2 748</w:t>
            </w:r>
          </w:p>
        </w:tc>
      </w:tr>
    </w:tbl>
    <w:p w14:paraId="5A125CA4" w14:textId="6F363F57" w:rsidR="00377F6B" w:rsidRPr="003C2BC2" w:rsidRDefault="00377F6B" w:rsidP="00FB6EEB">
      <w:pPr>
        <w:spacing w:before="240"/>
        <w:rPr>
          <w:rFonts w:eastAsia="Times New Roman"/>
          <w:bCs/>
          <w:color w:val="000000"/>
        </w:rPr>
      </w:pPr>
      <w:r w:rsidRPr="003C2BC2">
        <w:rPr>
          <w:color w:val="000000"/>
        </w:rPr>
        <w:t>Annual compliance costs:</w:t>
      </w:r>
    </w:p>
    <w:tbl>
      <w:tblPr>
        <w:tblStyle w:val="TableGrid"/>
        <w:tblW w:w="9204" w:type="dxa"/>
        <w:tblLayout w:type="fixed"/>
        <w:tblLook w:val="04A0" w:firstRow="1" w:lastRow="0" w:firstColumn="1" w:lastColumn="0" w:noHBand="0" w:noVBand="1"/>
      </w:tblPr>
      <w:tblGrid>
        <w:gridCol w:w="1129"/>
        <w:gridCol w:w="1417"/>
        <w:gridCol w:w="1413"/>
        <w:gridCol w:w="1985"/>
        <w:gridCol w:w="1701"/>
        <w:gridCol w:w="1559"/>
      </w:tblGrid>
      <w:tr w:rsidR="00377F6B" w:rsidRPr="003C2BC2" w14:paraId="5B96AC7E" w14:textId="77777777" w:rsidTr="003D62F7">
        <w:tc>
          <w:tcPr>
            <w:tcW w:w="1129" w:type="dxa"/>
            <w:shd w:val="clear" w:color="auto" w:fill="BFBFBF"/>
          </w:tcPr>
          <w:p w14:paraId="0D78DC0B" w14:textId="77777777" w:rsidR="00377F6B" w:rsidRPr="003C2BC2" w:rsidRDefault="00377F6B" w:rsidP="00FB6EEB">
            <w:pPr>
              <w:pStyle w:val="Text"/>
            </w:pPr>
            <w:r w:rsidRPr="003C2BC2">
              <w:t>Number of cases</w:t>
            </w:r>
          </w:p>
        </w:tc>
        <w:tc>
          <w:tcPr>
            <w:tcW w:w="1417" w:type="dxa"/>
            <w:shd w:val="clear" w:color="auto" w:fill="BFBFBF"/>
          </w:tcPr>
          <w:p w14:paraId="709E4B04" w14:textId="77777777" w:rsidR="00377F6B" w:rsidRPr="003C2BC2" w:rsidRDefault="00377F6B" w:rsidP="00FB6EEB">
            <w:pPr>
              <w:pStyle w:val="Text"/>
            </w:pPr>
            <w:r w:rsidRPr="003C2BC2">
              <w:t>Time spent per case (in h)</w:t>
            </w:r>
          </w:p>
        </w:tc>
        <w:tc>
          <w:tcPr>
            <w:tcW w:w="1413" w:type="dxa"/>
            <w:shd w:val="clear" w:color="auto" w:fill="BFBFBF"/>
          </w:tcPr>
          <w:p w14:paraId="03B0BB10"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2E0509CA" w14:textId="77777777" w:rsidR="00377F6B" w:rsidRPr="003C2BC2" w:rsidRDefault="00377F6B" w:rsidP="00FB6EEB">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12554DF9" w14:textId="77777777" w:rsidR="00377F6B" w:rsidRPr="003C2BC2" w:rsidRDefault="00377F6B" w:rsidP="00FB6EEB">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6D9CF6C9" w14:textId="77777777" w:rsidR="00377F6B" w:rsidRPr="003C2BC2" w:rsidRDefault="00377F6B" w:rsidP="00FB6EEB">
            <w:pPr>
              <w:pStyle w:val="Text"/>
            </w:pPr>
            <w:r w:rsidRPr="003C2BC2">
              <w:t xml:space="preserve">Material costs </w:t>
            </w:r>
          </w:p>
          <w:p w14:paraId="39B4791A" w14:textId="77777777" w:rsidR="00377F6B" w:rsidRPr="003C2BC2" w:rsidRDefault="00377F6B" w:rsidP="00FB6EEB">
            <w:pPr>
              <w:pStyle w:val="Text"/>
            </w:pPr>
            <w:r w:rsidRPr="003C2BC2">
              <w:t>Total (in EUR)</w:t>
            </w:r>
          </w:p>
        </w:tc>
      </w:tr>
      <w:tr w:rsidR="00377F6B" w:rsidRPr="003C2BC2" w14:paraId="36113E78" w14:textId="77777777" w:rsidTr="003D62F7">
        <w:trPr>
          <w:trHeight w:val="368"/>
        </w:trPr>
        <w:tc>
          <w:tcPr>
            <w:tcW w:w="1129" w:type="dxa"/>
            <w:vAlign w:val="center"/>
          </w:tcPr>
          <w:p w14:paraId="3E6433A4" w14:textId="77777777" w:rsidR="00377F6B" w:rsidRPr="003C2BC2" w:rsidRDefault="00377F6B" w:rsidP="00FB6EEB">
            <w:pPr>
              <w:pStyle w:val="Text"/>
            </w:pPr>
            <w:r w:rsidRPr="003C2BC2">
              <w:t>5</w:t>
            </w:r>
          </w:p>
        </w:tc>
        <w:tc>
          <w:tcPr>
            <w:tcW w:w="1417" w:type="dxa"/>
            <w:vAlign w:val="center"/>
          </w:tcPr>
          <w:p w14:paraId="251DFA90" w14:textId="77777777" w:rsidR="00377F6B" w:rsidRPr="003C2BC2" w:rsidRDefault="00377F6B" w:rsidP="00FB6EEB">
            <w:pPr>
              <w:pStyle w:val="Text"/>
            </w:pPr>
            <w:r w:rsidRPr="003C2BC2">
              <w:t>8</w:t>
            </w:r>
          </w:p>
        </w:tc>
        <w:tc>
          <w:tcPr>
            <w:tcW w:w="1413" w:type="dxa"/>
            <w:vAlign w:val="center"/>
          </w:tcPr>
          <w:p w14:paraId="0A2233F1" w14:textId="77777777" w:rsidR="00377F6B" w:rsidRPr="003C2BC2" w:rsidRDefault="00377F6B" w:rsidP="00FB6EEB">
            <w:pPr>
              <w:pStyle w:val="Text"/>
            </w:pPr>
            <w:r w:rsidRPr="003C2BC2">
              <w:t>68.70</w:t>
            </w:r>
          </w:p>
        </w:tc>
        <w:tc>
          <w:tcPr>
            <w:tcW w:w="1984" w:type="dxa"/>
            <w:tcBorders>
              <w:right w:val="single" w:sz="12" w:space="0" w:color="auto"/>
            </w:tcBorders>
            <w:vAlign w:val="center"/>
          </w:tcPr>
          <w:p w14:paraId="5D2F5EEB"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7D594A50" w14:textId="77777777" w:rsidR="00377F6B" w:rsidRPr="003C2BC2" w:rsidRDefault="00377F6B" w:rsidP="00FB6EEB">
            <w:pPr>
              <w:pStyle w:val="Text"/>
            </w:pPr>
            <w:r w:rsidRPr="003C2BC2">
              <w:t>2 748</w:t>
            </w:r>
          </w:p>
        </w:tc>
        <w:tc>
          <w:tcPr>
            <w:tcW w:w="1559" w:type="dxa"/>
            <w:tcBorders>
              <w:right w:val="single" w:sz="8" w:space="0" w:color="auto"/>
            </w:tcBorders>
            <w:vAlign w:val="center"/>
          </w:tcPr>
          <w:p w14:paraId="6584E34F" w14:textId="77777777" w:rsidR="00377F6B" w:rsidRPr="003C2BC2" w:rsidRDefault="00377F6B" w:rsidP="00FB6EEB">
            <w:pPr>
              <w:pStyle w:val="Text"/>
            </w:pPr>
            <w:r w:rsidRPr="003C2BC2">
              <w:t>0</w:t>
            </w:r>
          </w:p>
        </w:tc>
      </w:tr>
      <w:tr w:rsidR="00377F6B" w:rsidRPr="003C2BC2" w14:paraId="4B5CAF57" w14:textId="77777777" w:rsidTr="003D62F7">
        <w:trPr>
          <w:trHeight w:val="368"/>
        </w:trPr>
        <w:tc>
          <w:tcPr>
            <w:tcW w:w="5944" w:type="dxa"/>
            <w:gridSpan w:val="4"/>
            <w:tcBorders>
              <w:right w:val="single" w:sz="12" w:space="0" w:color="auto"/>
            </w:tcBorders>
            <w:shd w:val="clear" w:color="auto" w:fill="BFBFBF"/>
            <w:vAlign w:val="center"/>
          </w:tcPr>
          <w:p w14:paraId="4E96433B"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759E0CC4" w14:textId="77777777" w:rsidR="00377F6B" w:rsidRPr="003C2BC2" w:rsidRDefault="00377F6B" w:rsidP="00FB6EEB">
            <w:pPr>
              <w:pStyle w:val="Text"/>
            </w:pPr>
            <w:r w:rsidRPr="003C2BC2">
              <w:t>2 748</w:t>
            </w:r>
          </w:p>
        </w:tc>
      </w:tr>
    </w:tbl>
    <w:p w14:paraId="7854A0DF" w14:textId="7048118F" w:rsidR="00377F6B" w:rsidRPr="003C2BC2" w:rsidRDefault="00377F6B" w:rsidP="00FB6EEB">
      <w:pPr>
        <w:spacing w:before="240"/>
        <w:rPr>
          <w:rFonts w:eastAsia="Times New Roman"/>
          <w:bCs/>
          <w:color w:val="000000"/>
        </w:rPr>
      </w:pPr>
      <w:proofErr w:type="spellStart"/>
      <w:r w:rsidRPr="003C2BC2">
        <w:rPr>
          <w:color w:val="000000"/>
        </w:rPr>
        <w:t>fff</w:t>
      </w:r>
      <w:proofErr w:type="spellEnd"/>
      <w:r w:rsidRPr="003C2BC2">
        <w:rPr>
          <w:color w:val="000000"/>
        </w:rPr>
        <w:t>) Advisory activities of the single-use plastics commission (Requirement 48)</w:t>
      </w:r>
    </w:p>
    <w:p w14:paraId="61AC87C4" w14:textId="43F88ADB" w:rsidR="00377F6B" w:rsidRPr="003C2BC2" w:rsidRDefault="00377F6B" w:rsidP="00FB6EEB">
      <w:pPr>
        <w:rPr>
          <w:rFonts w:eastAsia="Times New Roman"/>
          <w:bCs/>
          <w:color w:val="000000"/>
        </w:rPr>
      </w:pPr>
      <w:r w:rsidRPr="003C2BC2">
        <w:rPr>
          <w:color w:val="000000"/>
        </w:rPr>
        <w:t xml:space="preserve">The single-use plastics commission is an advisory body whose members do not receive any remuneration or reimbursement of expenses. The meeting schedule for the single-use </w:t>
      </w:r>
      <w:r w:rsidRPr="003C2BC2">
        <w:rPr>
          <w:color w:val="000000"/>
        </w:rPr>
        <w:lastRenderedPageBreak/>
        <w:t>plastics commission must be established once the members have been appointed. It is assumed that the commission will meet twice a year for a period of 2 to 3 days, so that 5 days per year (5 x 8 hours = 40 hours) can be expected. Assuming the six representatives for producers will be at management level (highest skill level), an hourly rate of EUR 68.70 is estimated (Private sector C – Manufacturing, high skill level); according to the ‘Private sector’ wage cost table, Annex VI of the Guide to Calculating and Setting Out Compliance Costs for Regulatory Projects of the Federal Government).</w:t>
      </w:r>
    </w:p>
    <w:p w14:paraId="097A4EF6" w14:textId="0E2401B7" w:rsidR="00377F6B" w:rsidRPr="003C2BC2" w:rsidRDefault="00377F6B" w:rsidP="00FB6EEB">
      <w:pPr>
        <w:rPr>
          <w:rFonts w:eastAsia="Times New Roman"/>
          <w:bCs/>
          <w:color w:val="000000"/>
        </w:rPr>
      </w:pPr>
      <w:r w:rsidRPr="003C2BC2">
        <w:rPr>
          <w:color w:val="000000"/>
        </w:rPr>
        <w:t>Annual compliance costs:</w:t>
      </w:r>
    </w:p>
    <w:tbl>
      <w:tblPr>
        <w:tblStyle w:val="TableGrid"/>
        <w:tblW w:w="9204" w:type="dxa"/>
        <w:tblLayout w:type="fixed"/>
        <w:tblLook w:val="04A0" w:firstRow="1" w:lastRow="0" w:firstColumn="1" w:lastColumn="0" w:noHBand="0" w:noVBand="1"/>
      </w:tblPr>
      <w:tblGrid>
        <w:gridCol w:w="1129"/>
        <w:gridCol w:w="1417"/>
        <w:gridCol w:w="1413"/>
        <w:gridCol w:w="1985"/>
        <w:gridCol w:w="1701"/>
        <w:gridCol w:w="1559"/>
      </w:tblGrid>
      <w:tr w:rsidR="00377F6B" w:rsidRPr="003C2BC2" w14:paraId="46D76797" w14:textId="77777777" w:rsidTr="003D62F7">
        <w:tc>
          <w:tcPr>
            <w:tcW w:w="1129" w:type="dxa"/>
            <w:shd w:val="clear" w:color="auto" w:fill="BFBFBF"/>
          </w:tcPr>
          <w:p w14:paraId="3433EC3D" w14:textId="77777777" w:rsidR="00377F6B" w:rsidRPr="003C2BC2" w:rsidRDefault="00377F6B" w:rsidP="00FB6EEB">
            <w:pPr>
              <w:pStyle w:val="Text"/>
            </w:pPr>
            <w:r w:rsidRPr="003C2BC2">
              <w:t>Number of cases</w:t>
            </w:r>
          </w:p>
        </w:tc>
        <w:tc>
          <w:tcPr>
            <w:tcW w:w="1417" w:type="dxa"/>
            <w:shd w:val="clear" w:color="auto" w:fill="BFBFBF"/>
          </w:tcPr>
          <w:p w14:paraId="46FAB4D4" w14:textId="77777777" w:rsidR="00377F6B" w:rsidRPr="003C2BC2" w:rsidRDefault="00377F6B" w:rsidP="00FB6EEB">
            <w:pPr>
              <w:pStyle w:val="Text"/>
            </w:pPr>
            <w:r w:rsidRPr="003C2BC2">
              <w:t>Time spent per case (in h)</w:t>
            </w:r>
          </w:p>
        </w:tc>
        <w:tc>
          <w:tcPr>
            <w:tcW w:w="1413" w:type="dxa"/>
            <w:shd w:val="clear" w:color="auto" w:fill="BFBFBF"/>
          </w:tcPr>
          <w:p w14:paraId="1AF80C99"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39080C6B" w14:textId="77777777" w:rsidR="00377F6B" w:rsidRPr="003C2BC2" w:rsidRDefault="00377F6B" w:rsidP="00FB6EEB">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04D13F9D" w14:textId="77777777" w:rsidR="00377F6B" w:rsidRPr="003C2BC2" w:rsidRDefault="00377F6B" w:rsidP="00FB6EEB">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6A821C3C" w14:textId="77777777" w:rsidR="00377F6B" w:rsidRPr="003C2BC2" w:rsidRDefault="00377F6B" w:rsidP="00FB6EEB">
            <w:pPr>
              <w:pStyle w:val="Text"/>
            </w:pPr>
            <w:r w:rsidRPr="003C2BC2">
              <w:t xml:space="preserve">Material costs </w:t>
            </w:r>
          </w:p>
          <w:p w14:paraId="1C821E76" w14:textId="77777777" w:rsidR="00377F6B" w:rsidRPr="003C2BC2" w:rsidRDefault="00377F6B" w:rsidP="00FB6EEB">
            <w:pPr>
              <w:pStyle w:val="Text"/>
            </w:pPr>
            <w:r w:rsidRPr="003C2BC2">
              <w:t>Total (in EUR)</w:t>
            </w:r>
          </w:p>
        </w:tc>
      </w:tr>
      <w:tr w:rsidR="00377F6B" w:rsidRPr="003C2BC2" w14:paraId="2174F1B6" w14:textId="77777777" w:rsidTr="003D62F7">
        <w:trPr>
          <w:trHeight w:val="368"/>
        </w:trPr>
        <w:tc>
          <w:tcPr>
            <w:tcW w:w="1129" w:type="dxa"/>
            <w:vAlign w:val="center"/>
          </w:tcPr>
          <w:p w14:paraId="50ADD3B6" w14:textId="77777777" w:rsidR="00377F6B" w:rsidRPr="003C2BC2" w:rsidRDefault="00377F6B" w:rsidP="00FB6EEB">
            <w:pPr>
              <w:pStyle w:val="Text"/>
            </w:pPr>
            <w:r w:rsidRPr="003C2BC2">
              <w:t>6</w:t>
            </w:r>
          </w:p>
        </w:tc>
        <w:tc>
          <w:tcPr>
            <w:tcW w:w="1417" w:type="dxa"/>
            <w:vAlign w:val="center"/>
          </w:tcPr>
          <w:p w14:paraId="379FCE60" w14:textId="77777777" w:rsidR="00377F6B" w:rsidRPr="003C2BC2" w:rsidRDefault="00377F6B" w:rsidP="00FB6EEB">
            <w:pPr>
              <w:pStyle w:val="Text"/>
            </w:pPr>
            <w:r w:rsidRPr="003C2BC2">
              <w:t>40</w:t>
            </w:r>
          </w:p>
        </w:tc>
        <w:tc>
          <w:tcPr>
            <w:tcW w:w="1413" w:type="dxa"/>
            <w:vAlign w:val="center"/>
          </w:tcPr>
          <w:p w14:paraId="08BD09E0" w14:textId="77777777" w:rsidR="00377F6B" w:rsidRPr="003C2BC2" w:rsidRDefault="00377F6B" w:rsidP="00FB6EEB">
            <w:pPr>
              <w:pStyle w:val="Text"/>
            </w:pPr>
            <w:r w:rsidRPr="003C2BC2">
              <w:t>68.70</w:t>
            </w:r>
          </w:p>
        </w:tc>
        <w:tc>
          <w:tcPr>
            <w:tcW w:w="1984" w:type="dxa"/>
            <w:tcBorders>
              <w:right w:val="single" w:sz="12" w:space="0" w:color="auto"/>
            </w:tcBorders>
            <w:vAlign w:val="center"/>
          </w:tcPr>
          <w:p w14:paraId="57309769"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7E2D8A75" w14:textId="77777777" w:rsidR="00377F6B" w:rsidRPr="003C2BC2" w:rsidRDefault="00377F6B" w:rsidP="00FB6EEB">
            <w:pPr>
              <w:pStyle w:val="Text"/>
            </w:pPr>
            <w:r w:rsidRPr="003C2BC2">
              <w:t>16 488</w:t>
            </w:r>
          </w:p>
        </w:tc>
        <w:tc>
          <w:tcPr>
            <w:tcW w:w="1559" w:type="dxa"/>
            <w:tcBorders>
              <w:right w:val="single" w:sz="8" w:space="0" w:color="auto"/>
            </w:tcBorders>
            <w:vAlign w:val="center"/>
          </w:tcPr>
          <w:p w14:paraId="34259940" w14:textId="77777777" w:rsidR="00377F6B" w:rsidRPr="003C2BC2" w:rsidRDefault="00377F6B" w:rsidP="00FB6EEB">
            <w:pPr>
              <w:pStyle w:val="Text"/>
            </w:pPr>
            <w:r w:rsidRPr="003C2BC2">
              <w:t>0</w:t>
            </w:r>
          </w:p>
        </w:tc>
      </w:tr>
      <w:tr w:rsidR="00377F6B" w:rsidRPr="003C2BC2" w14:paraId="02181AE7" w14:textId="77777777" w:rsidTr="003D62F7">
        <w:trPr>
          <w:trHeight w:val="368"/>
        </w:trPr>
        <w:tc>
          <w:tcPr>
            <w:tcW w:w="5944" w:type="dxa"/>
            <w:gridSpan w:val="4"/>
            <w:tcBorders>
              <w:right w:val="single" w:sz="12" w:space="0" w:color="auto"/>
            </w:tcBorders>
            <w:shd w:val="clear" w:color="auto" w:fill="BFBFBF"/>
            <w:vAlign w:val="center"/>
          </w:tcPr>
          <w:p w14:paraId="1E699535"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538DCDAC" w14:textId="77777777" w:rsidR="00377F6B" w:rsidRPr="003C2BC2" w:rsidRDefault="00377F6B" w:rsidP="00FB6EEB">
            <w:pPr>
              <w:pStyle w:val="Text"/>
            </w:pPr>
            <w:r w:rsidRPr="003C2BC2">
              <w:t>16 488</w:t>
            </w:r>
          </w:p>
        </w:tc>
      </w:tr>
    </w:tbl>
    <w:p w14:paraId="0D678EB9" w14:textId="491520B0" w:rsidR="000900FD" w:rsidRPr="003C2BC2" w:rsidRDefault="00377F6B" w:rsidP="00FB6EEB">
      <w:pPr>
        <w:spacing w:before="240"/>
        <w:rPr>
          <w:rFonts w:eastAsia="Times New Roman"/>
          <w:bCs/>
          <w:color w:val="000000"/>
        </w:rPr>
      </w:pPr>
      <w:r w:rsidRPr="003C2BC2">
        <w:rPr>
          <w:color w:val="000000"/>
        </w:rPr>
        <w:t>bb) Private-sector waste management industry</w:t>
      </w:r>
    </w:p>
    <w:p w14:paraId="31B3016D" w14:textId="5B21CAA8" w:rsidR="000900FD" w:rsidRPr="003C2BC2" w:rsidRDefault="000900FD" w:rsidP="00FB6EEB">
      <w:pPr>
        <w:spacing w:before="240"/>
        <w:rPr>
          <w:rFonts w:eastAsia="Times New Roman"/>
          <w:bCs/>
          <w:color w:val="000000"/>
        </w:rPr>
      </w:pPr>
      <w:proofErr w:type="spellStart"/>
      <w:r w:rsidRPr="003C2BC2">
        <w:rPr>
          <w:color w:val="000000"/>
        </w:rPr>
        <w:t>aaa</w:t>
      </w:r>
      <w:proofErr w:type="spellEnd"/>
      <w:r w:rsidRPr="003C2BC2">
        <w:rPr>
          <w:color w:val="000000"/>
        </w:rPr>
        <w:t>) Appointment of single-use plastics commission members (Requirement 53)</w:t>
      </w:r>
    </w:p>
    <w:p w14:paraId="6DA4C28A" w14:textId="18A1B357" w:rsidR="000900FD" w:rsidRPr="003C2BC2" w:rsidRDefault="000900FD" w:rsidP="000900FD">
      <w:pPr>
        <w:rPr>
          <w:rFonts w:eastAsia="Times New Roman"/>
          <w:bCs/>
          <w:color w:val="000000"/>
        </w:rPr>
      </w:pPr>
      <w:r w:rsidRPr="003C2BC2">
        <w:rPr>
          <w:color w:val="000000"/>
        </w:rPr>
        <w:t xml:space="preserve">In accordance with Article 1 Section 24(1) subparagraph 2, the private-sector waste management sector may send one representative to the single-use plastics commission. Under Section 12(9) of the foundation statutes of the Central Agency Packaging Register, there are only two relevant associations that can coordinate such appointment: the </w:t>
      </w:r>
      <w:proofErr w:type="spellStart"/>
      <w:r w:rsidRPr="003C2BC2">
        <w:rPr>
          <w:color w:val="000000"/>
        </w:rPr>
        <w:t>Bundesverband</w:t>
      </w:r>
      <w:proofErr w:type="spellEnd"/>
      <w:r w:rsidRPr="003C2BC2">
        <w:rPr>
          <w:color w:val="000000"/>
        </w:rPr>
        <w:t xml:space="preserve"> der </w:t>
      </w:r>
      <w:proofErr w:type="spellStart"/>
      <w:r w:rsidRPr="003C2BC2">
        <w:rPr>
          <w:color w:val="000000"/>
        </w:rPr>
        <w:t>Deutschen</w:t>
      </w:r>
      <w:proofErr w:type="spellEnd"/>
      <w:r w:rsidRPr="003C2BC2">
        <w:rPr>
          <w:color w:val="000000"/>
        </w:rPr>
        <w:t xml:space="preserve"> </w:t>
      </w:r>
      <w:proofErr w:type="spellStart"/>
      <w:r w:rsidRPr="003C2BC2">
        <w:rPr>
          <w:color w:val="000000"/>
        </w:rPr>
        <w:t>Entsorgungs</w:t>
      </w:r>
      <w:proofErr w:type="spellEnd"/>
      <w:r w:rsidRPr="003C2BC2">
        <w:rPr>
          <w:color w:val="000000"/>
        </w:rPr>
        <w:t xml:space="preserve">-, Wasser- und </w:t>
      </w:r>
      <w:proofErr w:type="spellStart"/>
      <w:r w:rsidRPr="003C2BC2">
        <w:rPr>
          <w:color w:val="000000"/>
        </w:rPr>
        <w:t>Rohstoffwirtschaft</w:t>
      </w:r>
      <w:proofErr w:type="spellEnd"/>
      <w:r w:rsidRPr="003C2BC2">
        <w:rPr>
          <w:color w:val="000000"/>
        </w:rPr>
        <w:t xml:space="preserve"> </w:t>
      </w:r>
      <w:proofErr w:type="spellStart"/>
      <w:r w:rsidRPr="003C2BC2">
        <w:rPr>
          <w:color w:val="000000"/>
        </w:rPr>
        <w:t>e.V.</w:t>
      </w:r>
      <w:proofErr w:type="spellEnd"/>
      <w:r w:rsidRPr="003C2BC2">
        <w:rPr>
          <w:color w:val="000000"/>
        </w:rPr>
        <w:t xml:space="preserve"> (BDE) and the </w:t>
      </w:r>
      <w:proofErr w:type="spellStart"/>
      <w:r w:rsidRPr="003C2BC2">
        <w:rPr>
          <w:color w:val="000000"/>
        </w:rPr>
        <w:t>Bundesverband</w:t>
      </w:r>
      <w:proofErr w:type="spellEnd"/>
      <w:r w:rsidRPr="003C2BC2">
        <w:rPr>
          <w:color w:val="000000"/>
        </w:rPr>
        <w:t xml:space="preserve"> </w:t>
      </w:r>
      <w:proofErr w:type="spellStart"/>
      <w:r w:rsidRPr="003C2BC2">
        <w:rPr>
          <w:color w:val="000000"/>
        </w:rPr>
        <w:t>Sekundärrohstoffe</w:t>
      </w:r>
      <w:proofErr w:type="spellEnd"/>
      <w:r w:rsidRPr="003C2BC2">
        <w:rPr>
          <w:color w:val="000000"/>
        </w:rPr>
        <w:t xml:space="preserve"> und </w:t>
      </w:r>
      <w:proofErr w:type="spellStart"/>
      <w:r w:rsidRPr="003C2BC2">
        <w:rPr>
          <w:color w:val="000000"/>
        </w:rPr>
        <w:t>Entsorgung</w:t>
      </w:r>
      <w:proofErr w:type="spellEnd"/>
      <w:r w:rsidRPr="003C2BC2">
        <w:rPr>
          <w:color w:val="000000"/>
        </w:rPr>
        <w:t xml:space="preserve"> </w:t>
      </w:r>
      <w:proofErr w:type="spellStart"/>
      <w:r w:rsidRPr="003C2BC2">
        <w:rPr>
          <w:color w:val="000000"/>
        </w:rPr>
        <w:t>e.V.</w:t>
      </w:r>
      <w:proofErr w:type="spellEnd"/>
      <w:r w:rsidRPr="003C2BC2">
        <w:rPr>
          <w:color w:val="000000"/>
        </w:rPr>
        <w:t xml:space="preserve"> (</w:t>
      </w:r>
      <w:proofErr w:type="spellStart"/>
      <w:r w:rsidRPr="003C2BC2">
        <w:rPr>
          <w:color w:val="000000"/>
        </w:rPr>
        <w:t>bvse</w:t>
      </w:r>
      <w:proofErr w:type="spellEnd"/>
      <w:r w:rsidRPr="003C2BC2">
        <w:rPr>
          <w:color w:val="000000"/>
        </w:rPr>
        <w:t>). Experience shows that a half-day meeting of four hours will be required for the initial appointment and a two-hour meeting for the annual review. The aim of the meetings will be to reach consensus on the proper division of seats in the single-use plastics commission, which entails corresponding opportunities to exert influence. It can therefore be assumed that the meetings will be complex, also requiring the presence of managers (high skill level) (Private sector S – Provision of other services, high skill level; according to the ‘Private sector’ wage cost table (Annex VI of the Guide to Calculating and Setting Out Compliance Costs for Regulatory Projects of the Federal Government), an hourly rate of EUR 48.10 is estimated).</w:t>
      </w:r>
    </w:p>
    <w:p w14:paraId="64C82470" w14:textId="77777777" w:rsidR="000900FD" w:rsidRPr="003C2BC2" w:rsidRDefault="000900FD" w:rsidP="000900FD">
      <w:pPr>
        <w:rPr>
          <w:rFonts w:eastAsia="Times New Roman"/>
          <w:bCs/>
          <w:color w:val="000000"/>
        </w:rPr>
      </w:pPr>
      <w:r w:rsidRPr="003C2BC2">
        <w:rPr>
          <w:color w:val="000000"/>
        </w:rPr>
        <w:t>One-off conversion costs:</w:t>
      </w:r>
    </w:p>
    <w:tbl>
      <w:tblPr>
        <w:tblStyle w:val="TableGrid"/>
        <w:tblW w:w="9204" w:type="dxa"/>
        <w:tblLayout w:type="fixed"/>
        <w:tblLook w:val="04A0" w:firstRow="1" w:lastRow="0" w:firstColumn="1" w:lastColumn="0" w:noHBand="0" w:noVBand="1"/>
      </w:tblPr>
      <w:tblGrid>
        <w:gridCol w:w="1129"/>
        <w:gridCol w:w="1417"/>
        <w:gridCol w:w="1413"/>
        <w:gridCol w:w="1985"/>
        <w:gridCol w:w="1559"/>
        <w:gridCol w:w="1701"/>
      </w:tblGrid>
      <w:tr w:rsidR="000900FD" w:rsidRPr="003C2BC2" w14:paraId="0AD837D6" w14:textId="77777777" w:rsidTr="003D62F7">
        <w:tc>
          <w:tcPr>
            <w:tcW w:w="1129" w:type="dxa"/>
            <w:shd w:val="clear" w:color="auto" w:fill="BFBFBF"/>
          </w:tcPr>
          <w:p w14:paraId="6D2AC3B6" w14:textId="77777777" w:rsidR="000900FD" w:rsidRPr="003C2BC2" w:rsidRDefault="000900FD" w:rsidP="000900FD">
            <w:pPr>
              <w:pStyle w:val="Text"/>
            </w:pPr>
            <w:r w:rsidRPr="003C2BC2">
              <w:t>Number of cases</w:t>
            </w:r>
          </w:p>
        </w:tc>
        <w:tc>
          <w:tcPr>
            <w:tcW w:w="1417" w:type="dxa"/>
            <w:shd w:val="clear" w:color="auto" w:fill="BFBFBF"/>
          </w:tcPr>
          <w:p w14:paraId="1CA313F5" w14:textId="77777777" w:rsidR="000900FD" w:rsidRPr="003C2BC2" w:rsidRDefault="000900FD" w:rsidP="000900FD">
            <w:pPr>
              <w:pStyle w:val="Text"/>
            </w:pPr>
            <w:r w:rsidRPr="003C2BC2">
              <w:t>Time spent per case (in h)</w:t>
            </w:r>
          </w:p>
        </w:tc>
        <w:tc>
          <w:tcPr>
            <w:tcW w:w="1413" w:type="dxa"/>
            <w:shd w:val="clear" w:color="auto" w:fill="BFBFBF"/>
          </w:tcPr>
          <w:p w14:paraId="374154C7" w14:textId="77777777" w:rsidR="000900FD" w:rsidRPr="003C2BC2" w:rsidRDefault="000900FD" w:rsidP="000900FD">
            <w:pPr>
              <w:pStyle w:val="Text"/>
              <w:jc w:val="left"/>
            </w:pPr>
            <w:r w:rsidRPr="003C2BC2">
              <w:t>Wage rate per h (in EUR)</w:t>
            </w:r>
          </w:p>
        </w:tc>
        <w:tc>
          <w:tcPr>
            <w:tcW w:w="1984" w:type="dxa"/>
            <w:tcBorders>
              <w:right w:val="single" w:sz="12" w:space="0" w:color="auto"/>
            </w:tcBorders>
            <w:shd w:val="clear" w:color="auto" w:fill="BFBFBF"/>
          </w:tcPr>
          <w:p w14:paraId="605E27AA" w14:textId="77777777" w:rsidR="000900FD" w:rsidRPr="003C2BC2" w:rsidRDefault="000900FD" w:rsidP="000900FD">
            <w:pPr>
              <w:pStyle w:val="Text"/>
            </w:pPr>
            <w:r w:rsidRPr="003C2BC2">
              <w:t>Material costs per case (in EUR)</w:t>
            </w:r>
          </w:p>
        </w:tc>
        <w:tc>
          <w:tcPr>
            <w:tcW w:w="1559" w:type="dxa"/>
            <w:tcBorders>
              <w:top w:val="single" w:sz="8" w:space="0" w:color="auto"/>
              <w:left w:val="single" w:sz="12" w:space="0" w:color="auto"/>
            </w:tcBorders>
            <w:shd w:val="clear" w:color="auto" w:fill="BFBFBF"/>
          </w:tcPr>
          <w:p w14:paraId="172488A4" w14:textId="77777777" w:rsidR="000900FD" w:rsidRPr="003C2BC2" w:rsidRDefault="000900FD" w:rsidP="000900FD">
            <w:pPr>
              <w:pStyle w:val="Text"/>
            </w:pPr>
            <w:r w:rsidRPr="003C2BC2">
              <w:t>Total personnel costs (in EUR)</w:t>
            </w:r>
          </w:p>
        </w:tc>
        <w:tc>
          <w:tcPr>
            <w:tcW w:w="1701" w:type="dxa"/>
            <w:tcBorders>
              <w:top w:val="single" w:sz="8" w:space="0" w:color="auto"/>
              <w:right w:val="single" w:sz="8" w:space="0" w:color="auto"/>
            </w:tcBorders>
            <w:shd w:val="clear" w:color="auto" w:fill="BFBFBF"/>
          </w:tcPr>
          <w:p w14:paraId="6F9AB3EC" w14:textId="77777777" w:rsidR="000900FD" w:rsidRPr="003C2BC2" w:rsidRDefault="000900FD" w:rsidP="000900FD">
            <w:pPr>
              <w:pStyle w:val="Text"/>
            </w:pPr>
            <w:r w:rsidRPr="003C2BC2">
              <w:t xml:space="preserve">Material costs </w:t>
            </w:r>
          </w:p>
          <w:p w14:paraId="1CF5555B" w14:textId="77777777" w:rsidR="000900FD" w:rsidRPr="003C2BC2" w:rsidRDefault="000900FD" w:rsidP="000900FD">
            <w:pPr>
              <w:pStyle w:val="Text"/>
            </w:pPr>
            <w:r w:rsidRPr="003C2BC2">
              <w:t>Total (in EUR)</w:t>
            </w:r>
          </w:p>
        </w:tc>
      </w:tr>
      <w:tr w:rsidR="000900FD" w:rsidRPr="003C2BC2" w14:paraId="588EB656" w14:textId="77777777" w:rsidTr="003D62F7">
        <w:trPr>
          <w:trHeight w:val="368"/>
        </w:trPr>
        <w:tc>
          <w:tcPr>
            <w:tcW w:w="1129" w:type="dxa"/>
            <w:vAlign w:val="center"/>
          </w:tcPr>
          <w:p w14:paraId="23E2D3ED" w14:textId="77777777" w:rsidR="000900FD" w:rsidRPr="003C2BC2" w:rsidRDefault="000900FD" w:rsidP="000900FD">
            <w:pPr>
              <w:pStyle w:val="Text"/>
            </w:pPr>
            <w:r w:rsidRPr="003C2BC2">
              <w:t>2</w:t>
            </w:r>
          </w:p>
        </w:tc>
        <w:tc>
          <w:tcPr>
            <w:tcW w:w="1417" w:type="dxa"/>
            <w:vAlign w:val="center"/>
          </w:tcPr>
          <w:p w14:paraId="4FE8F401" w14:textId="77777777" w:rsidR="000900FD" w:rsidRPr="003C2BC2" w:rsidRDefault="000900FD" w:rsidP="000900FD">
            <w:pPr>
              <w:pStyle w:val="Text"/>
            </w:pPr>
            <w:r w:rsidRPr="003C2BC2">
              <w:t>4</w:t>
            </w:r>
          </w:p>
        </w:tc>
        <w:tc>
          <w:tcPr>
            <w:tcW w:w="1413" w:type="dxa"/>
            <w:vAlign w:val="center"/>
          </w:tcPr>
          <w:p w14:paraId="36E59A16" w14:textId="77777777" w:rsidR="000900FD" w:rsidRPr="003C2BC2" w:rsidRDefault="000900FD" w:rsidP="000900FD">
            <w:pPr>
              <w:pStyle w:val="Text"/>
            </w:pPr>
            <w:r w:rsidRPr="003C2BC2">
              <w:t>48.10</w:t>
            </w:r>
          </w:p>
        </w:tc>
        <w:tc>
          <w:tcPr>
            <w:tcW w:w="1984" w:type="dxa"/>
            <w:tcBorders>
              <w:right w:val="single" w:sz="12" w:space="0" w:color="auto"/>
            </w:tcBorders>
            <w:vAlign w:val="center"/>
          </w:tcPr>
          <w:p w14:paraId="21552206" w14:textId="77777777" w:rsidR="000900FD" w:rsidRPr="003C2BC2" w:rsidRDefault="000900FD" w:rsidP="000900FD">
            <w:pPr>
              <w:pStyle w:val="Text"/>
            </w:pPr>
            <w:r w:rsidRPr="003C2BC2">
              <w:t>0</w:t>
            </w:r>
          </w:p>
        </w:tc>
        <w:tc>
          <w:tcPr>
            <w:tcW w:w="1559" w:type="dxa"/>
            <w:tcBorders>
              <w:left w:val="single" w:sz="12" w:space="0" w:color="auto"/>
            </w:tcBorders>
            <w:vAlign w:val="center"/>
          </w:tcPr>
          <w:p w14:paraId="5A070676" w14:textId="77777777" w:rsidR="000900FD" w:rsidRPr="003C2BC2" w:rsidRDefault="000900FD" w:rsidP="000900FD">
            <w:pPr>
              <w:pStyle w:val="Text"/>
            </w:pPr>
            <w:r w:rsidRPr="003C2BC2">
              <w:t>385</w:t>
            </w:r>
          </w:p>
        </w:tc>
        <w:tc>
          <w:tcPr>
            <w:tcW w:w="1701" w:type="dxa"/>
            <w:tcBorders>
              <w:right w:val="single" w:sz="8" w:space="0" w:color="auto"/>
            </w:tcBorders>
            <w:vAlign w:val="center"/>
          </w:tcPr>
          <w:p w14:paraId="5A8FC53E" w14:textId="77777777" w:rsidR="000900FD" w:rsidRPr="003C2BC2" w:rsidRDefault="000900FD" w:rsidP="000900FD">
            <w:pPr>
              <w:pStyle w:val="Text"/>
            </w:pPr>
            <w:r w:rsidRPr="003C2BC2">
              <w:t>0</w:t>
            </w:r>
          </w:p>
        </w:tc>
      </w:tr>
      <w:tr w:rsidR="000900FD" w:rsidRPr="003C2BC2" w14:paraId="112E8135" w14:textId="77777777" w:rsidTr="003D62F7">
        <w:trPr>
          <w:trHeight w:val="368"/>
        </w:trPr>
        <w:tc>
          <w:tcPr>
            <w:tcW w:w="5944" w:type="dxa"/>
            <w:gridSpan w:val="4"/>
            <w:tcBorders>
              <w:right w:val="single" w:sz="12" w:space="0" w:color="auto"/>
            </w:tcBorders>
            <w:shd w:val="clear" w:color="auto" w:fill="BFBFBF"/>
            <w:vAlign w:val="center"/>
          </w:tcPr>
          <w:p w14:paraId="75F5E0C6" w14:textId="77777777" w:rsidR="000900FD" w:rsidRPr="003C2BC2" w:rsidRDefault="000900FD" w:rsidP="000900FD">
            <w:pPr>
              <w:pStyle w:val="Text"/>
            </w:pPr>
            <w:r w:rsidRPr="003C2BC2">
              <w:t>One-off conversion costs (in EUR)</w:t>
            </w:r>
          </w:p>
        </w:tc>
        <w:tc>
          <w:tcPr>
            <w:tcW w:w="3260" w:type="dxa"/>
            <w:gridSpan w:val="2"/>
            <w:tcBorders>
              <w:left w:val="single" w:sz="12" w:space="0" w:color="auto"/>
              <w:bottom w:val="single" w:sz="8" w:space="0" w:color="auto"/>
              <w:right w:val="single" w:sz="8" w:space="0" w:color="auto"/>
            </w:tcBorders>
            <w:vAlign w:val="center"/>
          </w:tcPr>
          <w:p w14:paraId="74BCFC78" w14:textId="77777777" w:rsidR="000900FD" w:rsidRPr="003C2BC2" w:rsidRDefault="000900FD" w:rsidP="000900FD">
            <w:pPr>
              <w:pStyle w:val="Text"/>
            </w:pPr>
            <w:r w:rsidRPr="003C2BC2">
              <w:t>385</w:t>
            </w:r>
          </w:p>
        </w:tc>
      </w:tr>
    </w:tbl>
    <w:p w14:paraId="401F7A3D" w14:textId="77777777" w:rsidR="000900FD" w:rsidRPr="003C2BC2" w:rsidRDefault="000900FD" w:rsidP="003D62F7">
      <w:pPr>
        <w:keepNext/>
        <w:spacing w:before="240"/>
        <w:rPr>
          <w:rFonts w:eastAsia="Times New Roman"/>
          <w:bCs/>
          <w:color w:val="000000"/>
        </w:rPr>
      </w:pPr>
      <w:r w:rsidRPr="003C2BC2">
        <w:rPr>
          <w:color w:val="000000"/>
        </w:rPr>
        <w:lastRenderedPageBreak/>
        <w:t>Annual compliance costs:</w:t>
      </w:r>
    </w:p>
    <w:tbl>
      <w:tblPr>
        <w:tblStyle w:val="TableGrid"/>
        <w:tblW w:w="9204" w:type="dxa"/>
        <w:tblLayout w:type="fixed"/>
        <w:tblLook w:val="04A0" w:firstRow="1" w:lastRow="0" w:firstColumn="1" w:lastColumn="0" w:noHBand="0" w:noVBand="1"/>
      </w:tblPr>
      <w:tblGrid>
        <w:gridCol w:w="1129"/>
        <w:gridCol w:w="1417"/>
        <w:gridCol w:w="1413"/>
        <w:gridCol w:w="1985"/>
        <w:gridCol w:w="1701"/>
        <w:gridCol w:w="1559"/>
      </w:tblGrid>
      <w:tr w:rsidR="000900FD" w:rsidRPr="003C2BC2" w14:paraId="120A5F40" w14:textId="77777777" w:rsidTr="003D62F7">
        <w:tc>
          <w:tcPr>
            <w:tcW w:w="1129" w:type="dxa"/>
            <w:shd w:val="clear" w:color="auto" w:fill="BFBFBF"/>
          </w:tcPr>
          <w:p w14:paraId="12A1418B" w14:textId="77777777" w:rsidR="000900FD" w:rsidRPr="003C2BC2" w:rsidRDefault="000900FD" w:rsidP="003D62F7">
            <w:pPr>
              <w:pStyle w:val="Text"/>
              <w:keepNext/>
            </w:pPr>
            <w:r w:rsidRPr="003C2BC2">
              <w:t>Number of cases</w:t>
            </w:r>
          </w:p>
        </w:tc>
        <w:tc>
          <w:tcPr>
            <w:tcW w:w="1417" w:type="dxa"/>
            <w:shd w:val="clear" w:color="auto" w:fill="BFBFBF"/>
          </w:tcPr>
          <w:p w14:paraId="4F5C1AA2" w14:textId="77777777" w:rsidR="000900FD" w:rsidRPr="003C2BC2" w:rsidRDefault="000900FD" w:rsidP="003D62F7">
            <w:pPr>
              <w:pStyle w:val="Text"/>
              <w:keepNext/>
            </w:pPr>
            <w:r w:rsidRPr="003C2BC2">
              <w:t>Time spent per case (in h)</w:t>
            </w:r>
          </w:p>
        </w:tc>
        <w:tc>
          <w:tcPr>
            <w:tcW w:w="1413" w:type="dxa"/>
            <w:shd w:val="clear" w:color="auto" w:fill="BFBFBF"/>
          </w:tcPr>
          <w:p w14:paraId="1B7687FA" w14:textId="77777777" w:rsidR="000900FD" w:rsidRPr="003C2BC2" w:rsidRDefault="000900FD" w:rsidP="003D62F7">
            <w:pPr>
              <w:pStyle w:val="Text"/>
              <w:keepNext/>
              <w:jc w:val="left"/>
            </w:pPr>
            <w:r w:rsidRPr="003C2BC2">
              <w:t>Wage rate per h (in EUR)</w:t>
            </w:r>
          </w:p>
        </w:tc>
        <w:tc>
          <w:tcPr>
            <w:tcW w:w="1984" w:type="dxa"/>
            <w:tcBorders>
              <w:right w:val="single" w:sz="12" w:space="0" w:color="auto"/>
            </w:tcBorders>
            <w:shd w:val="clear" w:color="auto" w:fill="BFBFBF"/>
          </w:tcPr>
          <w:p w14:paraId="2D4B5478" w14:textId="77777777" w:rsidR="000900FD" w:rsidRPr="003C2BC2" w:rsidRDefault="000900FD" w:rsidP="003D62F7">
            <w:pPr>
              <w:pStyle w:val="Text"/>
              <w:keepNext/>
            </w:pPr>
            <w:r w:rsidRPr="003C2BC2">
              <w:t>Material costs per case (in EUR)</w:t>
            </w:r>
          </w:p>
        </w:tc>
        <w:tc>
          <w:tcPr>
            <w:tcW w:w="1701" w:type="dxa"/>
            <w:tcBorders>
              <w:top w:val="single" w:sz="8" w:space="0" w:color="auto"/>
              <w:left w:val="single" w:sz="12" w:space="0" w:color="auto"/>
            </w:tcBorders>
            <w:shd w:val="clear" w:color="auto" w:fill="BFBFBF"/>
          </w:tcPr>
          <w:p w14:paraId="3DF4407B" w14:textId="77777777" w:rsidR="000900FD" w:rsidRPr="003C2BC2" w:rsidRDefault="000900FD" w:rsidP="003D62F7">
            <w:pPr>
              <w:pStyle w:val="Text"/>
              <w:keepNext/>
            </w:pPr>
            <w:r w:rsidRPr="003C2BC2">
              <w:t>Total personnel costs (in EUR)</w:t>
            </w:r>
          </w:p>
        </w:tc>
        <w:tc>
          <w:tcPr>
            <w:tcW w:w="1559" w:type="dxa"/>
            <w:tcBorders>
              <w:top w:val="single" w:sz="8" w:space="0" w:color="auto"/>
              <w:right w:val="single" w:sz="8" w:space="0" w:color="auto"/>
            </w:tcBorders>
            <w:shd w:val="clear" w:color="auto" w:fill="BFBFBF"/>
          </w:tcPr>
          <w:p w14:paraId="5E5A940F" w14:textId="77777777" w:rsidR="000900FD" w:rsidRPr="003C2BC2" w:rsidRDefault="000900FD" w:rsidP="003D62F7">
            <w:pPr>
              <w:pStyle w:val="Text"/>
              <w:keepNext/>
            </w:pPr>
            <w:r w:rsidRPr="003C2BC2">
              <w:t xml:space="preserve">Material costs </w:t>
            </w:r>
          </w:p>
          <w:p w14:paraId="53EEFA6F" w14:textId="77777777" w:rsidR="000900FD" w:rsidRPr="003C2BC2" w:rsidRDefault="000900FD" w:rsidP="003D62F7">
            <w:pPr>
              <w:pStyle w:val="Text"/>
              <w:keepNext/>
            </w:pPr>
            <w:r w:rsidRPr="003C2BC2">
              <w:t>Total (in EUR)</w:t>
            </w:r>
          </w:p>
        </w:tc>
      </w:tr>
      <w:tr w:rsidR="000900FD" w:rsidRPr="003C2BC2" w14:paraId="2BDD8F52" w14:textId="77777777" w:rsidTr="003D62F7">
        <w:trPr>
          <w:trHeight w:val="368"/>
        </w:trPr>
        <w:tc>
          <w:tcPr>
            <w:tcW w:w="1129" w:type="dxa"/>
            <w:vAlign w:val="center"/>
          </w:tcPr>
          <w:p w14:paraId="32F4D572" w14:textId="77777777" w:rsidR="000900FD" w:rsidRPr="003C2BC2" w:rsidRDefault="000900FD" w:rsidP="000900FD">
            <w:pPr>
              <w:pStyle w:val="Text"/>
            </w:pPr>
            <w:r w:rsidRPr="003C2BC2">
              <w:t>2</w:t>
            </w:r>
          </w:p>
        </w:tc>
        <w:tc>
          <w:tcPr>
            <w:tcW w:w="1417" w:type="dxa"/>
            <w:vAlign w:val="center"/>
          </w:tcPr>
          <w:p w14:paraId="75AD3CEB" w14:textId="77777777" w:rsidR="000900FD" w:rsidRPr="003C2BC2" w:rsidRDefault="000900FD" w:rsidP="000900FD">
            <w:pPr>
              <w:pStyle w:val="Text"/>
            </w:pPr>
            <w:r w:rsidRPr="003C2BC2">
              <w:t>2</w:t>
            </w:r>
          </w:p>
        </w:tc>
        <w:tc>
          <w:tcPr>
            <w:tcW w:w="1413" w:type="dxa"/>
            <w:vAlign w:val="center"/>
          </w:tcPr>
          <w:p w14:paraId="120700A8" w14:textId="77777777" w:rsidR="000900FD" w:rsidRPr="003C2BC2" w:rsidRDefault="000900FD" w:rsidP="000900FD">
            <w:pPr>
              <w:pStyle w:val="Text"/>
            </w:pPr>
            <w:r w:rsidRPr="003C2BC2">
              <w:t>48.10</w:t>
            </w:r>
          </w:p>
        </w:tc>
        <w:tc>
          <w:tcPr>
            <w:tcW w:w="1984" w:type="dxa"/>
            <w:tcBorders>
              <w:right w:val="single" w:sz="12" w:space="0" w:color="auto"/>
            </w:tcBorders>
            <w:vAlign w:val="center"/>
          </w:tcPr>
          <w:p w14:paraId="31B0D51E" w14:textId="77777777" w:rsidR="000900FD" w:rsidRPr="003C2BC2" w:rsidRDefault="000900FD" w:rsidP="000900FD">
            <w:pPr>
              <w:pStyle w:val="Text"/>
            </w:pPr>
            <w:r w:rsidRPr="003C2BC2">
              <w:t>0</w:t>
            </w:r>
          </w:p>
        </w:tc>
        <w:tc>
          <w:tcPr>
            <w:tcW w:w="1701" w:type="dxa"/>
            <w:tcBorders>
              <w:left w:val="single" w:sz="12" w:space="0" w:color="auto"/>
            </w:tcBorders>
            <w:vAlign w:val="center"/>
          </w:tcPr>
          <w:p w14:paraId="67ECC08E" w14:textId="77777777" w:rsidR="000900FD" w:rsidRPr="003C2BC2" w:rsidRDefault="000900FD" w:rsidP="000900FD">
            <w:pPr>
              <w:pStyle w:val="Text"/>
            </w:pPr>
            <w:r w:rsidRPr="003C2BC2">
              <w:t>192</w:t>
            </w:r>
          </w:p>
        </w:tc>
        <w:tc>
          <w:tcPr>
            <w:tcW w:w="1559" w:type="dxa"/>
            <w:tcBorders>
              <w:right w:val="single" w:sz="8" w:space="0" w:color="auto"/>
            </w:tcBorders>
            <w:vAlign w:val="center"/>
          </w:tcPr>
          <w:p w14:paraId="00A3ED91" w14:textId="77777777" w:rsidR="000900FD" w:rsidRPr="003C2BC2" w:rsidRDefault="000900FD" w:rsidP="000900FD">
            <w:pPr>
              <w:pStyle w:val="Text"/>
            </w:pPr>
            <w:r w:rsidRPr="003C2BC2">
              <w:t>0</w:t>
            </w:r>
          </w:p>
        </w:tc>
      </w:tr>
      <w:tr w:rsidR="000900FD" w:rsidRPr="003C2BC2" w14:paraId="6573B9A6" w14:textId="77777777" w:rsidTr="003D62F7">
        <w:trPr>
          <w:trHeight w:val="368"/>
        </w:trPr>
        <w:tc>
          <w:tcPr>
            <w:tcW w:w="5944" w:type="dxa"/>
            <w:gridSpan w:val="4"/>
            <w:tcBorders>
              <w:right w:val="single" w:sz="12" w:space="0" w:color="auto"/>
            </w:tcBorders>
            <w:shd w:val="clear" w:color="auto" w:fill="BFBFBF"/>
            <w:vAlign w:val="center"/>
          </w:tcPr>
          <w:p w14:paraId="6DD006BE" w14:textId="77777777" w:rsidR="000900FD" w:rsidRPr="003C2BC2" w:rsidRDefault="000900FD" w:rsidP="000900FD">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609F9714" w14:textId="77777777" w:rsidR="000900FD" w:rsidRPr="003C2BC2" w:rsidRDefault="000900FD" w:rsidP="000900FD">
            <w:pPr>
              <w:pStyle w:val="Text"/>
            </w:pPr>
            <w:r w:rsidRPr="003C2BC2">
              <w:t>192</w:t>
            </w:r>
          </w:p>
        </w:tc>
      </w:tr>
    </w:tbl>
    <w:p w14:paraId="3A687DDA" w14:textId="55C07BE4" w:rsidR="000900FD" w:rsidRPr="003C2BC2" w:rsidRDefault="000900FD" w:rsidP="00FB6EEB">
      <w:pPr>
        <w:spacing w:before="240"/>
        <w:rPr>
          <w:rFonts w:eastAsia="Times New Roman"/>
          <w:bCs/>
          <w:color w:val="000000"/>
        </w:rPr>
      </w:pPr>
      <w:proofErr w:type="spellStart"/>
      <w:r w:rsidRPr="003C2BC2">
        <w:rPr>
          <w:color w:val="000000"/>
        </w:rPr>
        <w:t>bbb</w:t>
      </w:r>
      <w:proofErr w:type="spellEnd"/>
      <w:r w:rsidRPr="003C2BC2">
        <w:rPr>
          <w:color w:val="000000"/>
        </w:rPr>
        <w:t>) Advisory activities of the single-use plastics commission (Requirement 49)</w:t>
      </w:r>
    </w:p>
    <w:p w14:paraId="3FECC868" w14:textId="22B156E1" w:rsidR="000900FD" w:rsidRPr="003C2BC2" w:rsidRDefault="000900FD" w:rsidP="000900FD">
      <w:pPr>
        <w:rPr>
          <w:rFonts w:eastAsia="Times New Roman"/>
          <w:bCs/>
          <w:color w:val="000000"/>
        </w:rPr>
      </w:pPr>
      <w:r w:rsidRPr="003C2BC2">
        <w:rPr>
          <w:color w:val="000000"/>
        </w:rPr>
        <w:t>The single-use plastics commission is an advisory body whose members do not receive any remuneration or reimbursement of expenses. The meeting schedule for the single-use plastics commission must be established once the members have been appointed. It is assumed that the commission will meet twice a year for a period of 2 to 3 days, so that 5 days per year (5 x 8 hours = 40 hours) can be expected. Assuming the representative for the private waste management industry will be at management level (highest skill level), an hourly rate of EUR 48.10 is estimated (Private sector S – Provision of other services, high skill level); according to the ‘Private sector’ wage cost table, Annex VI of the Guide to Calculating and Setting Out Compliance Costs for Regulatory Projects of the Federal Government).</w:t>
      </w:r>
    </w:p>
    <w:p w14:paraId="79D12208" w14:textId="77777777" w:rsidR="000900FD" w:rsidRPr="003C2BC2" w:rsidRDefault="000900FD" w:rsidP="000900FD">
      <w:pPr>
        <w:rPr>
          <w:rFonts w:eastAsia="Times New Roman"/>
          <w:bCs/>
          <w:color w:val="000000"/>
        </w:rPr>
      </w:pPr>
      <w:r w:rsidRPr="003C2BC2">
        <w:rPr>
          <w:color w:val="000000"/>
        </w:rPr>
        <w:t>Annual compliance costs:</w:t>
      </w:r>
    </w:p>
    <w:tbl>
      <w:tblPr>
        <w:tblStyle w:val="TableGrid"/>
        <w:tblW w:w="9204" w:type="dxa"/>
        <w:tblLayout w:type="fixed"/>
        <w:tblLook w:val="04A0" w:firstRow="1" w:lastRow="0" w:firstColumn="1" w:lastColumn="0" w:noHBand="0" w:noVBand="1"/>
      </w:tblPr>
      <w:tblGrid>
        <w:gridCol w:w="1129"/>
        <w:gridCol w:w="1417"/>
        <w:gridCol w:w="1413"/>
        <w:gridCol w:w="1985"/>
        <w:gridCol w:w="1701"/>
        <w:gridCol w:w="1559"/>
      </w:tblGrid>
      <w:tr w:rsidR="000900FD" w:rsidRPr="003C2BC2" w14:paraId="23482D59" w14:textId="77777777" w:rsidTr="003D62F7">
        <w:tc>
          <w:tcPr>
            <w:tcW w:w="1129" w:type="dxa"/>
            <w:shd w:val="clear" w:color="auto" w:fill="BFBFBF"/>
          </w:tcPr>
          <w:p w14:paraId="67138E75" w14:textId="77777777" w:rsidR="000900FD" w:rsidRPr="003C2BC2" w:rsidRDefault="000900FD" w:rsidP="000900FD">
            <w:pPr>
              <w:pStyle w:val="Text"/>
            </w:pPr>
            <w:r w:rsidRPr="003C2BC2">
              <w:t>Number of cases</w:t>
            </w:r>
          </w:p>
        </w:tc>
        <w:tc>
          <w:tcPr>
            <w:tcW w:w="1417" w:type="dxa"/>
            <w:shd w:val="clear" w:color="auto" w:fill="BFBFBF"/>
          </w:tcPr>
          <w:p w14:paraId="744CFA97" w14:textId="77777777" w:rsidR="000900FD" w:rsidRPr="003C2BC2" w:rsidRDefault="000900FD" w:rsidP="000900FD">
            <w:pPr>
              <w:pStyle w:val="Text"/>
            </w:pPr>
            <w:r w:rsidRPr="003C2BC2">
              <w:t>Time spent per case (in h)</w:t>
            </w:r>
          </w:p>
        </w:tc>
        <w:tc>
          <w:tcPr>
            <w:tcW w:w="1413" w:type="dxa"/>
            <w:shd w:val="clear" w:color="auto" w:fill="BFBFBF"/>
          </w:tcPr>
          <w:p w14:paraId="483655C3" w14:textId="77777777" w:rsidR="000900FD" w:rsidRPr="003C2BC2" w:rsidRDefault="000900FD" w:rsidP="000900FD">
            <w:pPr>
              <w:pStyle w:val="Text"/>
              <w:jc w:val="left"/>
            </w:pPr>
            <w:r w:rsidRPr="003C2BC2">
              <w:t>Wage rate per h (in EUR)</w:t>
            </w:r>
          </w:p>
        </w:tc>
        <w:tc>
          <w:tcPr>
            <w:tcW w:w="1984" w:type="dxa"/>
            <w:tcBorders>
              <w:right w:val="single" w:sz="12" w:space="0" w:color="auto"/>
            </w:tcBorders>
            <w:shd w:val="clear" w:color="auto" w:fill="BFBFBF"/>
          </w:tcPr>
          <w:p w14:paraId="6784EAAF" w14:textId="77777777" w:rsidR="000900FD" w:rsidRPr="003C2BC2" w:rsidRDefault="000900FD" w:rsidP="000900FD">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712C3B66" w14:textId="77777777" w:rsidR="000900FD" w:rsidRPr="003C2BC2" w:rsidRDefault="000900FD" w:rsidP="000900FD">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48EFB39C" w14:textId="77777777" w:rsidR="000900FD" w:rsidRPr="003C2BC2" w:rsidRDefault="000900FD" w:rsidP="000900FD">
            <w:pPr>
              <w:pStyle w:val="Text"/>
            </w:pPr>
            <w:r w:rsidRPr="003C2BC2">
              <w:t xml:space="preserve">Material costs </w:t>
            </w:r>
          </w:p>
          <w:p w14:paraId="2ECA55BE" w14:textId="77777777" w:rsidR="000900FD" w:rsidRPr="003C2BC2" w:rsidRDefault="000900FD" w:rsidP="000900FD">
            <w:pPr>
              <w:pStyle w:val="Text"/>
            </w:pPr>
            <w:r w:rsidRPr="003C2BC2">
              <w:t>Total (in EUR)</w:t>
            </w:r>
          </w:p>
        </w:tc>
      </w:tr>
      <w:tr w:rsidR="000900FD" w:rsidRPr="003C2BC2" w14:paraId="5809DD39" w14:textId="77777777" w:rsidTr="003D62F7">
        <w:trPr>
          <w:trHeight w:val="368"/>
        </w:trPr>
        <w:tc>
          <w:tcPr>
            <w:tcW w:w="1129" w:type="dxa"/>
            <w:vAlign w:val="center"/>
          </w:tcPr>
          <w:p w14:paraId="23006236" w14:textId="77777777" w:rsidR="000900FD" w:rsidRPr="003C2BC2" w:rsidRDefault="000900FD" w:rsidP="000900FD">
            <w:pPr>
              <w:pStyle w:val="Text"/>
            </w:pPr>
            <w:r w:rsidRPr="003C2BC2">
              <w:t>1</w:t>
            </w:r>
          </w:p>
        </w:tc>
        <w:tc>
          <w:tcPr>
            <w:tcW w:w="1417" w:type="dxa"/>
            <w:vAlign w:val="center"/>
          </w:tcPr>
          <w:p w14:paraId="60C471E7" w14:textId="77777777" w:rsidR="000900FD" w:rsidRPr="003C2BC2" w:rsidRDefault="000900FD" w:rsidP="000900FD">
            <w:pPr>
              <w:pStyle w:val="Text"/>
            </w:pPr>
            <w:r w:rsidRPr="003C2BC2">
              <w:t>40</w:t>
            </w:r>
          </w:p>
        </w:tc>
        <w:tc>
          <w:tcPr>
            <w:tcW w:w="1413" w:type="dxa"/>
            <w:vAlign w:val="center"/>
          </w:tcPr>
          <w:p w14:paraId="6B52A546" w14:textId="77777777" w:rsidR="000900FD" w:rsidRPr="003C2BC2" w:rsidRDefault="000900FD" w:rsidP="000900FD">
            <w:pPr>
              <w:pStyle w:val="Text"/>
            </w:pPr>
            <w:r w:rsidRPr="003C2BC2">
              <w:t>48.10</w:t>
            </w:r>
          </w:p>
        </w:tc>
        <w:tc>
          <w:tcPr>
            <w:tcW w:w="1984" w:type="dxa"/>
            <w:tcBorders>
              <w:right w:val="single" w:sz="12" w:space="0" w:color="auto"/>
            </w:tcBorders>
            <w:vAlign w:val="center"/>
          </w:tcPr>
          <w:p w14:paraId="5C9B6005" w14:textId="77777777" w:rsidR="000900FD" w:rsidRPr="003C2BC2" w:rsidRDefault="000900FD" w:rsidP="000900FD">
            <w:pPr>
              <w:pStyle w:val="Text"/>
            </w:pPr>
            <w:r w:rsidRPr="003C2BC2">
              <w:t>0</w:t>
            </w:r>
          </w:p>
        </w:tc>
        <w:tc>
          <w:tcPr>
            <w:tcW w:w="1701" w:type="dxa"/>
            <w:tcBorders>
              <w:left w:val="single" w:sz="12" w:space="0" w:color="auto"/>
            </w:tcBorders>
            <w:vAlign w:val="center"/>
          </w:tcPr>
          <w:p w14:paraId="4FBF87BE" w14:textId="77777777" w:rsidR="000900FD" w:rsidRPr="003C2BC2" w:rsidRDefault="000900FD" w:rsidP="000900FD">
            <w:pPr>
              <w:pStyle w:val="Text"/>
            </w:pPr>
            <w:r w:rsidRPr="003C2BC2">
              <w:t>1 924</w:t>
            </w:r>
          </w:p>
        </w:tc>
        <w:tc>
          <w:tcPr>
            <w:tcW w:w="1559" w:type="dxa"/>
            <w:tcBorders>
              <w:right w:val="single" w:sz="8" w:space="0" w:color="auto"/>
            </w:tcBorders>
            <w:vAlign w:val="center"/>
          </w:tcPr>
          <w:p w14:paraId="01C75B65" w14:textId="77777777" w:rsidR="000900FD" w:rsidRPr="003C2BC2" w:rsidRDefault="000900FD" w:rsidP="000900FD">
            <w:pPr>
              <w:pStyle w:val="Text"/>
            </w:pPr>
            <w:r w:rsidRPr="003C2BC2">
              <w:t>0</w:t>
            </w:r>
          </w:p>
        </w:tc>
      </w:tr>
      <w:tr w:rsidR="000900FD" w:rsidRPr="003C2BC2" w14:paraId="55B2903E" w14:textId="77777777" w:rsidTr="003D62F7">
        <w:trPr>
          <w:trHeight w:val="368"/>
        </w:trPr>
        <w:tc>
          <w:tcPr>
            <w:tcW w:w="5944" w:type="dxa"/>
            <w:gridSpan w:val="4"/>
            <w:tcBorders>
              <w:right w:val="single" w:sz="12" w:space="0" w:color="auto"/>
            </w:tcBorders>
            <w:shd w:val="clear" w:color="auto" w:fill="BFBFBF"/>
            <w:vAlign w:val="center"/>
          </w:tcPr>
          <w:p w14:paraId="0D78C202" w14:textId="77777777" w:rsidR="000900FD" w:rsidRPr="003C2BC2" w:rsidRDefault="000900FD" w:rsidP="000900FD">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6CB7793A" w14:textId="77777777" w:rsidR="000900FD" w:rsidRPr="003C2BC2" w:rsidRDefault="000900FD" w:rsidP="000900FD">
            <w:pPr>
              <w:pStyle w:val="Text"/>
            </w:pPr>
            <w:r w:rsidRPr="003C2BC2">
              <w:t>1 924</w:t>
            </w:r>
          </w:p>
        </w:tc>
      </w:tr>
    </w:tbl>
    <w:p w14:paraId="552665BF" w14:textId="001F970C" w:rsidR="00377F6B" w:rsidRPr="003C2BC2" w:rsidRDefault="000900FD" w:rsidP="00FB6EEB">
      <w:pPr>
        <w:spacing w:before="240"/>
        <w:rPr>
          <w:rFonts w:eastAsia="Times New Roman"/>
          <w:bCs/>
          <w:color w:val="000000"/>
        </w:rPr>
      </w:pPr>
      <w:r w:rsidRPr="003C2BC2">
        <w:rPr>
          <w:color w:val="000000"/>
        </w:rPr>
        <w:t>cc) Environmental protection associations</w:t>
      </w:r>
    </w:p>
    <w:p w14:paraId="3D1A3D8F" w14:textId="40BB33C4" w:rsidR="00377F6B" w:rsidRPr="003C2BC2" w:rsidRDefault="00377F6B" w:rsidP="00FB6EEB">
      <w:pPr>
        <w:rPr>
          <w:rFonts w:eastAsia="Times New Roman"/>
          <w:bCs/>
          <w:color w:val="000000"/>
        </w:rPr>
      </w:pPr>
      <w:proofErr w:type="spellStart"/>
      <w:r w:rsidRPr="003C2BC2">
        <w:rPr>
          <w:color w:val="000000"/>
        </w:rPr>
        <w:t>aaa</w:t>
      </w:r>
      <w:proofErr w:type="spellEnd"/>
      <w:r w:rsidRPr="003C2BC2">
        <w:rPr>
          <w:color w:val="000000"/>
        </w:rPr>
        <w:t>) Appointment of single-use plastics commission members (Requirement 53)</w:t>
      </w:r>
    </w:p>
    <w:p w14:paraId="32B86361" w14:textId="387EF881" w:rsidR="00377F6B" w:rsidRPr="003C2BC2" w:rsidRDefault="00377F6B" w:rsidP="00FB6EEB">
      <w:pPr>
        <w:rPr>
          <w:rFonts w:eastAsia="Times New Roman"/>
          <w:bCs/>
          <w:color w:val="000000"/>
        </w:rPr>
      </w:pPr>
      <w:r w:rsidRPr="003C2BC2">
        <w:rPr>
          <w:color w:val="000000"/>
        </w:rPr>
        <w:t xml:space="preserve">In accordance with Article 1 Section 24(1) subparagraph 5, environmental associations may send one representative to the single-use plastics commission. This offers environmental protection organisations an important opportunity to participate. It can therefore be assumed that environmental organisations will try to reach a consensus with each other. Here too, the relevant environmental associations are determined on the basis of Sections 10 and 12 of the foundation statutes of the Central Agency Packaging Register – specifically Section 12(11) is relevant here. Participation of the </w:t>
      </w:r>
      <w:proofErr w:type="spellStart"/>
      <w:r w:rsidRPr="003C2BC2">
        <w:rPr>
          <w:color w:val="000000"/>
        </w:rPr>
        <w:t>Deutscher</w:t>
      </w:r>
      <w:proofErr w:type="spellEnd"/>
      <w:r w:rsidRPr="003C2BC2">
        <w:rPr>
          <w:color w:val="000000"/>
        </w:rPr>
        <w:t xml:space="preserve"> </w:t>
      </w:r>
      <w:proofErr w:type="spellStart"/>
      <w:r w:rsidRPr="003C2BC2">
        <w:rPr>
          <w:color w:val="000000"/>
        </w:rPr>
        <w:t>Naturschutzrings</w:t>
      </w:r>
      <w:proofErr w:type="spellEnd"/>
      <w:r w:rsidRPr="003C2BC2">
        <w:rPr>
          <w:color w:val="000000"/>
        </w:rPr>
        <w:t xml:space="preserve"> </w:t>
      </w:r>
      <w:proofErr w:type="spellStart"/>
      <w:r w:rsidRPr="003C2BC2">
        <w:rPr>
          <w:color w:val="000000"/>
        </w:rPr>
        <w:t>e.V.</w:t>
      </w:r>
      <w:proofErr w:type="spellEnd"/>
      <w:r w:rsidRPr="003C2BC2">
        <w:rPr>
          <w:color w:val="000000"/>
        </w:rPr>
        <w:t xml:space="preserve"> and the </w:t>
      </w:r>
      <w:proofErr w:type="spellStart"/>
      <w:r w:rsidRPr="003C2BC2">
        <w:rPr>
          <w:color w:val="000000"/>
        </w:rPr>
        <w:t>Dachverband</w:t>
      </w:r>
      <w:proofErr w:type="spellEnd"/>
      <w:r w:rsidRPr="003C2BC2">
        <w:rPr>
          <w:color w:val="000000"/>
        </w:rPr>
        <w:t xml:space="preserve"> der </w:t>
      </w:r>
      <w:proofErr w:type="spellStart"/>
      <w:r w:rsidRPr="003C2BC2">
        <w:rPr>
          <w:color w:val="000000"/>
        </w:rPr>
        <w:t>deutschen</w:t>
      </w:r>
      <w:proofErr w:type="spellEnd"/>
      <w:r w:rsidRPr="003C2BC2">
        <w:rPr>
          <w:color w:val="000000"/>
        </w:rPr>
        <w:t xml:space="preserve"> </w:t>
      </w:r>
      <w:proofErr w:type="spellStart"/>
      <w:r w:rsidRPr="003C2BC2">
        <w:rPr>
          <w:color w:val="000000"/>
        </w:rPr>
        <w:t>Natur</w:t>
      </w:r>
      <w:proofErr w:type="spellEnd"/>
      <w:r w:rsidRPr="003C2BC2">
        <w:rPr>
          <w:color w:val="000000"/>
        </w:rPr>
        <w:t xml:space="preserve">-, Tier und </w:t>
      </w:r>
      <w:proofErr w:type="spellStart"/>
      <w:r w:rsidRPr="003C2BC2">
        <w:rPr>
          <w:color w:val="000000"/>
        </w:rPr>
        <w:t>Umweltschutzorganisationen</w:t>
      </w:r>
      <w:proofErr w:type="spellEnd"/>
      <w:r w:rsidRPr="003C2BC2">
        <w:rPr>
          <w:color w:val="000000"/>
        </w:rPr>
        <w:t xml:space="preserve"> </w:t>
      </w:r>
      <w:proofErr w:type="spellStart"/>
      <w:r w:rsidRPr="003C2BC2">
        <w:rPr>
          <w:color w:val="000000"/>
        </w:rPr>
        <w:t>e.V.</w:t>
      </w:r>
      <w:proofErr w:type="spellEnd"/>
      <w:r w:rsidRPr="003C2BC2">
        <w:rPr>
          <w:color w:val="000000"/>
        </w:rPr>
        <w:t xml:space="preserve"> is therefore possible. </w:t>
      </w:r>
    </w:p>
    <w:p w14:paraId="66C93E34" w14:textId="77777777" w:rsidR="00377F6B" w:rsidRPr="003C2BC2" w:rsidRDefault="00377F6B" w:rsidP="00FB6EEB">
      <w:pPr>
        <w:rPr>
          <w:rFonts w:eastAsia="Times New Roman"/>
          <w:bCs/>
          <w:color w:val="000000"/>
        </w:rPr>
      </w:pPr>
      <w:r w:rsidRPr="003C2BC2">
        <w:rPr>
          <w:color w:val="000000"/>
        </w:rPr>
        <w:t xml:space="preserve">Due to the small number of associations involved, it can be assumed that consensus can be reached within a half-day meeting. A two-hour meeting is assumed for the annual review. The aim of the meetings will be to reach consensus on the proper division of seats in the single-use plastics commission, which entails corresponding opportunities to exert influence. It can therefore be assumed that the meetings will be complex, also requiring the presence of managers from said associations (Private sector S – Provision of other services, high skill level; according to the ‘Private sector’ wage cost table (Annex VI of the </w:t>
      </w:r>
      <w:r w:rsidRPr="003C2BC2">
        <w:rPr>
          <w:color w:val="000000"/>
        </w:rPr>
        <w:lastRenderedPageBreak/>
        <w:t>Guide to Calculating and Setting Out Compliance Costs for Regulatory Projects of the Federal Government), an hourly rate of EUR 48.10 is estimated).</w:t>
      </w:r>
    </w:p>
    <w:p w14:paraId="5164330C" w14:textId="77777777" w:rsidR="00377F6B" w:rsidRPr="003C2BC2" w:rsidRDefault="00377F6B" w:rsidP="00FB6EEB">
      <w:pPr>
        <w:rPr>
          <w:rFonts w:eastAsia="Times New Roman"/>
          <w:bCs/>
          <w:color w:val="000000"/>
        </w:rPr>
      </w:pPr>
      <w:r w:rsidRPr="003C2BC2">
        <w:rPr>
          <w:color w:val="000000"/>
        </w:rPr>
        <w:t>One-off conversion costs:</w:t>
      </w:r>
    </w:p>
    <w:tbl>
      <w:tblPr>
        <w:tblStyle w:val="TableGrid"/>
        <w:tblW w:w="9204" w:type="dxa"/>
        <w:tblLayout w:type="fixed"/>
        <w:tblLook w:val="04A0" w:firstRow="1" w:lastRow="0" w:firstColumn="1" w:lastColumn="0" w:noHBand="0" w:noVBand="1"/>
      </w:tblPr>
      <w:tblGrid>
        <w:gridCol w:w="1129"/>
        <w:gridCol w:w="1417"/>
        <w:gridCol w:w="1413"/>
        <w:gridCol w:w="1985"/>
        <w:gridCol w:w="1559"/>
        <w:gridCol w:w="1701"/>
      </w:tblGrid>
      <w:tr w:rsidR="00377F6B" w:rsidRPr="003C2BC2" w14:paraId="20A8797B" w14:textId="77777777" w:rsidTr="003D62F7">
        <w:tc>
          <w:tcPr>
            <w:tcW w:w="1129" w:type="dxa"/>
            <w:shd w:val="clear" w:color="auto" w:fill="BFBFBF"/>
          </w:tcPr>
          <w:p w14:paraId="0C072B41" w14:textId="77777777" w:rsidR="00377F6B" w:rsidRPr="003C2BC2" w:rsidRDefault="00377F6B" w:rsidP="00FB6EEB">
            <w:pPr>
              <w:pStyle w:val="Text"/>
            </w:pPr>
            <w:r w:rsidRPr="003C2BC2">
              <w:t>Number of cases</w:t>
            </w:r>
          </w:p>
        </w:tc>
        <w:tc>
          <w:tcPr>
            <w:tcW w:w="1417" w:type="dxa"/>
            <w:shd w:val="clear" w:color="auto" w:fill="BFBFBF"/>
          </w:tcPr>
          <w:p w14:paraId="0A131291" w14:textId="77777777" w:rsidR="00377F6B" w:rsidRPr="003C2BC2" w:rsidRDefault="00377F6B" w:rsidP="00FB6EEB">
            <w:pPr>
              <w:pStyle w:val="Text"/>
            </w:pPr>
            <w:r w:rsidRPr="003C2BC2">
              <w:t>Time spent per case (in h)</w:t>
            </w:r>
          </w:p>
        </w:tc>
        <w:tc>
          <w:tcPr>
            <w:tcW w:w="1413" w:type="dxa"/>
            <w:shd w:val="clear" w:color="auto" w:fill="BFBFBF"/>
          </w:tcPr>
          <w:p w14:paraId="18BBEFC3"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7CE9D052" w14:textId="77777777" w:rsidR="00377F6B" w:rsidRPr="003C2BC2" w:rsidRDefault="00377F6B" w:rsidP="00FB6EEB">
            <w:pPr>
              <w:pStyle w:val="Text"/>
            </w:pPr>
            <w:r w:rsidRPr="003C2BC2">
              <w:t>Material costs per case (in EUR)</w:t>
            </w:r>
          </w:p>
        </w:tc>
        <w:tc>
          <w:tcPr>
            <w:tcW w:w="1559" w:type="dxa"/>
            <w:tcBorders>
              <w:top w:val="single" w:sz="8" w:space="0" w:color="auto"/>
              <w:left w:val="single" w:sz="12" w:space="0" w:color="auto"/>
            </w:tcBorders>
            <w:shd w:val="clear" w:color="auto" w:fill="BFBFBF"/>
          </w:tcPr>
          <w:p w14:paraId="30E9DABE" w14:textId="77777777" w:rsidR="00377F6B" w:rsidRPr="003C2BC2" w:rsidRDefault="00377F6B" w:rsidP="00FB6EEB">
            <w:pPr>
              <w:pStyle w:val="Text"/>
            </w:pPr>
            <w:r w:rsidRPr="003C2BC2">
              <w:t>Total personnel costs (in EUR)</w:t>
            </w:r>
          </w:p>
        </w:tc>
        <w:tc>
          <w:tcPr>
            <w:tcW w:w="1701" w:type="dxa"/>
            <w:tcBorders>
              <w:top w:val="single" w:sz="8" w:space="0" w:color="auto"/>
              <w:right w:val="single" w:sz="8" w:space="0" w:color="auto"/>
            </w:tcBorders>
            <w:shd w:val="clear" w:color="auto" w:fill="BFBFBF"/>
          </w:tcPr>
          <w:p w14:paraId="167975BB" w14:textId="77777777" w:rsidR="00377F6B" w:rsidRPr="003C2BC2" w:rsidRDefault="00377F6B" w:rsidP="00FB6EEB">
            <w:pPr>
              <w:pStyle w:val="Text"/>
            </w:pPr>
            <w:r w:rsidRPr="003C2BC2">
              <w:t xml:space="preserve">Material costs </w:t>
            </w:r>
          </w:p>
          <w:p w14:paraId="4CA63E15" w14:textId="77777777" w:rsidR="00377F6B" w:rsidRPr="003C2BC2" w:rsidRDefault="00377F6B" w:rsidP="00FB6EEB">
            <w:pPr>
              <w:pStyle w:val="Text"/>
            </w:pPr>
            <w:r w:rsidRPr="003C2BC2">
              <w:t>Total (in EUR)</w:t>
            </w:r>
          </w:p>
        </w:tc>
      </w:tr>
      <w:tr w:rsidR="00377F6B" w:rsidRPr="003C2BC2" w14:paraId="19C7EBED" w14:textId="77777777" w:rsidTr="003D62F7">
        <w:trPr>
          <w:trHeight w:val="368"/>
        </w:trPr>
        <w:tc>
          <w:tcPr>
            <w:tcW w:w="1129" w:type="dxa"/>
            <w:vAlign w:val="center"/>
          </w:tcPr>
          <w:p w14:paraId="7A4932F4" w14:textId="77777777" w:rsidR="00377F6B" w:rsidRPr="003C2BC2" w:rsidRDefault="00377F6B" w:rsidP="00FB6EEB">
            <w:pPr>
              <w:pStyle w:val="Text"/>
            </w:pPr>
            <w:r w:rsidRPr="003C2BC2">
              <w:t>2</w:t>
            </w:r>
          </w:p>
        </w:tc>
        <w:tc>
          <w:tcPr>
            <w:tcW w:w="1417" w:type="dxa"/>
            <w:vAlign w:val="center"/>
          </w:tcPr>
          <w:p w14:paraId="6534C196" w14:textId="77777777" w:rsidR="00377F6B" w:rsidRPr="003C2BC2" w:rsidRDefault="00377F6B" w:rsidP="00FB6EEB">
            <w:pPr>
              <w:pStyle w:val="Text"/>
            </w:pPr>
            <w:r w:rsidRPr="003C2BC2">
              <w:t>4</w:t>
            </w:r>
          </w:p>
        </w:tc>
        <w:tc>
          <w:tcPr>
            <w:tcW w:w="1413" w:type="dxa"/>
            <w:vAlign w:val="center"/>
          </w:tcPr>
          <w:p w14:paraId="33F37694" w14:textId="77777777" w:rsidR="00377F6B" w:rsidRPr="003C2BC2" w:rsidRDefault="00377F6B" w:rsidP="00FB6EEB">
            <w:pPr>
              <w:pStyle w:val="Text"/>
            </w:pPr>
            <w:r w:rsidRPr="003C2BC2">
              <w:t>48.10</w:t>
            </w:r>
          </w:p>
        </w:tc>
        <w:tc>
          <w:tcPr>
            <w:tcW w:w="1984" w:type="dxa"/>
            <w:tcBorders>
              <w:right w:val="single" w:sz="12" w:space="0" w:color="auto"/>
            </w:tcBorders>
            <w:vAlign w:val="center"/>
          </w:tcPr>
          <w:p w14:paraId="1E18D280" w14:textId="77777777" w:rsidR="00377F6B" w:rsidRPr="003C2BC2" w:rsidRDefault="00377F6B" w:rsidP="00FB6EEB">
            <w:pPr>
              <w:pStyle w:val="Text"/>
            </w:pPr>
            <w:r w:rsidRPr="003C2BC2">
              <w:t>0</w:t>
            </w:r>
          </w:p>
        </w:tc>
        <w:tc>
          <w:tcPr>
            <w:tcW w:w="1559" w:type="dxa"/>
            <w:tcBorders>
              <w:left w:val="single" w:sz="12" w:space="0" w:color="auto"/>
            </w:tcBorders>
            <w:vAlign w:val="center"/>
          </w:tcPr>
          <w:p w14:paraId="39503DF6" w14:textId="77777777" w:rsidR="00377F6B" w:rsidRPr="003C2BC2" w:rsidRDefault="00377F6B" w:rsidP="00FB6EEB">
            <w:pPr>
              <w:pStyle w:val="Text"/>
            </w:pPr>
            <w:r w:rsidRPr="003C2BC2">
              <w:t>385</w:t>
            </w:r>
          </w:p>
        </w:tc>
        <w:tc>
          <w:tcPr>
            <w:tcW w:w="1701" w:type="dxa"/>
            <w:tcBorders>
              <w:right w:val="single" w:sz="8" w:space="0" w:color="auto"/>
            </w:tcBorders>
            <w:vAlign w:val="center"/>
          </w:tcPr>
          <w:p w14:paraId="5665C874" w14:textId="77777777" w:rsidR="00377F6B" w:rsidRPr="003C2BC2" w:rsidRDefault="00377F6B" w:rsidP="00FB6EEB">
            <w:pPr>
              <w:pStyle w:val="Text"/>
            </w:pPr>
            <w:r w:rsidRPr="003C2BC2">
              <w:t>0</w:t>
            </w:r>
          </w:p>
        </w:tc>
      </w:tr>
      <w:tr w:rsidR="00377F6B" w:rsidRPr="003C2BC2" w14:paraId="0AAAFD00" w14:textId="77777777" w:rsidTr="003D62F7">
        <w:trPr>
          <w:trHeight w:val="368"/>
        </w:trPr>
        <w:tc>
          <w:tcPr>
            <w:tcW w:w="5944" w:type="dxa"/>
            <w:gridSpan w:val="4"/>
            <w:tcBorders>
              <w:right w:val="single" w:sz="12" w:space="0" w:color="auto"/>
            </w:tcBorders>
            <w:shd w:val="clear" w:color="auto" w:fill="BFBFBF"/>
            <w:vAlign w:val="center"/>
          </w:tcPr>
          <w:p w14:paraId="25B29826" w14:textId="77777777" w:rsidR="00377F6B" w:rsidRPr="003C2BC2" w:rsidRDefault="00377F6B" w:rsidP="00FB6EEB">
            <w:pPr>
              <w:pStyle w:val="Text"/>
            </w:pPr>
            <w:r w:rsidRPr="003C2BC2">
              <w:t>One-off conversion costs (in EUR)</w:t>
            </w:r>
          </w:p>
        </w:tc>
        <w:tc>
          <w:tcPr>
            <w:tcW w:w="3260" w:type="dxa"/>
            <w:gridSpan w:val="2"/>
            <w:tcBorders>
              <w:left w:val="single" w:sz="12" w:space="0" w:color="auto"/>
              <w:bottom w:val="single" w:sz="8" w:space="0" w:color="auto"/>
              <w:right w:val="single" w:sz="8" w:space="0" w:color="auto"/>
            </w:tcBorders>
            <w:vAlign w:val="center"/>
          </w:tcPr>
          <w:p w14:paraId="4F83B45C" w14:textId="77777777" w:rsidR="00377F6B" w:rsidRPr="003C2BC2" w:rsidRDefault="00377F6B" w:rsidP="00FB6EEB">
            <w:pPr>
              <w:pStyle w:val="Text"/>
            </w:pPr>
            <w:r w:rsidRPr="003C2BC2">
              <w:t>385</w:t>
            </w:r>
          </w:p>
        </w:tc>
      </w:tr>
    </w:tbl>
    <w:p w14:paraId="30C80C76" w14:textId="3AC19FCE" w:rsidR="00377F6B" w:rsidRPr="003C2BC2" w:rsidRDefault="00377F6B" w:rsidP="00FB6EEB">
      <w:pPr>
        <w:spacing w:before="240"/>
        <w:rPr>
          <w:rFonts w:eastAsia="Times New Roman"/>
          <w:bCs/>
          <w:color w:val="000000"/>
        </w:rPr>
      </w:pPr>
      <w:r w:rsidRPr="003C2BC2">
        <w:rPr>
          <w:color w:val="000000"/>
        </w:rPr>
        <w:t>Annual compliance costs:</w:t>
      </w:r>
    </w:p>
    <w:tbl>
      <w:tblPr>
        <w:tblStyle w:val="TableGrid"/>
        <w:tblW w:w="9204" w:type="dxa"/>
        <w:tblLayout w:type="fixed"/>
        <w:tblLook w:val="04A0" w:firstRow="1" w:lastRow="0" w:firstColumn="1" w:lastColumn="0" w:noHBand="0" w:noVBand="1"/>
      </w:tblPr>
      <w:tblGrid>
        <w:gridCol w:w="1129"/>
        <w:gridCol w:w="1417"/>
        <w:gridCol w:w="1413"/>
        <w:gridCol w:w="1985"/>
        <w:gridCol w:w="1701"/>
        <w:gridCol w:w="1559"/>
      </w:tblGrid>
      <w:tr w:rsidR="00377F6B" w:rsidRPr="003C2BC2" w14:paraId="559C13FE" w14:textId="77777777" w:rsidTr="003D62F7">
        <w:tc>
          <w:tcPr>
            <w:tcW w:w="1129" w:type="dxa"/>
            <w:shd w:val="clear" w:color="auto" w:fill="BFBFBF"/>
          </w:tcPr>
          <w:p w14:paraId="0592CC22" w14:textId="77777777" w:rsidR="00377F6B" w:rsidRPr="003C2BC2" w:rsidRDefault="00377F6B" w:rsidP="00FB6EEB">
            <w:pPr>
              <w:pStyle w:val="Text"/>
            </w:pPr>
            <w:r w:rsidRPr="003C2BC2">
              <w:t>Number of cases</w:t>
            </w:r>
          </w:p>
        </w:tc>
        <w:tc>
          <w:tcPr>
            <w:tcW w:w="1417" w:type="dxa"/>
            <w:shd w:val="clear" w:color="auto" w:fill="BFBFBF"/>
          </w:tcPr>
          <w:p w14:paraId="6BADEFD8" w14:textId="77777777" w:rsidR="00377F6B" w:rsidRPr="003C2BC2" w:rsidRDefault="00377F6B" w:rsidP="00FB6EEB">
            <w:pPr>
              <w:pStyle w:val="Text"/>
            </w:pPr>
            <w:r w:rsidRPr="003C2BC2">
              <w:t>Time spent per case (in h)</w:t>
            </w:r>
          </w:p>
        </w:tc>
        <w:tc>
          <w:tcPr>
            <w:tcW w:w="1413" w:type="dxa"/>
            <w:shd w:val="clear" w:color="auto" w:fill="BFBFBF"/>
          </w:tcPr>
          <w:p w14:paraId="0AD713DA"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782158B3" w14:textId="77777777" w:rsidR="00377F6B" w:rsidRPr="003C2BC2" w:rsidRDefault="00377F6B" w:rsidP="00FB6EEB">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3254C84F" w14:textId="77777777" w:rsidR="00377F6B" w:rsidRPr="003C2BC2" w:rsidRDefault="00377F6B" w:rsidP="00FB6EEB">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79954D25" w14:textId="77777777" w:rsidR="00377F6B" w:rsidRPr="003C2BC2" w:rsidRDefault="00377F6B" w:rsidP="00FB6EEB">
            <w:pPr>
              <w:pStyle w:val="Text"/>
            </w:pPr>
            <w:r w:rsidRPr="003C2BC2">
              <w:t xml:space="preserve">Material costs </w:t>
            </w:r>
          </w:p>
          <w:p w14:paraId="6FBD8B76" w14:textId="77777777" w:rsidR="00377F6B" w:rsidRPr="003C2BC2" w:rsidRDefault="00377F6B" w:rsidP="00FB6EEB">
            <w:pPr>
              <w:pStyle w:val="Text"/>
            </w:pPr>
            <w:r w:rsidRPr="003C2BC2">
              <w:t>Total (in EUR)</w:t>
            </w:r>
          </w:p>
        </w:tc>
      </w:tr>
      <w:tr w:rsidR="00377F6B" w:rsidRPr="003C2BC2" w14:paraId="6EBD31CB" w14:textId="77777777" w:rsidTr="003D62F7">
        <w:trPr>
          <w:trHeight w:val="368"/>
        </w:trPr>
        <w:tc>
          <w:tcPr>
            <w:tcW w:w="1129" w:type="dxa"/>
            <w:vAlign w:val="center"/>
          </w:tcPr>
          <w:p w14:paraId="5FB7E74A" w14:textId="77777777" w:rsidR="00377F6B" w:rsidRPr="003C2BC2" w:rsidRDefault="00377F6B" w:rsidP="00FB6EEB">
            <w:pPr>
              <w:pStyle w:val="Text"/>
            </w:pPr>
            <w:r w:rsidRPr="003C2BC2">
              <w:t>2</w:t>
            </w:r>
          </w:p>
        </w:tc>
        <w:tc>
          <w:tcPr>
            <w:tcW w:w="1417" w:type="dxa"/>
            <w:vAlign w:val="center"/>
          </w:tcPr>
          <w:p w14:paraId="2D30F0EE" w14:textId="77777777" w:rsidR="00377F6B" w:rsidRPr="003C2BC2" w:rsidRDefault="00377F6B" w:rsidP="00FB6EEB">
            <w:pPr>
              <w:pStyle w:val="Text"/>
            </w:pPr>
            <w:r w:rsidRPr="003C2BC2">
              <w:t>2</w:t>
            </w:r>
          </w:p>
        </w:tc>
        <w:tc>
          <w:tcPr>
            <w:tcW w:w="1413" w:type="dxa"/>
            <w:vAlign w:val="center"/>
          </w:tcPr>
          <w:p w14:paraId="49979548" w14:textId="77777777" w:rsidR="00377F6B" w:rsidRPr="003C2BC2" w:rsidRDefault="00377F6B" w:rsidP="00FB6EEB">
            <w:pPr>
              <w:pStyle w:val="Text"/>
            </w:pPr>
            <w:r w:rsidRPr="003C2BC2">
              <w:t>48.10</w:t>
            </w:r>
          </w:p>
        </w:tc>
        <w:tc>
          <w:tcPr>
            <w:tcW w:w="1984" w:type="dxa"/>
            <w:tcBorders>
              <w:right w:val="single" w:sz="12" w:space="0" w:color="auto"/>
            </w:tcBorders>
            <w:vAlign w:val="center"/>
          </w:tcPr>
          <w:p w14:paraId="5746B52F"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4EA1B799" w14:textId="77777777" w:rsidR="00377F6B" w:rsidRPr="003C2BC2" w:rsidRDefault="00377F6B" w:rsidP="00FB6EEB">
            <w:pPr>
              <w:pStyle w:val="Text"/>
            </w:pPr>
            <w:r w:rsidRPr="003C2BC2">
              <w:t>192</w:t>
            </w:r>
          </w:p>
        </w:tc>
        <w:tc>
          <w:tcPr>
            <w:tcW w:w="1559" w:type="dxa"/>
            <w:tcBorders>
              <w:right w:val="single" w:sz="8" w:space="0" w:color="auto"/>
            </w:tcBorders>
            <w:vAlign w:val="center"/>
          </w:tcPr>
          <w:p w14:paraId="2D0D3529" w14:textId="77777777" w:rsidR="00377F6B" w:rsidRPr="003C2BC2" w:rsidRDefault="00377F6B" w:rsidP="00FB6EEB">
            <w:pPr>
              <w:pStyle w:val="Text"/>
            </w:pPr>
            <w:r w:rsidRPr="003C2BC2">
              <w:t>0</w:t>
            </w:r>
          </w:p>
        </w:tc>
      </w:tr>
      <w:tr w:rsidR="00377F6B" w:rsidRPr="003C2BC2" w14:paraId="4C2C14A2" w14:textId="77777777" w:rsidTr="003D62F7">
        <w:trPr>
          <w:trHeight w:val="368"/>
        </w:trPr>
        <w:tc>
          <w:tcPr>
            <w:tcW w:w="5944" w:type="dxa"/>
            <w:gridSpan w:val="4"/>
            <w:tcBorders>
              <w:right w:val="single" w:sz="12" w:space="0" w:color="auto"/>
            </w:tcBorders>
            <w:shd w:val="clear" w:color="auto" w:fill="BFBFBF"/>
            <w:vAlign w:val="center"/>
          </w:tcPr>
          <w:p w14:paraId="6B2C3905"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1A9473D3" w14:textId="77777777" w:rsidR="00377F6B" w:rsidRPr="003C2BC2" w:rsidRDefault="00377F6B" w:rsidP="00FB6EEB">
            <w:pPr>
              <w:pStyle w:val="Text"/>
            </w:pPr>
            <w:r w:rsidRPr="003C2BC2">
              <w:t>192</w:t>
            </w:r>
          </w:p>
        </w:tc>
      </w:tr>
    </w:tbl>
    <w:p w14:paraId="3F1FD358" w14:textId="5F9C4F5B" w:rsidR="00377F6B" w:rsidRPr="003C2BC2" w:rsidRDefault="00377F6B" w:rsidP="00FB6EEB">
      <w:pPr>
        <w:spacing w:before="240"/>
        <w:rPr>
          <w:rFonts w:eastAsia="Times New Roman"/>
          <w:bCs/>
          <w:color w:val="000000"/>
        </w:rPr>
      </w:pPr>
      <w:proofErr w:type="spellStart"/>
      <w:r w:rsidRPr="003C2BC2">
        <w:rPr>
          <w:color w:val="000000"/>
        </w:rPr>
        <w:t>bbb</w:t>
      </w:r>
      <w:proofErr w:type="spellEnd"/>
      <w:r w:rsidRPr="003C2BC2">
        <w:rPr>
          <w:color w:val="000000"/>
        </w:rPr>
        <w:t>) Advisory activities of the single-use plastics commission (Requirement 49)</w:t>
      </w:r>
    </w:p>
    <w:p w14:paraId="42FBB514" w14:textId="0B57BEDB" w:rsidR="00377F6B" w:rsidRPr="003C2BC2" w:rsidRDefault="00377F6B" w:rsidP="00FB6EEB">
      <w:pPr>
        <w:rPr>
          <w:rFonts w:eastAsia="Times New Roman"/>
          <w:bCs/>
          <w:color w:val="000000"/>
        </w:rPr>
      </w:pPr>
      <w:r w:rsidRPr="003C2BC2">
        <w:rPr>
          <w:color w:val="000000"/>
        </w:rPr>
        <w:t>The single-use plastics commission is an advisory body whose members do not receive any remuneration or reimbursement of expenses. The meeting schedule for the single-use plastics commission must be established once the members have been appointed. It is assumed that the commission will meet twice a year for a period of 2 to 3 days, so that 5 days per year (5 x 8 hours = 40 hours) can be expected. Assuming the representatives for the environmental associations will be at management level (highest skill level), an hourly rate of EUR 48.10 is estimated (Private sector S – Provision of other services, high skill level); according to the ‘Private sector’ wage cost table, Annex VI of the Guide to Calculating and Setting Out Compliance Costs for Regulatory Projects of the Federal Government).</w:t>
      </w:r>
    </w:p>
    <w:p w14:paraId="4D5E9F80" w14:textId="77777777" w:rsidR="00377F6B" w:rsidRPr="003C2BC2" w:rsidRDefault="00377F6B" w:rsidP="00FB6EEB">
      <w:pPr>
        <w:rPr>
          <w:rFonts w:eastAsia="Times New Roman"/>
          <w:bCs/>
          <w:color w:val="000000"/>
        </w:rPr>
      </w:pPr>
      <w:r w:rsidRPr="003C2BC2">
        <w:rPr>
          <w:color w:val="000000"/>
        </w:rPr>
        <w:t>Annual compliance costs:</w:t>
      </w:r>
    </w:p>
    <w:tbl>
      <w:tblPr>
        <w:tblStyle w:val="TableGrid"/>
        <w:tblW w:w="9204" w:type="dxa"/>
        <w:tblLayout w:type="fixed"/>
        <w:tblLook w:val="04A0" w:firstRow="1" w:lastRow="0" w:firstColumn="1" w:lastColumn="0" w:noHBand="0" w:noVBand="1"/>
      </w:tblPr>
      <w:tblGrid>
        <w:gridCol w:w="1129"/>
        <w:gridCol w:w="1417"/>
        <w:gridCol w:w="1413"/>
        <w:gridCol w:w="1985"/>
        <w:gridCol w:w="1701"/>
        <w:gridCol w:w="1559"/>
      </w:tblGrid>
      <w:tr w:rsidR="00377F6B" w:rsidRPr="003C2BC2" w14:paraId="1E6628CB" w14:textId="77777777" w:rsidTr="003D62F7">
        <w:tc>
          <w:tcPr>
            <w:tcW w:w="1129" w:type="dxa"/>
            <w:shd w:val="clear" w:color="auto" w:fill="BFBFBF"/>
          </w:tcPr>
          <w:p w14:paraId="4219C62B" w14:textId="77777777" w:rsidR="00377F6B" w:rsidRPr="003C2BC2" w:rsidRDefault="00377F6B" w:rsidP="00FB6EEB">
            <w:pPr>
              <w:pStyle w:val="Text"/>
            </w:pPr>
            <w:r w:rsidRPr="003C2BC2">
              <w:t>Number of cases</w:t>
            </w:r>
          </w:p>
        </w:tc>
        <w:tc>
          <w:tcPr>
            <w:tcW w:w="1417" w:type="dxa"/>
            <w:shd w:val="clear" w:color="auto" w:fill="BFBFBF"/>
          </w:tcPr>
          <w:p w14:paraId="71D44333" w14:textId="77777777" w:rsidR="00377F6B" w:rsidRPr="003C2BC2" w:rsidRDefault="00377F6B" w:rsidP="00FB6EEB">
            <w:pPr>
              <w:pStyle w:val="Text"/>
            </w:pPr>
            <w:r w:rsidRPr="003C2BC2">
              <w:t>Time spent per case (in h)</w:t>
            </w:r>
          </w:p>
        </w:tc>
        <w:tc>
          <w:tcPr>
            <w:tcW w:w="1413" w:type="dxa"/>
            <w:shd w:val="clear" w:color="auto" w:fill="BFBFBF"/>
          </w:tcPr>
          <w:p w14:paraId="7722E4B9"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10AD8E50" w14:textId="77777777" w:rsidR="00377F6B" w:rsidRPr="003C2BC2" w:rsidRDefault="00377F6B" w:rsidP="00FB6EEB">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6D394556" w14:textId="77777777" w:rsidR="00377F6B" w:rsidRPr="003C2BC2" w:rsidRDefault="00377F6B" w:rsidP="00FB6EEB">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4925EFE0" w14:textId="77777777" w:rsidR="00377F6B" w:rsidRPr="003C2BC2" w:rsidRDefault="00377F6B" w:rsidP="00FB6EEB">
            <w:pPr>
              <w:pStyle w:val="Text"/>
            </w:pPr>
            <w:r w:rsidRPr="003C2BC2">
              <w:t xml:space="preserve">Material costs </w:t>
            </w:r>
          </w:p>
          <w:p w14:paraId="4F703320" w14:textId="77777777" w:rsidR="00377F6B" w:rsidRPr="003C2BC2" w:rsidRDefault="00377F6B" w:rsidP="00FB6EEB">
            <w:pPr>
              <w:pStyle w:val="Text"/>
            </w:pPr>
            <w:r w:rsidRPr="003C2BC2">
              <w:t>Total (in EUR)</w:t>
            </w:r>
          </w:p>
        </w:tc>
      </w:tr>
      <w:tr w:rsidR="00377F6B" w:rsidRPr="003C2BC2" w14:paraId="4C8A72EF" w14:textId="77777777" w:rsidTr="003D62F7">
        <w:trPr>
          <w:trHeight w:val="368"/>
        </w:trPr>
        <w:tc>
          <w:tcPr>
            <w:tcW w:w="1129" w:type="dxa"/>
            <w:vAlign w:val="center"/>
          </w:tcPr>
          <w:p w14:paraId="5037C93D" w14:textId="77777777" w:rsidR="00377F6B" w:rsidRPr="003C2BC2" w:rsidRDefault="00377F6B" w:rsidP="00FB6EEB">
            <w:pPr>
              <w:pStyle w:val="Text"/>
            </w:pPr>
            <w:r w:rsidRPr="003C2BC2">
              <w:t>1</w:t>
            </w:r>
          </w:p>
        </w:tc>
        <w:tc>
          <w:tcPr>
            <w:tcW w:w="1417" w:type="dxa"/>
            <w:vAlign w:val="center"/>
          </w:tcPr>
          <w:p w14:paraId="07300CAB" w14:textId="77777777" w:rsidR="00377F6B" w:rsidRPr="003C2BC2" w:rsidRDefault="00377F6B" w:rsidP="00FB6EEB">
            <w:pPr>
              <w:pStyle w:val="Text"/>
            </w:pPr>
            <w:r w:rsidRPr="003C2BC2">
              <w:t>40</w:t>
            </w:r>
          </w:p>
        </w:tc>
        <w:tc>
          <w:tcPr>
            <w:tcW w:w="1413" w:type="dxa"/>
            <w:vAlign w:val="center"/>
          </w:tcPr>
          <w:p w14:paraId="5962B7FD" w14:textId="77777777" w:rsidR="00377F6B" w:rsidRPr="003C2BC2" w:rsidRDefault="00377F6B" w:rsidP="00FB6EEB">
            <w:pPr>
              <w:pStyle w:val="Text"/>
            </w:pPr>
            <w:r w:rsidRPr="003C2BC2">
              <w:t>48.10</w:t>
            </w:r>
          </w:p>
        </w:tc>
        <w:tc>
          <w:tcPr>
            <w:tcW w:w="1984" w:type="dxa"/>
            <w:tcBorders>
              <w:right w:val="single" w:sz="12" w:space="0" w:color="auto"/>
            </w:tcBorders>
            <w:vAlign w:val="center"/>
          </w:tcPr>
          <w:p w14:paraId="3B3943C5"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1EE9B4C2" w14:textId="77777777" w:rsidR="00377F6B" w:rsidRPr="003C2BC2" w:rsidRDefault="00377F6B" w:rsidP="00FB6EEB">
            <w:pPr>
              <w:pStyle w:val="Text"/>
            </w:pPr>
            <w:r w:rsidRPr="003C2BC2">
              <w:t>1 924</w:t>
            </w:r>
          </w:p>
        </w:tc>
        <w:tc>
          <w:tcPr>
            <w:tcW w:w="1559" w:type="dxa"/>
            <w:tcBorders>
              <w:right w:val="single" w:sz="8" w:space="0" w:color="auto"/>
            </w:tcBorders>
            <w:vAlign w:val="center"/>
          </w:tcPr>
          <w:p w14:paraId="06C8484D" w14:textId="77777777" w:rsidR="00377F6B" w:rsidRPr="003C2BC2" w:rsidRDefault="00377F6B" w:rsidP="00FB6EEB">
            <w:pPr>
              <w:pStyle w:val="Text"/>
            </w:pPr>
            <w:r w:rsidRPr="003C2BC2">
              <w:t>0</w:t>
            </w:r>
          </w:p>
        </w:tc>
      </w:tr>
      <w:tr w:rsidR="00377F6B" w:rsidRPr="003C2BC2" w14:paraId="4794736B" w14:textId="77777777" w:rsidTr="003D62F7">
        <w:trPr>
          <w:trHeight w:val="368"/>
        </w:trPr>
        <w:tc>
          <w:tcPr>
            <w:tcW w:w="5944" w:type="dxa"/>
            <w:gridSpan w:val="4"/>
            <w:tcBorders>
              <w:right w:val="single" w:sz="12" w:space="0" w:color="auto"/>
            </w:tcBorders>
            <w:shd w:val="clear" w:color="auto" w:fill="BFBFBF"/>
            <w:vAlign w:val="center"/>
          </w:tcPr>
          <w:p w14:paraId="7668272B"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14B38F7D" w14:textId="77777777" w:rsidR="00377F6B" w:rsidRPr="003C2BC2" w:rsidRDefault="00377F6B" w:rsidP="00FB6EEB">
            <w:pPr>
              <w:pStyle w:val="Text"/>
            </w:pPr>
            <w:r w:rsidRPr="003C2BC2">
              <w:t>1 924</w:t>
            </w:r>
          </w:p>
        </w:tc>
      </w:tr>
    </w:tbl>
    <w:p w14:paraId="5953C985" w14:textId="6C7B29BD" w:rsidR="00377F6B" w:rsidRPr="003C2BC2" w:rsidRDefault="000900FD" w:rsidP="00FB6EEB">
      <w:pPr>
        <w:spacing w:before="240"/>
        <w:rPr>
          <w:rFonts w:eastAsia="Times New Roman"/>
          <w:bCs/>
          <w:color w:val="000000"/>
        </w:rPr>
      </w:pPr>
      <w:r w:rsidRPr="003C2BC2">
        <w:rPr>
          <w:color w:val="000000"/>
        </w:rPr>
        <w:t>dd) Consumer protection associations</w:t>
      </w:r>
    </w:p>
    <w:p w14:paraId="7E66CC7A" w14:textId="5CFAAC4B" w:rsidR="00377F6B" w:rsidRPr="003C2BC2" w:rsidRDefault="00377F6B" w:rsidP="00FB6EEB">
      <w:pPr>
        <w:rPr>
          <w:rFonts w:eastAsia="Times New Roman"/>
          <w:bCs/>
          <w:color w:val="000000"/>
        </w:rPr>
      </w:pPr>
      <w:proofErr w:type="spellStart"/>
      <w:r w:rsidRPr="003C2BC2">
        <w:rPr>
          <w:color w:val="000000"/>
        </w:rPr>
        <w:t>aaa</w:t>
      </w:r>
      <w:proofErr w:type="spellEnd"/>
      <w:r w:rsidRPr="003C2BC2">
        <w:rPr>
          <w:color w:val="000000"/>
        </w:rPr>
        <w:t>) Appointment of single-use plastics commission members (Requirement 53)</w:t>
      </w:r>
    </w:p>
    <w:p w14:paraId="48BF6A5E" w14:textId="0F14D772" w:rsidR="00377F6B" w:rsidRPr="003C2BC2" w:rsidRDefault="00377F6B" w:rsidP="00FB6EEB">
      <w:pPr>
        <w:rPr>
          <w:rFonts w:eastAsia="Times New Roman"/>
          <w:bCs/>
          <w:color w:val="000000"/>
        </w:rPr>
      </w:pPr>
      <w:r w:rsidRPr="003C2BC2">
        <w:rPr>
          <w:color w:val="000000"/>
        </w:rPr>
        <w:t>In accordance with Article 1 Section 24(1) subparagraph 6, the consumer protection associations may send one representative to the single-use plastics commission. The reader is referred to the statements made concerning</w:t>
      </w:r>
      <w:r w:rsidRPr="003C2BC2">
        <w:t xml:space="preserve"> </w:t>
      </w:r>
      <w:r w:rsidRPr="003C2BC2">
        <w:rPr>
          <w:color w:val="000000"/>
        </w:rPr>
        <w:t xml:space="preserve">environmental and nature conservation associations. In accordance with Section 12(11) of the foundation statutes of the Central Agency Packaging Register, there is only one relevant umbrella organisation that can coordinate </w:t>
      </w:r>
      <w:r w:rsidRPr="003C2BC2">
        <w:rPr>
          <w:color w:val="000000"/>
        </w:rPr>
        <w:lastRenderedPageBreak/>
        <w:t xml:space="preserve">the appointment, namely the </w:t>
      </w:r>
      <w:proofErr w:type="spellStart"/>
      <w:r w:rsidRPr="003C2BC2">
        <w:rPr>
          <w:color w:val="000000"/>
        </w:rPr>
        <w:t>Bundesverband</w:t>
      </w:r>
      <w:proofErr w:type="spellEnd"/>
      <w:r w:rsidRPr="003C2BC2">
        <w:rPr>
          <w:color w:val="000000"/>
        </w:rPr>
        <w:t xml:space="preserve"> der </w:t>
      </w:r>
      <w:proofErr w:type="spellStart"/>
      <w:r w:rsidRPr="003C2BC2">
        <w:rPr>
          <w:color w:val="000000"/>
        </w:rPr>
        <w:t>Verbraucherzentralen</w:t>
      </w:r>
      <w:proofErr w:type="spellEnd"/>
      <w:r w:rsidRPr="003C2BC2">
        <w:rPr>
          <w:color w:val="000000"/>
        </w:rPr>
        <w:t xml:space="preserve"> und </w:t>
      </w:r>
      <w:proofErr w:type="spellStart"/>
      <w:r w:rsidRPr="003C2BC2">
        <w:rPr>
          <w:color w:val="000000"/>
        </w:rPr>
        <w:t>Verbraucherverbände</w:t>
      </w:r>
      <w:proofErr w:type="spellEnd"/>
      <w:r w:rsidRPr="003C2BC2">
        <w:rPr>
          <w:color w:val="000000"/>
        </w:rPr>
        <w:t xml:space="preserve"> – </w:t>
      </w:r>
      <w:proofErr w:type="spellStart"/>
      <w:r w:rsidRPr="003C2BC2">
        <w:rPr>
          <w:color w:val="000000"/>
        </w:rPr>
        <w:t>Verbraucherzentrale</w:t>
      </w:r>
      <w:proofErr w:type="spellEnd"/>
      <w:r w:rsidRPr="003C2BC2">
        <w:rPr>
          <w:color w:val="000000"/>
        </w:rPr>
        <w:t xml:space="preserve"> </w:t>
      </w:r>
      <w:proofErr w:type="spellStart"/>
      <w:r w:rsidRPr="003C2BC2">
        <w:rPr>
          <w:color w:val="000000"/>
        </w:rPr>
        <w:t>Bundesverband</w:t>
      </w:r>
      <w:proofErr w:type="spellEnd"/>
      <w:r w:rsidRPr="003C2BC2">
        <w:rPr>
          <w:color w:val="000000"/>
        </w:rPr>
        <w:t xml:space="preserve"> </w:t>
      </w:r>
      <w:proofErr w:type="spellStart"/>
      <w:r w:rsidRPr="003C2BC2">
        <w:rPr>
          <w:color w:val="000000"/>
        </w:rPr>
        <w:t>e.V.</w:t>
      </w:r>
      <w:proofErr w:type="spellEnd"/>
      <w:r w:rsidRPr="003C2BC2">
        <w:rPr>
          <w:color w:val="000000"/>
        </w:rPr>
        <w:t xml:space="preserve"> Here, experience shows that a half-day meeting of four hours will be required for the initial appointment and a two-hour meeting for the annual review. The aim of the meetings will be to reach consensus on the proper division of seats in the single-use plastics commission, which entails corresponding opportunities to exert influence. It can therefore be assumed that the meetings will be complex, also requiring the presence of managers (high skill level) (Private sector S – Provision of other services, high skill level; according to the ‘Private sector’ wage cost table (Annex VI of the Guide to Calculating and Setting Out Compliance Costs for Regulatory Projects of the Federal Government), an hourly rate of EUR 48.10 is estimated).</w:t>
      </w:r>
    </w:p>
    <w:p w14:paraId="72607056" w14:textId="77777777" w:rsidR="00377F6B" w:rsidRPr="003C2BC2" w:rsidRDefault="00377F6B" w:rsidP="00FB6EEB">
      <w:pPr>
        <w:rPr>
          <w:rFonts w:eastAsia="Times New Roman"/>
          <w:bCs/>
          <w:color w:val="000000"/>
        </w:rPr>
      </w:pPr>
      <w:r w:rsidRPr="003C2BC2">
        <w:rPr>
          <w:color w:val="000000"/>
        </w:rPr>
        <w:t>One-off conversion costs:</w:t>
      </w:r>
    </w:p>
    <w:tbl>
      <w:tblPr>
        <w:tblStyle w:val="TableGrid"/>
        <w:tblW w:w="9204" w:type="dxa"/>
        <w:tblLayout w:type="fixed"/>
        <w:tblLook w:val="04A0" w:firstRow="1" w:lastRow="0" w:firstColumn="1" w:lastColumn="0" w:noHBand="0" w:noVBand="1"/>
      </w:tblPr>
      <w:tblGrid>
        <w:gridCol w:w="1129"/>
        <w:gridCol w:w="1417"/>
        <w:gridCol w:w="1413"/>
        <w:gridCol w:w="1985"/>
        <w:gridCol w:w="1559"/>
        <w:gridCol w:w="1701"/>
      </w:tblGrid>
      <w:tr w:rsidR="00377F6B" w:rsidRPr="003C2BC2" w14:paraId="37D81BE9" w14:textId="77777777" w:rsidTr="003D62F7">
        <w:tc>
          <w:tcPr>
            <w:tcW w:w="1129" w:type="dxa"/>
            <w:shd w:val="clear" w:color="auto" w:fill="BFBFBF"/>
          </w:tcPr>
          <w:p w14:paraId="78C28B6D" w14:textId="77777777" w:rsidR="00377F6B" w:rsidRPr="003C2BC2" w:rsidRDefault="00377F6B" w:rsidP="00FB6EEB">
            <w:pPr>
              <w:pStyle w:val="Text"/>
            </w:pPr>
            <w:r w:rsidRPr="003C2BC2">
              <w:t>Number of cases</w:t>
            </w:r>
          </w:p>
        </w:tc>
        <w:tc>
          <w:tcPr>
            <w:tcW w:w="1417" w:type="dxa"/>
            <w:shd w:val="clear" w:color="auto" w:fill="BFBFBF"/>
          </w:tcPr>
          <w:p w14:paraId="5A6BBBEC" w14:textId="77777777" w:rsidR="00377F6B" w:rsidRPr="003C2BC2" w:rsidRDefault="00377F6B" w:rsidP="00FB6EEB">
            <w:pPr>
              <w:pStyle w:val="Text"/>
            </w:pPr>
            <w:r w:rsidRPr="003C2BC2">
              <w:t>Time spent per case (in h)</w:t>
            </w:r>
          </w:p>
        </w:tc>
        <w:tc>
          <w:tcPr>
            <w:tcW w:w="1413" w:type="dxa"/>
            <w:shd w:val="clear" w:color="auto" w:fill="BFBFBF"/>
          </w:tcPr>
          <w:p w14:paraId="72153927"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333E8701" w14:textId="77777777" w:rsidR="00377F6B" w:rsidRPr="003C2BC2" w:rsidRDefault="00377F6B" w:rsidP="00FB6EEB">
            <w:pPr>
              <w:pStyle w:val="Text"/>
            </w:pPr>
            <w:r w:rsidRPr="003C2BC2">
              <w:t>Material costs per case (in EUR)</w:t>
            </w:r>
          </w:p>
        </w:tc>
        <w:tc>
          <w:tcPr>
            <w:tcW w:w="1559" w:type="dxa"/>
            <w:tcBorders>
              <w:top w:val="single" w:sz="8" w:space="0" w:color="auto"/>
              <w:left w:val="single" w:sz="12" w:space="0" w:color="auto"/>
            </w:tcBorders>
            <w:shd w:val="clear" w:color="auto" w:fill="BFBFBF"/>
          </w:tcPr>
          <w:p w14:paraId="00CDF255" w14:textId="77777777" w:rsidR="00377F6B" w:rsidRPr="003C2BC2" w:rsidRDefault="00377F6B" w:rsidP="00FB6EEB">
            <w:pPr>
              <w:pStyle w:val="Text"/>
            </w:pPr>
            <w:r w:rsidRPr="003C2BC2">
              <w:t>Total personnel costs (in EUR)</w:t>
            </w:r>
          </w:p>
        </w:tc>
        <w:tc>
          <w:tcPr>
            <w:tcW w:w="1701" w:type="dxa"/>
            <w:tcBorders>
              <w:top w:val="single" w:sz="8" w:space="0" w:color="auto"/>
              <w:right w:val="single" w:sz="8" w:space="0" w:color="auto"/>
            </w:tcBorders>
            <w:shd w:val="clear" w:color="auto" w:fill="BFBFBF"/>
          </w:tcPr>
          <w:p w14:paraId="77D6467F" w14:textId="77777777" w:rsidR="00377F6B" w:rsidRPr="003C2BC2" w:rsidRDefault="00377F6B" w:rsidP="00FB6EEB">
            <w:pPr>
              <w:pStyle w:val="Text"/>
            </w:pPr>
            <w:r w:rsidRPr="003C2BC2">
              <w:t xml:space="preserve">Material costs </w:t>
            </w:r>
          </w:p>
          <w:p w14:paraId="725B6900" w14:textId="77777777" w:rsidR="00377F6B" w:rsidRPr="003C2BC2" w:rsidRDefault="00377F6B" w:rsidP="00FB6EEB">
            <w:pPr>
              <w:pStyle w:val="Text"/>
            </w:pPr>
            <w:r w:rsidRPr="003C2BC2">
              <w:t>Total (in EUR)</w:t>
            </w:r>
          </w:p>
        </w:tc>
      </w:tr>
      <w:tr w:rsidR="00377F6B" w:rsidRPr="003C2BC2" w14:paraId="3CE4F319" w14:textId="77777777" w:rsidTr="003D62F7">
        <w:trPr>
          <w:trHeight w:val="368"/>
        </w:trPr>
        <w:tc>
          <w:tcPr>
            <w:tcW w:w="1129" w:type="dxa"/>
            <w:vAlign w:val="center"/>
          </w:tcPr>
          <w:p w14:paraId="78B39DAC" w14:textId="77777777" w:rsidR="00377F6B" w:rsidRPr="003C2BC2" w:rsidRDefault="00377F6B" w:rsidP="00FB6EEB">
            <w:pPr>
              <w:pStyle w:val="Text"/>
            </w:pPr>
            <w:r w:rsidRPr="003C2BC2">
              <w:t>1</w:t>
            </w:r>
          </w:p>
        </w:tc>
        <w:tc>
          <w:tcPr>
            <w:tcW w:w="1417" w:type="dxa"/>
            <w:vAlign w:val="center"/>
          </w:tcPr>
          <w:p w14:paraId="1DB4BC22" w14:textId="77777777" w:rsidR="00377F6B" w:rsidRPr="003C2BC2" w:rsidRDefault="00377F6B" w:rsidP="00FB6EEB">
            <w:pPr>
              <w:pStyle w:val="Text"/>
            </w:pPr>
            <w:r w:rsidRPr="003C2BC2">
              <w:t>4</w:t>
            </w:r>
          </w:p>
        </w:tc>
        <w:tc>
          <w:tcPr>
            <w:tcW w:w="1413" w:type="dxa"/>
            <w:vAlign w:val="center"/>
          </w:tcPr>
          <w:p w14:paraId="39A22684" w14:textId="77777777" w:rsidR="00377F6B" w:rsidRPr="003C2BC2" w:rsidRDefault="00377F6B" w:rsidP="00FB6EEB">
            <w:pPr>
              <w:pStyle w:val="Text"/>
            </w:pPr>
            <w:r w:rsidRPr="003C2BC2">
              <w:t>48.10</w:t>
            </w:r>
          </w:p>
        </w:tc>
        <w:tc>
          <w:tcPr>
            <w:tcW w:w="1984" w:type="dxa"/>
            <w:tcBorders>
              <w:right w:val="single" w:sz="12" w:space="0" w:color="auto"/>
            </w:tcBorders>
            <w:vAlign w:val="center"/>
          </w:tcPr>
          <w:p w14:paraId="1CAC5858" w14:textId="77777777" w:rsidR="00377F6B" w:rsidRPr="003C2BC2" w:rsidRDefault="00377F6B" w:rsidP="00FB6EEB">
            <w:pPr>
              <w:pStyle w:val="Text"/>
            </w:pPr>
            <w:r w:rsidRPr="003C2BC2">
              <w:t>0</w:t>
            </w:r>
          </w:p>
        </w:tc>
        <w:tc>
          <w:tcPr>
            <w:tcW w:w="1559" w:type="dxa"/>
            <w:tcBorders>
              <w:left w:val="single" w:sz="12" w:space="0" w:color="auto"/>
            </w:tcBorders>
            <w:vAlign w:val="center"/>
          </w:tcPr>
          <w:p w14:paraId="1AC5D8E6" w14:textId="77777777" w:rsidR="00377F6B" w:rsidRPr="003C2BC2" w:rsidRDefault="00377F6B" w:rsidP="00FB6EEB">
            <w:pPr>
              <w:pStyle w:val="Text"/>
            </w:pPr>
            <w:r w:rsidRPr="003C2BC2">
              <w:t>192</w:t>
            </w:r>
          </w:p>
        </w:tc>
        <w:tc>
          <w:tcPr>
            <w:tcW w:w="1701" w:type="dxa"/>
            <w:tcBorders>
              <w:right w:val="single" w:sz="8" w:space="0" w:color="auto"/>
            </w:tcBorders>
            <w:vAlign w:val="center"/>
          </w:tcPr>
          <w:p w14:paraId="331EBA7C" w14:textId="77777777" w:rsidR="00377F6B" w:rsidRPr="003C2BC2" w:rsidRDefault="00377F6B" w:rsidP="00FB6EEB">
            <w:pPr>
              <w:pStyle w:val="Text"/>
            </w:pPr>
            <w:r w:rsidRPr="003C2BC2">
              <w:t>0</w:t>
            </w:r>
          </w:p>
        </w:tc>
      </w:tr>
      <w:tr w:rsidR="00377F6B" w:rsidRPr="003C2BC2" w14:paraId="6F96F2B9" w14:textId="77777777" w:rsidTr="003D62F7">
        <w:trPr>
          <w:trHeight w:val="368"/>
        </w:trPr>
        <w:tc>
          <w:tcPr>
            <w:tcW w:w="5944" w:type="dxa"/>
            <w:gridSpan w:val="4"/>
            <w:tcBorders>
              <w:right w:val="single" w:sz="12" w:space="0" w:color="auto"/>
            </w:tcBorders>
            <w:shd w:val="clear" w:color="auto" w:fill="BFBFBF"/>
            <w:vAlign w:val="center"/>
          </w:tcPr>
          <w:p w14:paraId="364EEDEF" w14:textId="77777777" w:rsidR="00377F6B" w:rsidRPr="003C2BC2" w:rsidRDefault="00377F6B" w:rsidP="00FB6EEB">
            <w:pPr>
              <w:pStyle w:val="Text"/>
            </w:pPr>
            <w:r w:rsidRPr="003C2BC2">
              <w:t>One-off conversion costs (in EUR)</w:t>
            </w:r>
          </w:p>
        </w:tc>
        <w:tc>
          <w:tcPr>
            <w:tcW w:w="3260" w:type="dxa"/>
            <w:gridSpan w:val="2"/>
            <w:tcBorders>
              <w:left w:val="single" w:sz="12" w:space="0" w:color="auto"/>
              <w:bottom w:val="single" w:sz="8" w:space="0" w:color="auto"/>
              <w:right w:val="single" w:sz="8" w:space="0" w:color="auto"/>
            </w:tcBorders>
            <w:vAlign w:val="center"/>
          </w:tcPr>
          <w:p w14:paraId="0D0ABA3A" w14:textId="77777777" w:rsidR="00377F6B" w:rsidRPr="003C2BC2" w:rsidRDefault="00377F6B" w:rsidP="00FB6EEB">
            <w:pPr>
              <w:pStyle w:val="Text"/>
            </w:pPr>
            <w:r w:rsidRPr="003C2BC2">
              <w:t>192</w:t>
            </w:r>
          </w:p>
        </w:tc>
      </w:tr>
    </w:tbl>
    <w:p w14:paraId="1DCE6473" w14:textId="26E50C25" w:rsidR="00377F6B" w:rsidRPr="003C2BC2" w:rsidRDefault="00377F6B" w:rsidP="00FB6EEB">
      <w:pPr>
        <w:spacing w:before="240"/>
        <w:rPr>
          <w:rFonts w:eastAsia="Times New Roman"/>
          <w:bCs/>
          <w:color w:val="000000"/>
        </w:rPr>
      </w:pPr>
      <w:r w:rsidRPr="003C2BC2">
        <w:rPr>
          <w:color w:val="000000"/>
        </w:rPr>
        <w:t>Annual compliance costs:</w:t>
      </w:r>
    </w:p>
    <w:tbl>
      <w:tblPr>
        <w:tblStyle w:val="TableGrid"/>
        <w:tblW w:w="9346" w:type="dxa"/>
        <w:tblLayout w:type="fixed"/>
        <w:tblLook w:val="04A0" w:firstRow="1" w:lastRow="0" w:firstColumn="1" w:lastColumn="0" w:noHBand="0" w:noVBand="1"/>
      </w:tblPr>
      <w:tblGrid>
        <w:gridCol w:w="1271"/>
        <w:gridCol w:w="1417"/>
        <w:gridCol w:w="1413"/>
        <w:gridCol w:w="1985"/>
        <w:gridCol w:w="1701"/>
        <w:gridCol w:w="1559"/>
      </w:tblGrid>
      <w:tr w:rsidR="00377F6B" w:rsidRPr="003C2BC2" w14:paraId="2DD778BF" w14:textId="77777777" w:rsidTr="003D62F7">
        <w:tc>
          <w:tcPr>
            <w:tcW w:w="1271" w:type="dxa"/>
            <w:shd w:val="clear" w:color="auto" w:fill="BFBFBF"/>
          </w:tcPr>
          <w:p w14:paraId="11F051DE" w14:textId="77777777" w:rsidR="00377F6B" w:rsidRPr="003C2BC2" w:rsidRDefault="00377F6B" w:rsidP="00FB6EEB">
            <w:pPr>
              <w:pStyle w:val="Text"/>
            </w:pPr>
            <w:r w:rsidRPr="003C2BC2">
              <w:t>Number of cases</w:t>
            </w:r>
          </w:p>
        </w:tc>
        <w:tc>
          <w:tcPr>
            <w:tcW w:w="1417" w:type="dxa"/>
            <w:shd w:val="clear" w:color="auto" w:fill="BFBFBF"/>
          </w:tcPr>
          <w:p w14:paraId="4B816D11" w14:textId="77777777" w:rsidR="00377F6B" w:rsidRPr="003C2BC2" w:rsidRDefault="00377F6B" w:rsidP="00FB6EEB">
            <w:pPr>
              <w:pStyle w:val="Text"/>
            </w:pPr>
            <w:r w:rsidRPr="003C2BC2">
              <w:t>Time spent per case (in h)</w:t>
            </w:r>
          </w:p>
        </w:tc>
        <w:tc>
          <w:tcPr>
            <w:tcW w:w="1413" w:type="dxa"/>
            <w:shd w:val="clear" w:color="auto" w:fill="BFBFBF"/>
          </w:tcPr>
          <w:p w14:paraId="3F420097"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621D6B68" w14:textId="77777777" w:rsidR="00377F6B" w:rsidRPr="003C2BC2" w:rsidRDefault="00377F6B" w:rsidP="00FB6EEB">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1DAE6AB9" w14:textId="77777777" w:rsidR="00377F6B" w:rsidRPr="003C2BC2" w:rsidRDefault="00377F6B" w:rsidP="00FB6EEB">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4740EAF0" w14:textId="77777777" w:rsidR="00377F6B" w:rsidRPr="003C2BC2" w:rsidRDefault="00377F6B" w:rsidP="00FB6EEB">
            <w:pPr>
              <w:pStyle w:val="Text"/>
            </w:pPr>
            <w:r w:rsidRPr="003C2BC2">
              <w:t xml:space="preserve">Material costs </w:t>
            </w:r>
          </w:p>
          <w:p w14:paraId="2081C7B7" w14:textId="77777777" w:rsidR="00377F6B" w:rsidRPr="003C2BC2" w:rsidRDefault="00377F6B" w:rsidP="00FB6EEB">
            <w:pPr>
              <w:pStyle w:val="Text"/>
            </w:pPr>
            <w:r w:rsidRPr="003C2BC2">
              <w:t>Total (in EUR)</w:t>
            </w:r>
          </w:p>
        </w:tc>
      </w:tr>
      <w:tr w:rsidR="00377F6B" w:rsidRPr="003C2BC2" w14:paraId="4161D86E" w14:textId="77777777" w:rsidTr="003D62F7">
        <w:trPr>
          <w:trHeight w:val="368"/>
        </w:trPr>
        <w:tc>
          <w:tcPr>
            <w:tcW w:w="1271" w:type="dxa"/>
            <w:vAlign w:val="center"/>
          </w:tcPr>
          <w:p w14:paraId="3E3FF2E1" w14:textId="77777777" w:rsidR="00377F6B" w:rsidRPr="003C2BC2" w:rsidRDefault="00377F6B" w:rsidP="00FB6EEB">
            <w:pPr>
              <w:pStyle w:val="Text"/>
            </w:pPr>
            <w:r w:rsidRPr="003C2BC2">
              <w:t>1</w:t>
            </w:r>
          </w:p>
        </w:tc>
        <w:tc>
          <w:tcPr>
            <w:tcW w:w="1417" w:type="dxa"/>
            <w:vAlign w:val="center"/>
          </w:tcPr>
          <w:p w14:paraId="3655841F" w14:textId="77777777" w:rsidR="00377F6B" w:rsidRPr="003C2BC2" w:rsidRDefault="00377F6B" w:rsidP="00FB6EEB">
            <w:pPr>
              <w:pStyle w:val="Text"/>
            </w:pPr>
            <w:r w:rsidRPr="003C2BC2">
              <w:t>2</w:t>
            </w:r>
          </w:p>
        </w:tc>
        <w:tc>
          <w:tcPr>
            <w:tcW w:w="1413" w:type="dxa"/>
            <w:vAlign w:val="center"/>
          </w:tcPr>
          <w:p w14:paraId="09BA5FB3" w14:textId="77777777" w:rsidR="00377F6B" w:rsidRPr="003C2BC2" w:rsidRDefault="00377F6B" w:rsidP="00FB6EEB">
            <w:pPr>
              <w:pStyle w:val="Text"/>
            </w:pPr>
            <w:r w:rsidRPr="003C2BC2">
              <w:t>48.10</w:t>
            </w:r>
          </w:p>
        </w:tc>
        <w:tc>
          <w:tcPr>
            <w:tcW w:w="1984" w:type="dxa"/>
            <w:tcBorders>
              <w:right w:val="single" w:sz="12" w:space="0" w:color="auto"/>
            </w:tcBorders>
            <w:vAlign w:val="center"/>
          </w:tcPr>
          <w:p w14:paraId="4DF5FF9D"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715BFC9A" w14:textId="77777777" w:rsidR="00377F6B" w:rsidRPr="003C2BC2" w:rsidRDefault="00377F6B" w:rsidP="00FB6EEB">
            <w:pPr>
              <w:pStyle w:val="Text"/>
            </w:pPr>
            <w:r w:rsidRPr="003C2BC2">
              <w:t>96</w:t>
            </w:r>
          </w:p>
        </w:tc>
        <w:tc>
          <w:tcPr>
            <w:tcW w:w="1559" w:type="dxa"/>
            <w:tcBorders>
              <w:right w:val="single" w:sz="8" w:space="0" w:color="auto"/>
            </w:tcBorders>
            <w:vAlign w:val="center"/>
          </w:tcPr>
          <w:p w14:paraId="70F6A697" w14:textId="77777777" w:rsidR="00377F6B" w:rsidRPr="003C2BC2" w:rsidRDefault="00377F6B" w:rsidP="00FB6EEB">
            <w:pPr>
              <w:pStyle w:val="Text"/>
            </w:pPr>
            <w:r w:rsidRPr="003C2BC2">
              <w:t>0</w:t>
            </w:r>
          </w:p>
        </w:tc>
      </w:tr>
      <w:tr w:rsidR="00377F6B" w:rsidRPr="003C2BC2" w14:paraId="67776B8C" w14:textId="77777777" w:rsidTr="003D62F7">
        <w:trPr>
          <w:trHeight w:val="368"/>
        </w:trPr>
        <w:tc>
          <w:tcPr>
            <w:tcW w:w="6086" w:type="dxa"/>
            <w:gridSpan w:val="4"/>
            <w:tcBorders>
              <w:right w:val="single" w:sz="12" w:space="0" w:color="auto"/>
            </w:tcBorders>
            <w:shd w:val="clear" w:color="auto" w:fill="BFBFBF"/>
            <w:vAlign w:val="center"/>
          </w:tcPr>
          <w:p w14:paraId="61B8CB40"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095A478C" w14:textId="77777777" w:rsidR="00377F6B" w:rsidRPr="003C2BC2" w:rsidRDefault="00377F6B" w:rsidP="00FB6EEB">
            <w:pPr>
              <w:pStyle w:val="Text"/>
            </w:pPr>
            <w:r w:rsidRPr="003C2BC2">
              <w:t>96</w:t>
            </w:r>
          </w:p>
        </w:tc>
      </w:tr>
    </w:tbl>
    <w:p w14:paraId="39C53384" w14:textId="5A912FC2" w:rsidR="00377F6B" w:rsidRPr="003C2BC2" w:rsidRDefault="00377F6B" w:rsidP="00FB6EEB">
      <w:pPr>
        <w:spacing w:before="240"/>
        <w:rPr>
          <w:rFonts w:eastAsia="Times New Roman"/>
          <w:bCs/>
          <w:color w:val="000000"/>
        </w:rPr>
      </w:pPr>
      <w:proofErr w:type="spellStart"/>
      <w:r w:rsidRPr="003C2BC2">
        <w:rPr>
          <w:color w:val="000000"/>
        </w:rPr>
        <w:t>bbb</w:t>
      </w:r>
      <w:proofErr w:type="spellEnd"/>
      <w:r w:rsidRPr="003C2BC2">
        <w:rPr>
          <w:color w:val="000000"/>
        </w:rPr>
        <w:t>) Advisory activities of the single-use plastics commission (Requirement 49)</w:t>
      </w:r>
    </w:p>
    <w:p w14:paraId="5D56250B" w14:textId="2C6550AA" w:rsidR="00377F6B" w:rsidRPr="003C2BC2" w:rsidRDefault="00377F6B" w:rsidP="00FB6EEB">
      <w:pPr>
        <w:rPr>
          <w:rFonts w:eastAsia="Times New Roman"/>
          <w:bCs/>
          <w:color w:val="000000"/>
        </w:rPr>
      </w:pPr>
      <w:r w:rsidRPr="003C2BC2">
        <w:rPr>
          <w:color w:val="000000"/>
        </w:rPr>
        <w:t>The single-use plastics commission is an advisory body whose members do not receive any remuneration or reimbursement of expenses. The meeting schedule for the single-use plastics commission must be established once the members have been appointed. It is assumed that the commission will meet twice a year for a period of 2 to 3 days, so that 5 days per year (5 x 8 hours = 40 hours) can be expected. Assuming the representative for the consumer protection associations will be at management level (highest skill level), an hourly rate of EUR 48.10 is estimated (Private sector S – Provision of other services, high skill level); according to the ‘Private sector’ wage cost table, Annex VI of the Guide to Calculating and Setting Out Compliance Costs for Regulatory Projects of the Federal Government).</w:t>
      </w:r>
    </w:p>
    <w:p w14:paraId="4CD80BE2" w14:textId="77777777" w:rsidR="00377F6B" w:rsidRPr="003C2BC2" w:rsidRDefault="00377F6B" w:rsidP="00FB6EEB">
      <w:pPr>
        <w:rPr>
          <w:rFonts w:eastAsia="Times New Roman"/>
          <w:bCs/>
          <w:color w:val="000000"/>
        </w:rPr>
      </w:pPr>
      <w:r w:rsidRPr="003C2BC2">
        <w:rPr>
          <w:color w:val="000000"/>
        </w:rPr>
        <w:t>Annual compliance costs:</w:t>
      </w:r>
    </w:p>
    <w:tbl>
      <w:tblPr>
        <w:tblStyle w:val="TableGrid"/>
        <w:tblW w:w="9204" w:type="dxa"/>
        <w:tblLayout w:type="fixed"/>
        <w:tblLook w:val="04A0" w:firstRow="1" w:lastRow="0" w:firstColumn="1" w:lastColumn="0" w:noHBand="0" w:noVBand="1"/>
      </w:tblPr>
      <w:tblGrid>
        <w:gridCol w:w="1129"/>
        <w:gridCol w:w="1417"/>
        <w:gridCol w:w="1413"/>
        <w:gridCol w:w="1985"/>
        <w:gridCol w:w="1701"/>
        <w:gridCol w:w="1559"/>
      </w:tblGrid>
      <w:tr w:rsidR="00377F6B" w:rsidRPr="003C2BC2" w14:paraId="7B14AF64" w14:textId="77777777" w:rsidTr="003D62F7">
        <w:tc>
          <w:tcPr>
            <w:tcW w:w="1129" w:type="dxa"/>
            <w:shd w:val="clear" w:color="auto" w:fill="BFBFBF"/>
          </w:tcPr>
          <w:p w14:paraId="174CC4BB" w14:textId="77777777" w:rsidR="00377F6B" w:rsidRPr="003C2BC2" w:rsidRDefault="00377F6B" w:rsidP="00FB6EEB">
            <w:pPr>
              <w:pStyle w:val="Text"/>
            </w:pPr>
            <w:r w:rsidRPr="003C2BC2">
              <w:t>Number of cases</w:t>
            </w:r>
          </w:p>
        </w:tc>
        <w:tc>
          <w:tcPr>
            <w:tcW w:w="1417" w:type="dxa"/>
            <w:shd w:val="clear" w:color="auto" w:fill="BFBFBF"/>
          </w:tcPr>
          <w:p w14:paraId="7723F56C" w14:textId="77777777" w:rsidR="00377F6B" w:rsidRPr="003C2BC2" w:rsidRDefault="00377F6B" w:rsidP="00FB6EEB">
            <w:pPr>
              <w:pStyle w:val="Text"/>
            </w:pPr>
            <w:r w:rsidRPr="003C2BC2">
              <w:t>Time spent per case (in h)</w:t>
            </w:r>
          </w:p>
        </w:tc>
        <w:tc>
          <w:tcPr>
            <w:tcW w:w="1413" w:type="dxa"/>
            <w:shd w:val="clear" w:color="auto" w:fill="BFBFBF"/>
          </w:tcPr>
          <w:p w14:paraId="398B38FB"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2D15BBB1" w14:textId="77777777" w:rsidR="00377F6B" w:rsidRPr="003C2BC2" w:rsidRDefault="00377F6B" w:rsidP="00FB6EEB">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35CE4C38" w14:textId="77777777" w:rsidR="00377F6B" w:rsidRPr="003C2BC2" w:rsidRDefault="00377F6B" w:rsidP="00FB6EEB">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464ECECB" w14:textId="77777777" w:rsidR="00377F6B" w:rsidRPr="003C2BC2" w:rsidRDefault="00377F6B" w:rsidP="00FB6EEB">
            <w:pPr>
              <w:pStyle w:val="Text"/>
            </w:pPr>
            <w:r w:rsidRPr="003C2BC2">
              <w:t xml:space="preserve">Material costs </w:t>
            </w:r>
          </w:p>
          <w:p w14:paraId="58602267" w14:textId="77777777" w:rsidR="00377F6B" w:rsidRPr="003C2BC2" w:rsidRDefault="00377F6B" w:rsidP="00FB6EEB">
            <w:pPr>
              <w:pStyle w:val="Text"/>
            </w:pPr>
            <w:r w:rsidRPr="003C2BC2">
              <w:t>Total (in EUR)</w:t>
            </w:r>
          </w:p>
        </w:tc>
      </w:tr>
      <w:tr w:rsidR="00377F6B" w:rsidRPr="003C2BC2" w14:paraId="03EE5D5E" w14:textId="77777777" w:rsidTr="003D62F7">
        <w:trPr>
          <w:trHeight w:val="368"/>
        </w:trPr>
        <w:tc>
          <w:tcPr>
            <w:tcW w:w="1129" w:type="dxa"/>
            <w:vAlign w:val="center"/>
          </w:tcPr>
          <w:p w14:paraId="639997B2" w14:textId="77777777" w:rsidR="00377F6B" w:rsidRPr="003C2BC2" w:rsidRDefault="00377F6B" w:rsidP="00FB6EEB">
            <w:pPr>
              <w:pStyle w:val="Text"/>
            </w:pPr>
            <w:r w:rsidRPr="003C2BC2">
              <w:t>1</w:t>
            </w:r>
          </w:p>
        </w:tc>
        <w:tc>
          <w:tcPr>
            <w:tcW w:w="1417" w:type="dxa"/>
            <w:vAlign w:val="center"/>
          </w:tcPr>
          <w:p w14:paraId="165D77FC" w14:textId="77777777" w:rsidR="00377F6B" w:rsidRPr="003C2BC2" w:rsidRDefault="00377F6B" w:rsidP="00FB6EEB">
            <w:pPr>
              <w:pStyle w:val="Text"/>
            </w:pPr>
            <w:r w:rsidRPr="003C2BC2">
              <w:t>40</w:t>
            </w:r>
          </w:p>
        </w:tc>
        <w:tc>
          <w:tcPr>
            <w:tcW w:w="1413" w:type="dxa"/>
            <w:vAlign w:val="center"/>
          </w:tcPr>
          <w:p w14:paraId="1AD0BCBD" w14:textId="77777777" w:rsidR="00377F6B" w:rsidRPr="003C2BC2" w:rsidRDefault="00377F6B" w:rsidP="00FB6EEB">
            <w:pPr>
              <w:pStyle w:val="Text"/>
            </w:pPr>
            <w:r w:rsidRPr="003C2BC2">
              <w:t>48.10</w:t>
            </w:r>
          </w:p>
        </w:tc>
        <w:tc>
          <w:tcPr>
            <w:tcW w:w="1984" w:type="dxa"/>
            <w:tcBorders>
              <w:right w:val="single" w:sz="12" w:space="0" w:color="auto"/>
            </w:tcBorders>
            <w:vAlign w:val="center"/>
          </w:tcPr>
          <w:p w14:paraId="54E56F5B"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00EDE7F4" w14:textId="77777777" w:rsidR="00377F6B" w:rsidRPr="003C2BC2" w:rsidRDefault="00377F6B" w:rsidP="00FB6EEB">
            <w:pPr>
              <w:pStyle w:val="Text"/>
            </w:pPr>
            <w:r w:rsidRPr="003C2BC2">
              <w:t>1 924</w:t>
            </w:r>
          </w:p>
        </w:tc>
        <w:tc>
          <w:tcPr>
            <w:tcW w:w="1559" w:type="dxa"/>
            <w:tcBorders>
              <w:right w:val="single" w:sz="8" w:space="0" w:color="auto"/>
            </w:tcBorders>
            <w:vAlign w:val="center"/>
          </w:tcPr>
          <w:p w14:paraId="41E832B7" w14:textId="77777777" w:rsidR="00377F6B" w:rsidRPr="003C2BC2" w:rsidRDefault="00377F6B" w:rsidP="00FB6EEB">
            <w:pPr>
              <w:pStyle w:val="Text"/>
            </w:pPr>
            <w:r w:rsidRPr="003C2BC2">
              <w:t>0</w:t>
            </w:r>
          </w:p>
        </w:tc>
      </w:tr>
      <w:tr w:rsidR="00377F6B" w:rsidRPr="003C2BC2" w14:paraId="42D5832C" w14:textId="77777777" w:rsidTr="003D62F7">
        <w:trPr>
          <w:trHeight w:val="368"/>
        </w:trPr>
        <w:tc>
          <w:tcPr>
            <w:tcW w:w="5944" w:type="dxa"/>
            <w:gridSpan w:val="4"/>
            <w:tcBorders>
              <w:right w:val="single" w:sz="12" w:space="0" w:color="auto"/>
            </w:tcBorders>
            <w:shd w:val="clear" w:color="auto" w:fill="BFBFBF"/>
            <w:vAlign w:val="center"/>
          </w:tcPr>
          <w:p w14:paraId="6A8097A4"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62466D21" w14:textId="77777777" w:rsidR="00377F6B" w:rsidRPr="003C2BC2" w:rsidRDefault="00377F6B" w:rsidP="00FB6EEB">
            <w:pPr>
              <w:pStyle w:val="Text"/>
            </w:pPr>
            <w:r w:rsidRPr="003C2BC2">
              <w:t>1 924</w:t>
            </w:r>
          </w:p>
        </w:tc>
      </w:tr>
    </w:tbl>
    <w:p w14:paraId="2E62C10C" w14:textId="09322881" w:rsidR="00377F6B" w:rsidRPr="003C2BC2" w:rsidRDefault="00377F6B" w:rsidP="00FB6EEB">
      <w:pPr>
        <w:spacing w:before="240"/>
        <w:rPr>
          <w:rFonts w:eastAsia="Times New Roman"/>
          <w:b/>
          <w:bCs/>
          <w:color w:val="000000"/>
        </w:rPr>
      </w:pPr>
      <w:r w:rsidRPr="003C2BC2">
        <w:rPr>
          <w:b/>
          <w:color w:val="000000"/>
        </w:rPr>
        <w:lastRenderedPageBreak/>
        <w:t>f) Compliance costs for the authorities</w:t>
      </w:r>
    </w:p>
    <w:p w14:paraId="1D94B5DD" w14:textId="77777777" w:rsidR="00377F6B" w:rsidRPr="003C2BC2" w:rsidRDefault="00377F6B" w:rsidP="00FB6EEB">
      <w:pPr>
        <w:rPr>
          <w:rFonts w:eastAsia="Times New Roman"/>
          <w:bCs/>
          <w:color w:val="000000"/>
        </w:rPr>
      </w:pPr>
      <w:r w:rsidRPr="003C2BC2">
        <w:rPr>
          <w:color w:val="000000"/>
        </w:rPr>
        <w:t>aa) Länder (including municipalities)</w:t>
      </w:r>
    </w:p>
    <w:p w14:paraId="6D11A437" w14:textId="77777777" w:rsidR="00377F6B" w:rsidRPr="003C2BC2" w:rsidRDefault="00377F6B" w:rsidP="00FB6EEB">
      <w:pPr>
        <w:rPr>
          <w:rFonts w:eastAsia="Times New Roman"/>
          <w:bCs/>
          <w:color w:val="000000"/>
        </w:rPr>
      </w:pPr>
      <w:r w:rsidRPr="003C2BC2">
        <w:rPr>
          <w:color w:val="000000"/>
        </w:rPr>
        <w:t>Beneficiaries</w:t>
      </w:r>
    </w:p>
    <w:p w14:paraId="58D5D661" w14:textId="233C1E63" w:rsidR="00377F6B" w:rsidRPr="003C2BC2" w:rsidRDefault="00377F6B" w:rsidP="00FB6EEB">
      <w:pPr>
        <w:rPr>
          <w:rFonts w:eastAsia="Times New Roman"/>
          <w:bCs/>
          <w:color w:val="000000"/>
        </w:rPr>
      </w:pPr>
      <w:proofErr w:type="spellStart"/>
      <w:r w:rsidRPr="003C2BC2">
        <w:rPr>
          <w:color w:val="000000"/>
        </w:rPr>
        <w:t>aaa</w:t>
      </w:r>
      <w:proofErr w:type="spellEnd"/>
      <w:r w:rsidRPr="003C2BC2">
        <w:rPr>
          <w:color w:val="000000"/>
        </w:rPr>
        <w:t>) Registration (Requirements 31 and 32)</w:t>
      </w:r>
    </w:p>
    <w:p w14:paraId="1E8E1F95" w14:textId="03471953" w:rsidR="00377F6B" w:rsidRPr="003C2BC2" w:rsidRDefault="00377F6B" w:rsidP="00FB6EEB">
      <w:pPr>
        <w:rPr>
          <w:rFonts w:eastAsia="Times New Roman"/>
          <w:bCs/>
          <w:color w:val="000000"/>
        </w:rPr>
      </w:pPr>
      <w:r w:rsidRPr="003C2BC2">
        <w:rPr>
          <w:color w:val="000000"/>
        </w:rPr>
        <w:t>In accordance with Article 1 Section 15(1) in conjunction with paragraphs (2) to (4), the eligible public waste management providers and other beneficiaries that are legal entities under public law are required to register with the Federal Environment Agency once if they wish to claim reimbursements in keeping with Article 1 Annex 2.</w:t>
      </w:r>
    </w:p>
    <w:p w14:paraId="4D5E5086" w14:textId="23D1F226" w:rsidR="00377F6B" w:rsidRPr="003C2BC2" w:rsidRDefault="00377F6B" w:rsidP="00FB6EEB">
      <w:pPr>
        <w:rPr>
          <w:rFonts w:eastAsia="Times New Roman"/>
          <w:bCs/>
          <w:color w:val="000000"/>
        </w:rPr>
      </w:pPr>
      <w:r w:rsidRPr="003C2BC2">
        <w:rPr>
          <w:color w:val="000000"/>
        </w:rPr>
        <w:t>Currently, public waste management providers are mainly municipalities. When it comes to compliance costs, municipalities are attributed to Länder for methodological purposes.</w:t>
      </w:r>
    </w:p>
    <w:p w14:paraId="484363F6" w14:textId="40418531" w:rsidR="0016558D" w:rsidRPr="003C2BC2" w:rsidRDefault="0016558D" w:rsidP="00FB6EEB">
      <w:pPr>
        <w:rPr>
          <w:rFonts w:eastAsia="Times New Roman"/>
          <w:bCs/>
          <w:color w:val="000000"/>
        </w:rPr>
      </w:pPr>
      <w:r w:rsidRPr="003C2BC2">
        <w:rPr>
          <w:color w:val="000000"/>
        </w:rPr>
        <w:t>In addition, an enquiry from the Federal Ministry for the Environment, Nature Conservation, Nuclear Safety and Consumer Protection to the state environment ministries has shown that in most Länder, in addition to public waste management providers, the individual municipalities and local authorities also assume waste management tasks in public spaces, thereby incurring costs for waste management and cleaning.</w:t>
      </w:r>
    </w:p>
    <w:p w14:paraId="364403C4" w14:textId="77777777" w:rsidR="00377F6B" w:rsidRPr="003C2BC2" w:rsidRDefault="00377F6B" w:rsidP="00FB6EEB">
      <w:pPr>
        <w:rPr>
          <w:rFonts w:eastAsia="Times New Roman"/>
          <w:bCs/>
          <w:color w:val="000000"/>
        </w:rPr>
      </w:pPr>
      <w:r w:rsidRPr="003C2BC2">
        <w:rPr>
          <w:color w:val="000000"/>
        </w:rPr>
        <w:t>Since reimbursement constitutes a financial advantage, whereas the burden associated with the specified registration is hardly significant, it can be assumed that all eligible entities will undertake such registration in order to secure reimbursement of costs.</w:t>
      </w:r>
    </w:p>
    <w:p w14:paraId="6A513CEF" w14:textId="77777777" w:rsidR="00377F6B" w:rsidRPr="003C2BC2" w:rsidRDefault="00377F6B" w:rsidP="00FB6EEB">
      <w:pPr>
        <w:rPr>
          <w:rFonts w:eastAsia="Times New Roman"/>
          <w:bCs/>
          <w:color w:val="000000"/>
        </w:rPr>
      </w:pPr>
      <w:r w:rsidRPr="003C2BC2">
        <w:rPr>
          <w:color w:val="000000"/>
        </w:rPr>
        <w:t xml:space="preserve">Registration itself is to be carried out by completing an electronic form. Based on the time value table for obligations on the private sector to provide information (‘Completion of forms’) and an average amount of time, 15 minutes is estimated for registration itself, at a skill level corresponding to </w:t>
      </w:r>
      <w:proofErr w:type="spellStart"/>
      <w:r w:rsidRPr="003C2BC2">
        <w:rPr>
          <w:color w:val="000000"/>
        </w:rPr>
        <w:t>gehobener</w:t>
      </w:r>
      <w:proofErr w:type="spellEnd"/>
      <w:r w:rsidRPr="003C2BC2">
        <w:rPr>
          <w:color w:val="000000"/>
        </w:rPr>
        <w:t xml:space="preserve"> </w:t>
      </w:r>
      <w:proofErr w:type="spellStart"/>
      <w:r w:rsidRPr="003C2BC2">
        <w:rPr>
          <w:color w:val="000000"/>
        </w:rPr>
        <w:t>Dienst</w:t>
      </w:r>
      <w:proofErr w:type="spellEnd"/>
      <w:r w:rsidRPr="003C2BC2">
        <w:rPr>
          <w:color w:val="000000"/>
        </w:rPr>
        <w:t xml:space="preserve"> (cf. Annex VII – ‘Administration’ wage cost table – of the Guide to Calculating and Setting Out Compliance Costs for Regulatory Projects of the Federal Government).</w:t>
      </w:r>
    </w:p>
    <w:p w14:paraId="499B88A5" w14:textId="77777777" w:rsidR="00377F6B" w:rsidRPr="003C2BC2" w:rsidRDefault="00377F6B" w:rsidP="00FB6EEB">
      <w:pPr>
        <w:rPr>
          <w:rFonts w:eastAsia="Times New Roman"/>
          <w:bCs/>
          <w:color w:val="000000"/>
        </w:rPr>
      </w:pPr>
      <w:r w:rsidRPr="003C2BC2">
        <w:rPr>
          <w:color w:val="000000"/>
        </w:rPr>
        <w:t>At the same time, it can be assumed that the data entered during registration will have to be checked for correctness once a year and, if necessary, adjusted. Also based on the time value table for obligations on the private sector to provide information (‘Verification of data and inputs’; Annex V of the Guide to Calculating and Setting Out Compliance Costs for Regulatory Projects of the Federal Government) an average time of 8 minutes is estimated, at the same skill level, for checking or updating the data.</w:t>
      </w:r>
    </w:p>
    <w:p w14:paraId="6ED60A64" w14:textId="0FE58931" w:rsidR="00377F6B" w:rsidRPr="003C2BC2" w:rsidRDefault="00377F6B" w:rsidP="00FB6EEB">
      <w:pPr>
        <w:rPr>
          <w:rFonts w:eastAsia="Times New Roman"/>
          <w:bCs/>
          <w:color w:val="000000"/>
        </w:rPr>
      </w:pPr>
      <w:r w:rsidRPr="003C2BC2">
        <w:rPr>
          <w:color w:val="000000"/>
        </w:rPr>
        <w:t xml:space="preserve">According to a list from the </w:t>
      </w:r>
      <w:proofErr w:type="spellStart"/>
      <w:r w:rsidRPr="003C2BC2">
        <w:rPr>
          <w:color w:val="000000"/>
        </w:rPr>
        <w:t>Branchenverband</w:t>
      </w:r>
      <w:proofErr w:type="spellEnd"/>
      <w:r w:rsidRPr="003C2BC2">
        <w:rPr>
          <w:color w:val="000000"/>
        </w:rPr>
        <w:t xml:space="preserve"> </w:t>
      </w:r>
      <w:proofErr w:type="spellStart"/>
      <w:r w:rsidRPr="003C2BC2">
        <w:rPr>
          <w:color w:val="000000"/>
        </w:rPr>
        <w:t>Sekundärrohstoffe</w:t>
      </w:r>
      <w:proofErr w:type="spellEnd"/>
      <w:r w:rsidRPr="003C2BC2">
        <w:rPr>
          <w:color w:val="000000"/>
        </w:rPr>
        <w:t xml:space="preserve"> und </w:t>
      </w:r>
      <w:proofErr w:type="spellStart"/>
      <w:r w:rsidRPr="003C2BC2">
        <w:rPr>
          <w:color w:val="000000"/>
        </w:rPr>
        <w:t>Entsorgung</w:t>
      </w:r>
      <w:proofErr w:type="spellEnd"/>
      <w:r w:rsidRPr="003C2BC2">
        <w:rPr>
          <w:color w:val="000000"/>
        </w:rPr>
        <w:t xml:space="preserve"> e. V. (</w:t>
      </w:r>
      <w:proofErr w:type="spellStart"/>
      <w:r w:rsidRPr="003C2BC2">
        <w:rPr>
          <w:color w:val="000000"/>
        </w:rPr>
        <w:t>bvse</w:t>
      </w:r>
      <w:proofErr w:type="spellEnd"/>
      <w:r w:rsidRPr="003C2BC2">
        <w:rPr>
          <w:color w:val="000000"/>
        </w:rPr>
        <w:t>), there are 440 public waste management providers in Germany (</w:t>
      </w:r>
      <w:r w:rsidRPr="003C2BC2">
        <w:t>https://www.bvse.de/aktuelles/linkliste/435-oeffentlich-rechtliche-entsorgungstraeger.html#A</w:t>
      </w:r>
      <w:r w:rsidRPr="003C2BC2">
        <w:rPr>
          <w:color w:val="000000"/>
        </w:rPr>
        <w:t>). In addition, other legal entities under public law are also entitled to claim. Their number is estimated at 30.</w:t>
      </w:r>
    </w:p>
    <w:p w14:paraId="5F4D677F" w14:textId="2D65D16A" w:rsidR="0016558D" w:rsidRPr="003C2BC2" w:rsidRDefault="0016558D" w:rsidP="00FB6EEB">
      <w:pPr>
        <w:rPr>
          <w:rFonts w:eastAsia="Times New Roman"/>
          <w:bCs/>
          <w:color w:val="000000"/>
        </w:rPr>
      </w:pPr>
      <w:r w:rsidRPr="003C2BC2">
        <w:rPr>
          <w:color w:val="000000"/>
        </w:rPr>
        <w:t>Based on replies from the state environment ministries as well as corresponding estimates for the Länder that have not reported data, it can be assumed that, in addition to the public waste management providers, between 8 000 and 10 000 municipalities and local authorities carry out waste management measures in public spaces nationwide and thus should also be counted among the beneficiaries. However, due to the different administrative structures in the Länder, it can also be assumed that not every individual municipality or local authority will register itself as a beneficiary. Instead, this will be done centrally, in accordance with the requirements for appointment laid down in Article 1 Section 15(3), by the next higher administration level e.g. a district or an association of administrations for the respective local authorities. Therefore, it can be assumed that, in addition to the beneficiaries described above, there will be 6 000 other legal entities under public law who will register.</w:t>
      </w:r>
    </w:p>
    <w:p w14:paraId="2459801D" w14:textId="441C9489" w:rsidR="00377F6B" w:rsidRPr="003C2BC2" w:rsidRDefault="00377F6B" w:rsidP="00FB6EEB">
      <w:pPr>
        <w:rPr>
          <w:rFonts w:eastAsia="Times New Roman"/>
          <w:bCs/>
          <w:color w:val="000000"/>
        </w:rPr>
      </w:pPr>
      <w:r w:rsidRPr="003C2BC2">
        <w:rPr>
          <w:color w:val="000000"/>
        </w:rPr>
        <w:lastRenderedPageBreak/>
        <w:t>One-off conversion costs:</w:t>
      </w:r>
    </w:p>
    <w:tbl>
      <w:tblPr>
        <w:tblStyle w:val="TableGrid"/>
        <w:tblW w:w="9204" w:type="dxa"/>
        <w:tblLayout w:type="fixed"/>
        <w:tblLook w:val="04A0" w:firstRow="1" w:lastRow="0" w:firstColumn="1" w:lastColumn="0" w:noHBand="0" w:noVBand="1"/>
      </w:tblPr>
      <w:tblGrid>
        <w:gridCol w:w="1129"/>
        <w:gridCol w:w="1417"/>
        <w:gridCol w:w="1413"/>
        <w:gridCol w:w="1985"/>
        <w:gridCol w:w="1559"/>
        <w:gridCol w:w="1701"/>
      </w:tblGrid>
      <w:tr w:rsidR="00377F6B" w:rsidRPr="003C2BC2" w14:paraId="252D72F6" w14:textId="77777777" w:rsidTr="003D62F7">
        <w:tc>
          <w:tcPr>
            <w:tcW w:w="1129" w:type="dxa"/>
            <w:shd w:val="clear" w:color="auto" w:fill="BFBFBF"/>
          </w:tcPr>
          <w:p w14:paraId="18948DA9" w14:textId="77777777" w:rsidR="00377F6B" w:rsidRPr="003C2BC2" w:rsidRDefault="00377F6B" w:rsidP="00FB6EEB">
            <w:pPr>
              <w:pStyle w:val="Text"/>
            </w:pPr>
            <w:r w:rsidRPr="003C2BC2">
              <w:t>Number of cases</w:t>
            </w:r>
          </w:p>
        </w:tc>
        <w:tc>
          <w:tcPr>
            <w:tcW w:w="1417" w:type="dxa"/>
            <w:shd w:val="clear" w:color="auto" w:fill="BFBFBF"/>
          </w:tcPr>
          <w:p w14:paraId="160B5DEB" w14:textId="77777777" w:rsidR="00377F6B" w:rsidRPr="003C2BC2" w:rsidRDefault="00377F6B" w:rsidP="00FB6EEB">
            <w:pPr>
              <w:pStyle w:val="Text"/>
            </w:pPr>
            <w:r w:rsidRPr="003C2BC2">
              <w:t>Time spent per case (in h)</w:t>
            </w:r>
          </w:p>
        </w:tc>
        <w:tc>
          <w:tcPr>
            <w:tcW w:w="1413" w:type="dxa"/>
            <w:shd w:val="clear" w:color="auto" w:fill="BFBFBF"/>
          </w:tcPr>
          <w:p w14:paraId="4D1ECBD3"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317E341F" w14:textId="77777777" w:rsidR="00377F6B" w:rsidRPr="003C2BC2" w:rsidRDefault="00377F6B" w:rsidP="00FB6EEB">
            <w:pPr>
              <w:pStyle w:val="Text"/>
            </w:pPr>
            <w:r w:rsidRPr="003C2BC2">
              <w:t>Material costs per case (in EUR)</w:t>
            </w:r>
          </w:p>
        </w:tc>
        <w:tc>
          <w:tcPr>
            <w:tcW w:w="1559" w:type="dxa"/>
            <w:tcBorders>
              <w:top w:val="single" w:sz="8" w:space="0" w:color="auto"/>
              <w:left w:val="single" w:sz="12" w:space="0" w:color="auto"/>
            </w:tcBorders>
            <w:shd w:val="clear" w:color="auto" w:fill="BFBFBF"/>
          </w:tcPr>
          <w:p w14:paraId="51A25444" w14:textId="77777777" w:rsidR="00377F6B" w:rsidRPr="003C2BC2" w:rsidRDefault="00377F6B" w:rsidP="00FB6EEB">
            <w:pPr>
              <w:pStyle w:val="Text"/>
            </w:pPr>
            <w:r w:rsidRPr="003C2BC2">
              <w:t>Total personnel costs (in EUR)</w:t>
            </w:r>
          </w:p>
        </w:tc>
        <w:tc>
          <w:tcPr>
            <w:tcW w:w="1701" w:type="dxa"/>
            <w:tcBorders>
              <w:top w:val="single" w:sz="8" w:space="0" w:color="auto"/>
              <w:right w:val="single" w:sz="8" w:space="0" w:color="auto"/>
            </w:tcBorders>
            <w:shd w:val="clear" w:color="auto" w:fill="BFBFBF"/>
          </w:tcPr>
          <w:p w14:paraId="5B8787B9" w14:textId="77777777" w:rsidR="00377F6B" w:rsidRPr="003C2BC2" w:rsidRDefault="00377F6B" w:rsidP="00FB6EEB">
            <w:pPr>
              <w:pStyle w:val="Text"/>
            </w:pPr>
            <w:r w:rsidRPr="003C2BC2">
              <w:t xml:space="preserve">Material costs </w:t>
            </w:r>
          </w:p>
          <w:p w14:paraId="796EA7EF" w14:textId="77777777" w:rsidR="00377F6B" w:rsidRPr="003C2BC2" w:rsidRDefault="00377F6B" w:rsidP="00FB6EEB">
            <w:pPr>
              <w:pStyle w:val="Text"/>
            </w:pPr>
            <w:r w:rsidRPr="003C2BC2">
              <w:t>Total (in EUR)</w:t>
            </w:r>
          </w:p>
        </w:tc>
      </w:tr>
      <w:tr w:rsidR="00377F6B" w:rsidRPr="003C2BC2" w14:paraId="0E324799" w14:textId="77777777" w:rsidTr="003D62F7">
        <w:trPr>
          <w:trHeight w:val="368"/>
        </w:trPr>
        <w:tc>
          <w:tcPr>
            <w:tcW w:w="1129" w:type="dxa"/>
            <w:vAlign w:val="center"/>
          </w:tcPr>
          <w:p w14:paraId="5BA01A03" w14:textId="74FE0437" w:rsidR="00377F6B" w:rsidRPr="003C2BC2" w:rsidRDefault="0016558D" w:rsidP="00FB6EEB">
            <w:pPr>
              <w:pStyle w:val="Text"/>
            </w:pPr>
            <w:r w:rsidRPr="003C2BC2">
              <w:t>6 470</w:t>
            </w:r>
          </w:p>
        </w:tc>
        <w:tc>
          <w:tcPr>
            <w:tcW w:w="1417" w:type="dxa"/>
            <w:vAlign w:val="center"/>
          </w:tcPr>
          <w:p w14:paraId="2812CC58" w14:textId="77777777" w:rsidR="00377F6B" w:rsidRPr="003C2BC2" w:rsidRDefault="00377F6B" w:rsidP="00FB6EEB">
            <w:pPr>
              <w:pStyle w:val="Text"/>
            </w:pPr>
            <w:r w:rsidRPr="003C2BC2">
              <w:t>0.25</w:t>
            </w:r>
          </w:p>
        </w:tc>
        <w:tc>
          <w:tcPr>
            <w:tcW w:w="1413" w:type="dxa"/>
            <w:vAlign w:val="center"/>
          </w:tcPr>
          <w:p w14:paraId="74360AFB" w14:textId="77777777" w:rsidR="00377F6B" w:rsidRPr="003C2BC2" w:rsidRDefault="00377F6B" w:rsidP="00FB6EEB">
            <w:pPr>
              <w:pStyle w:val="Text"/>
            </w:pPr>
            <w:r w:rsidRPr="003C2BC2">
              <w:t>42.30</w:t>
            </w:r>
          </w:p>
        </w:tc>
        <w:tc>
          <w:tcPr>
            <w:tcW w:w="1984" w:type="dxa"/>
            <w:tcBorders>
              <w:right w:val="single" w:sz="12" w:space="0" w:color="auto"/>
            </w:tcBorders>
            <w:vAlign w:val="center"/>
          </w:tcPr>
          <w:p w14:paraId="5850362B" w14:textId="77777777" w:rsidR="00377F6B" w:rsidRPr="003C2BC2" w:rsidRDefault="00377F6B" w:rsidP="00FB6EEB">
            <w:pPr>
              <w:pStyle w:val="Text"/>
            </w:pPr>
            <w:r w:rsidRPr="003C2BC2">
              <w:t>0</w:t>
            </w:r>
          </w:p>
        </w:tc>
        <w:tc>
          <w:tcPr>
            <w:tcW w:w="1559" w:type="dxa"/>
            <w:tcBorders>
              <w:left w:val="single" w:sz="12" w:space="0" w:color="auto"/>
            </w:tcBorders>
            <w:vAlign w:val="center"/>
          </w:tcPr>
          <w:p w14:paraId="183AFA8C" w14:textId="2AA01497" w:rsidR="00377F6B" w:rsidRPr="003C2BC2" w:rsidRDefault="0016558D" w:rsidP="00FB6EEB">
            <w:pPr>
              <w:pStyle w:val="Text"/>
            </w:pPr>
            <w:r w:rsidRPr="003C2BC2">
              <w:t xml:space="preserve">68 420 </w:t>
            </w:r>
          </w:p>
        </w:tc>
        <w:tc>
          <w:tcPr>
            <w:tcW w:w="1701" w:type="dxa"/>
            <w:tcBorders>
              <w:right w:val="single" w:sz="8" w:space="0" w:color="auto"/>
            </w:tcBorders>
            <w:vAlign w:val="center"/>
          </w:tcPr>
          <w:p w14:paraId="29AA880E" w14:textId="77777777" w:rsidR="00377F6B" w:rsidRPr="003C2BC2" w:rsidRDefault="00377F6B" w:rsidP="00FB6EEB">
            <w:pPr>
              <w:pStyle w:val="Text"/>
            </w:pPr>
            <w:r w:rsidRPr="003C2BC2">
              <w:t>0</w:t>
            </w:r>
          </w:p>
        </w:tc>
      </w:tr>
      <w:tr w:rsidR="00377F6B" w:rsidRPr="003C2BC2" w14:paraId="2EA055EB" w14:textId="77777777" w:rsidTr="003D62F7">
        <w:trPr>
          <w:trHeight w:val="368"/>
        </w:trPr>
        <w:tc>
          <w:tcPr>
            <w:tcW w:w="5944" w:type="dxa"/>
            <w:gridSpan w:val="4"/>
            <w:tcBorders>
              <w:right w:val="single" w:sz="12" w:space="0" w:color="auto"/>
            </w:tcBorders>
            <w:shd w:val="clear" w:color="auto" w:fill="BFBFBF"/>
            <w:vAlign w:val="center"/>
          </w:tcPr>
          <w:p w14:paraId="39F16923" w14:textId="77777777" w:rsidR="00377F6B" w:rsidRPr="003C2BC2" w:rsidRDefault="00377F6B" w:rsidP="00FB6EEB">
            <w:pPr>
              <w:pStyle w:val="Text"/>
            </w:pPr>
            <w:r w:rsidRPr="003C2BC2">
              <w:t>One-off conversion costs (in EUR)</w:t>
            </w:r>
          </w:p>
        </w:tc>
        <w:tc>
          <w:tcPr>
            <w:tcW w:w="3260" w:type="dxa"/>
            <w:gridSpan w:val="2"/>
            <w:tcBorders>
              <w:left w:val="single" w:sz="12" w:space="0" w:color="auto"/>
              <w:bottom w:val="single" w:sz="8" w:space="0" w:color="auto"/>
              <w:right w:val="single" w:sz="8" w:space="0" w:color="auto"/>
            </w:tcBorders>
            <w:vAlign w:val="center"/>
          </w:tcPr>
          <w:p w14:paraId="7D5B3229" w14:textId="5A42BEFE" w:rsidR="00377F6B" w:rsidRPr="003C2BC2" w:rsidRDefault="0016558D" w:rsidP="00FB6EEB">
            <w:pPr>
              <w:pStyle w:val="Text"/>
            </w:pPr>
            <w:r w:rsidRPr="003C2BC2">
              <w:t xml:space="preserve">68 420 </w:t>
            </w:r>
          </w:p>
        </w:tc>
      </w:tr>
    </w:tbl>
    <w:p w14:paraId="7FCC804A" w14:textId="66720EBA" w:rsidR="00377F6B" w:rsidRPr="003C2BC2" w:rsidRDefault="00377F6B" w:rsidP="00FB6EEB">
      <w:pPr>
        <w:spacing w:before="240"/>
        <w:rPr>
          <w:rFonts w:eastAsia="Times New Roman"/>
          <w:bCs/>
          <w:color w:val="000000"/>
        </w:rPr>
      </w:pPr>
      <w:r w:rsidRPr="003C2BC2">
        <w:rPr>
          <w:color w:val="000000"/>
        </w:rPr>
        <w:t>Annual compliance costs:</w:t>
      </w:r>
    </w:p>
    <w:tbl>
      <w:tblPr>
        <w:tblStyle w:val="TableGrid"/>
        <w:tblW w:w="9204" w:type="dxa"/>
        <w:tblLayout w:type="fixed"/>
        <w:tblLook w:val="04A0" w:firstRow="1" w:lastRow="0" w:firstColumn="1" w:lastColumn="0" w:noHBand="0" w:noVBand="1"/>
      </w:tblPr>
      <w:tblGrid>
        <w:gridCol w:w="1129"/>
        <w:gridCol w:w="1417"/>
        <w:gridCol w:w="1413"/>
        <w:gridCol w:w="1985"/>
        <w:gridCol w:w="1701"/>
        <w:gridCol w:w="1559"/>
      </w:tblGrid>
      <w:tr w:rsidR="00377F6B" w:rsidRPr="003C2BC2" w14:paraId="2F5D73C2" w14:textId="77777777" w:rsidTr="003D62F7">
        <w:tc>
          <w:tcPr>
            <w:tcW w:w="1129" w:type="dxa"/>
            <w:shd w:val="clear" w:color="auto" w:fill="BFBFBF"/>
          </w:tcPr>
          <w:p w14:paraId="6362A552" w14:textId="77777777" w:rsidR="00377F6B" w:rsidRPr="003C2BC2" w:rsidRDefault="00377F6B" w:rsidP="00FB6EEB">
            <w:pPr>
              <w:pStyle w:val="Text"/>
            </w:pPr>
            <w:r w:rsidRPr="003C2BC2">
              <w:t>Number of cases</w:t>
            </w:r>
          </w:p>
        </w:tc>
        <w:tc>
          <w:tcPr>
            <w:tcW w:w="1417" w:type="dxa"/>
            <w:shd w:val="clear" w:color="auto" w:fill="BFBFBF"/>
          </w:tcPr>
          <w:p w14:paraId="5A6D202A" w14:textId="77777777" w:rsidR="00377F6B" w:rsidRPr="003C2BC2" w:rsidRDefault="00377F6B" w:rsidP="00FB6EEB">
            <w:pPr>
              <w:pStyle w:val="Text"/>
            </w:pPr>
            <w:r w:rsidRPr="003C2BC2">
              <w:t>Time spent per case (in h)</w:t>
            </w:r>
          </w:p>
        </w:tc>
        <w:tc>
          <w:tcPr>
            <w:tcW w:w="1413" w:type="dxa"/>
            <w:shd w:val="clear" w:color="auto" w:fill="BFBFBF"/>
          </w:tcPr>
          <w:p w14:paraId="2777E23F"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3D2F4F72" w14:textId="77777777" w:rsidR="00377F6B" w:rsidRPr="003C2BC2" w:rsidRDefault="00377F6B" w:rsidP="00FB6EEB">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5B07A9F8" w14:textId="77777777" w:rsidR="00377F6B" w:rsidRPr="003C2BC2" w:rsidRDefault="00377F6B" w:rsidP="00FB6EEB">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50107BF7" w14:textId="77777777" w:rsidR="00377F6B" w:rsidRPr="003C2BC2" w:rsidRDefault="00377F6B" w:rsidP="00FB6EEB">
            <w:pPr>
              <w:pStyle w:val="Text"/>
            </w:pPr>
            <w:r w:rsidRPr="003C2BC2">
              <w:t xml:space="preserve">Material costs </w:t>
            </w:r>
          </w:p>
          <w:p w14:paraId="237089A6" w14:textId="77777777" w:rsidR="00377F6B" w:rsidRPr="003C2BC2" w:rsidRDefault="00377F6B" w:rsidP="00FB6EEB">
            <w:pPr>
              <w:pStyle w:val="Text"/>
            </w:pPr>
            <w:r w:rsidRPr="003C2BC2">
              <w:t>Total (in EUR)</w:t>
            </w:r>
          </w:p>
        </w:tc>
      </w:tr>
      <w:tr w:rsidR="00377F6B" w:rsidRPr="003C2BC2" w14:paraId="05095A22" w14:textId="77777777" w:rsidTr="003D62F7">
        <w:trPr>
          <w:trHeight w:val="368"/>
        </w:trPr>
        <w:tc>
          <w:tcPr>
            <w:tcW w:w="1129" w:type="dxa"/>
            <w:vAlign w:val="center"/>
          </w:tcPr>
          <w:p w14:paraId="2F2E93C6" w14:textId="00386440" w:rsidR="00377F6B" w:rsidRPr="003C2BC2" w:rsidRDefault="0016558D" w:rsidP="00FB6EEB">
            <w:pPr>
              <w:pStyle w:val="Text"/>
            </w:pPr>
            <w:r w:rsidRPr="003C2BC2">
              <w:t>6 470</w:t>
            </w:r>
          </w:p>
        </w:tc>
        <w:tc>
          <w:tcPr>
            <w:tcW w:w="1417" w:type="dxa"/>
            <w:vAlign w:val="center"/>
          </w:tcPr>
          <w:p w14:paraId="28E7D28C" w14:textId="77777777" w:rsidR="00377F6B" w:rsidRPr="003C2BC2" w:rsidRDefault="00377F6B" w:rsidP="00FB6EEB">
            <w:pPr>
              <w:pStyle w:val="Text"/>
            </w:pPr>
            <w:r w:rsidRPr="003C2BC2">
              <w:t>0.13</w:t>
            </w:r>
          </w:p>
        </w:tc>
        <w:tc>
          <w:tcPr>
            <w:tcW w:w="1413" w:type="dxa"/>
            <w:vAlign w:val="center"/>
          </w:tcPr>
          <w:p w14:paraId="60850080" w14:textId="77777777" w:rsidR="00377F6B" w:rsidRPr="003C2BC2" w:rsidRDefault="00377F6B" w:rsidP="00FB6EEB">
            <w:pPr>
              <w:pStyle w:val="Text"/>
            </w:pPr>
            <w:r w:rsidRPr="003C2BC2">
              <w:t>42.30</w:t>
            </w:r>
          </w:p>
        </w:tc>
        <w:tc>
          <w:tcPr>
            <w:tcW w:w="1984" w:type="dxa"/>
            <w:tcBorders>
              <w:right w:val="single" w:sz="12" w:space="0" w:color="auto"/>
            </w:tcBorders>
            <w:vAlign w:val="center"/>
          </w:tcPr>
          <w:p w14:paraId="69711ED1"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33B81C7B" w14:textId="4DA603D1" w:rsidR="00377F6B" w:rsidRPr="003C2BC2" w:rsidRDefault="000D16C9" w:rsidP="00FB6EEB">
            <w:pPr>
              <w:pStyle w:val="Text"/>
            </w:pPr>
            <w:r w:rsidRPr="003C2BC2">
              <w:t xml:space="preserve">35 578 </w:t>
            </w:r>
          </w:p>
        </w:tc>
        <w:tc>
          <w:tcPr>
            <w:tcW w:w="1559" w:type="dxa"/>
            <w:tcBorders>
              <w:right w:val="single" w:sz="8" w:space="0" w:color="auto"/>
            </w:tcBorders>
            <w:vAlign w:val="center"/>
          </w:tcPr>
          <w:p w14:paraId="39296B62" w14:textId="77777777" w:rsidR="00377F6B" w:rsidRPr="003C2BC2" w:rsidRDefault="00377F6B" w:rsidP="00FB6EEB">
            <w:pPr>
              <w:pStyle w:val="Text"/>
            </w:pPr>
            <w:r w:rsidRPr="003C2BC2">
              <w:t>0</w:t>
            </w:r>
          </w:p>
        </w:tc>
      </w:tr>
      <w:tr w:rsidR="00377F6B" w:rsidRPr="003C2BC2" w14:paraId="3427B714" w14:textId="77777777" w:rsidTr="003D62F7">
        <w:trPr>
          <w:trHeight w:val="368"/>
        </w:trPr>
        <w:tc>
          <w:tcPr>
            <w:tcW w:w="5944" w:type="dxa"/>
            <w:gridSpan w:val="4"/>
            <w:tcBorders>
              <w:right w:val="single" w:sz="12" w:space="0" w:color="auto"/>
            </w:tcBorders>
            <w:shd w:val="clear" w:color="auto" w:fill="BFBFBF"/>
            <w:vAlign w:val="center"/>
          </w:tcPr>
          <w:p w14:paraId="52D3816C"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1718F97C" w14:textId="74ED5831" w:rsidR="00377F6B" w:rsidRPr="003C2BC2" w:rsidRDefault="000D16C9" w:rsidP="00FB6EEB">
            <w:pPr>
              <w:pStyle w:val="Text"/>
            </w:pPr>
            <w:r w:rsidRPr="003C2BC2">
              <w:t xml:space="preserve">35 578 </w:t>
            </w:r>
          </w:p>
        </w:tc>
      </w:tr>
    </w:tbl>
    <w:p w14:paraId="1946B67E" w14:textId="49A33A06" w:rsidR="00377F6B" w:rsidRPr="003C2BC2" w:rsidRDefault="00377F6B" w:rsidP="00FB6EEB">
      <w:pPr>
        <w:spacing w:before="240"/>
        <w:rPr>
          <w:rFonts w:eastAsia="Times New Roman"/>
          <w:bCs/>
          <w:color w:val="000000"/>
        </w:rPr>
      </w:pPr>
      <w:proofErr w:type="spellStart"/>
      <w:r w:rsidRPr="003C2BC2">
        <w:rPr>
          <w:color w:val="000000"/>
        </w:rPr>
        <w:t>bbb</w:t>
      </w:r>
      <w:proofErr w:type="spellEnd"/>
      <w:r w:rsidRPr="003C2BC2">
        <w:rPr>
          <w:color w:val="000000"/>
        </w:rPr>
        <w:t>) Annual notification (Requirements 37 and 41)</w:t>
      </w:r>
    </w:p>
    <w:p w14:paraId="48D3ADDB" w14:textId="254EF97F" w:rsidR="00377F6B" w:rsidRPr="003C2BC2" w:rsidRDefault="00377F6B" w:rsidP="00FB6EEB">
      <w:pPr>
        <w:rPr>
          <w:rFonts w:eastAsia="Times New Roman"/>
          <w:bCs/>
          <w:color w:val="000000"/>
        </w:rPr>
      </w:pPr>
      <w:r w:rsidRPr="003C2BC2">
        <w:rPr>
          <w:color w:val="000000"/>
        </w:rPr>
        <w:t>In order to claim the annual reimbursement of costs, the beneficiaries must, in addition to registration, make the annual notification in accordance with Article 1 Section 17(1). The annual notification requires the electronic transmission of data on the services provided, which resulted in collection, cleaning, awareness-raising and data collection and transmission costs being incurred by the beneficiaries in the previous year (see Article 1 Section 17(1) subparagraphs 1 to 4).</w:t>
      </w:r>
    </w:p>
    <w:p w14:paraId="7BC1793B" w14:textId="77777777" w:rsidR="00377F6B" w:rsidRPr="003C2BC2" w:rsidRDefault="00377F6B" w:rsidP="00FB6EEB">
      <w:pPr>
        <w:rPr>
          <w:rFonts w:eastAsia="Times New Roman"/>
          <w:bCs/>
          <w:color w:val="000000"/>
        </w:rPr>
      </w:pPr>
      <w:r w:rsidRPr="003C2BC2">
        <w:rPr>
          <w:color w:val="000000"/>
        </w:rPr>
        <w:t xml:space="preserve">On this, more extensive research work and calculations must be carried out in part. Based on the time value table for obligations on the private sector to provide information (‘Making calculations’; Annex V of the Guide to Calculating and Setting Out Compliance Costs for Regulatory Projects of the Federal Government) the time required is estimated at 185 minutes, with a </w:t>
      </w:r>
      <w:proofErr w:type="spellStart"/>
      <w:r w:rsidRPr="003C2BC2">
        <w:rPr>
          <w:color w:val="000000"/>
        </w:rPr>
        <w:t>höherer</w:t>
      </w:r>
      <w:proofErr w:type="spellEnd"/>
      <w:r w:rsidRPr="003C2BC2">
        <w:rPr>
          <w:color w:val="000000"/>
        </w:rPr>
        <w:t xml:space="preserve"> </w:t>
      </w:r>
      <w:proofErr w:type="spellStart"/>
      <w:r w:rsidRPr="003C2BC2">
        <w:rPr>
          <w:color w:val="000000"/>
        </w:rPr>
        <w:t>Dienst</w:t>
      </w:r>
      <w:proofErr w:type="spellEnd"/>
      <w:r w:rsidRPr="003C2BC2">
        <w:rPr>
          <w:color w:val="000000"/>
        </w:rPr>
        <w:t xml:space="preserve"> (higher) skill level (see Annex VII – ‘Administration’ wage cost table – of the Guide to Calculating and Setting Out Compliance Costs for Regulatory Projects of the Federal Government).</w:t>
      </w:r>
    </w:p>
    <w:p w14:paraId="4854C1FF" w14:textId="77777777" w:rsidR="00377F6B" w:rsidRPr="003C2BC2" w:rsidRDefault="00377F6B" w:rsidP="00FB6EEB">
      <w:pPr>
        <w:rPr>
          <w:rFonts w:eastAsia="Times New Roman"/>
          <w:bCs/>
          <w:color w:val="000000"/>
        </w:rPr>
      </w:pPr>
      <w:r w:rsidRPr="003C2BC2">
        <w:rPr>
          <w:color w:val="000000"/>
        </w:rPr>
        <w:t>Annual compliance costs:</w:t>
      </w:r>
    </w:p>
    <w:tbl>
      <w:tblPr>
        <w:tblStyle w:val="TableGrid"/>
        <w:tblW w:w="9204" w:type="dxa"/>
        <w:tblLayout w:type="fixed"/>
        <w:tblLook w:val="04A0" w:firstRow="1" w:lastRow="0" w:firstColumn="1" w:lastColumn="0" w:noHBand="0" w:noVBand="1"/>
      </w:tblPr>
      <w:tblGrid>
        <w:gridCol w:w="1129"/>
        <w:gridCol w:w="1417"/>
        <w:gridCol w:w="1413"/>
        <w:gridCol w:w="1985"/>
        <w:gridCol w:w="1701"/>
        <w:gridCol w:w="1559"/>
      </w:tblGrid>
      <w:tr w:rsidR="00377F6B" w:rsidRPr="003C2BC2" w14:paraId="27DFEBCF" w14:textId="77777777" w:rsidTr="003D62F7">
        <w:tc>
          <w:tcPr>
            <w:tcW w:w="1129" w:type="dxa"/>
            <w:shd w:val="clear" w:color="auto" w:fill="BFBFBF"/>
          </w:tcPr>
          <w:p w14:paraId="76A32D53" w14:textId="77777777" w:rsidR="00377F6B" w:rsidRPr="003C2BC2" w:rsidRDefault="00377F6B" w:rsidP="00FB6EEB">
            <w:pPr>
              <w:pStyle w:val="Text"/>
            </w:pPr>
            <w:r w:rsidRPr="003C2BC2">
              <w:t>Number of cases</w:t>
            </w:r>
          </w:p>
        </w:tc>
        <w:tc>
          <w:tcPr>
            <w:tcW w:w="1417" w:type="dxa"/>
            <w:shd w:val="clear" w:color="auto" w:fill="BFBFBF"/>
          </w:tcPr>
          <w:p w14:paraId="6D0EB340" w14:textId="77777777" w:rsidR="00377F6B" w:rsidRPr="003C2BC2" w:rsidRDefault="00377F6B" w:rsidP="00FB6EEB">
            <w:pPr>
              <w:pStyle w:val="Text"/>
            </w:pPr>
            <w:r w:rsidRPr="003C2BC2">
              <w:t>Time spent per case (in h)</w:t>
            </w:r>
          </w:p>
        </w:tc>
        <w:tc>
          <w:tcPr>
            <w:tcW w:w="1413" w:type="dxa"/>
            <w:shd w:val="clear" w:color="auto" w:fill="BFBFBF"/>
          </w:tcPr>
          <w:p w14:paraId="67FF7FE1"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4FD9CEA7" w14:textId="77777777" w:rsidR="00377F6B" w:rsidRPr="003C2BC2" w:rsidRDefault="00377F6B" w:rsidP="00FB6EEB">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71D9B66E" w14:textId="77777777" w:rsidR="00377F6B" w:rsidRPr="003C2BC2" w:rsidRDefault="00377F6B" w:rsidP="00FB6EEB">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48388B07" w14:textId="77777777" w:rsidR="00377F6B" w:rsidRPr="003C2BC2" w:rsidRDefault="00377F6B" w:rsidP="00FB6EEB">
            <w:pPr>
              <w:pStyle w:val="Text"/>
            </w:pPr>
            <w:r w:rsidRPr="003C2BC2">
              <w:t xml:space="preserve">Material costs </w:t>
            </w:r>
          </w:p>
          <w:p w14:paraId="3C3A6921" w14:textId="77777777" w:rsidR="00377F6B" w:rsidRPr="003C2BC2" w:rsidRDefault="00377F6B" w:rsidP="00FB6EEB">
            <w:pPr>
              <w:pStyle w:val="Text"/>
            </w:pPr>
            <w:r w:rsidRPr="003C2BC2">
              <w:t>Total (in EUR)</w:t>
            </w:r>
          </w:p>
        </w:tc>
      </w:tr>
      <w:tr w:rsidR="00377F6B" w:rsidRPr="003C2BC2" w14:paraId="76D26926" w14:textId="77777777" w:rsidTr="003D62F7">
        <w:trPr>
          <w:trHeight w:val="368"/>
        </w:trPr>
        <w:tc>
          <w:tcPr>
            <w:tcW w:w="1129" w:type="dxa"/>
            <w:vAlign w:val="center"/>
          </w:tcPr>
          <w:p w14:paraId="54662F5A" w14:textId="3ACF21C8" w:rsidR="00377F6B" w:rsidRPr="003C2BC2" w:rsidRDefault="000D16C9" w:rsidP="00FB6EEB">
            <w:pPr>
              <w:pStyle w:val="Text"/>
            </w:pPr>
            <w:r w:rsidRPr="003C2BC2">
              <w:t>6 470</w:t>
            </w:r>
          </w:p>
        </w:tc>
        <w:tc>
          <w:tcPr>
            <w:tcW w:w="1417" w:type="dxa"/>
            <w:vAlign w:val="center"/>
          </w:tcPr>
          <w:p w14:paraId="6F3370A6" w14:textId="77777777" w:rsidR="00377F6B" w:rsidRPr="003C2BC2" w:rsidRDefault="00377F6B" w:rsidP="00FB6EEB">
            <w:pPr>
              <w:pStyle w:val="Text"/>
            </w:pPr>
            <w:r w:rsidRPr="003C2BC2">
              <w:t>3 083</w:t>
            </w:r>
          </w:p>
        </w:tc>
        <w:tc>
          <w:tcPr>
            <w:tcW w:w="1413" w:type="dxa"/>
            <w:vAlign w:val="center"/>
          </w:tcPr>
          <w:p w14:paraId="23759228" w14:textId="77777777" w:rsidR="00377F6B" w:rsidRPr="003C2BC2" w:rsidRDefault="00377F6B" w:rsidP="00FB6EEB">
            <w:pPr>
              <w:pStyle w:val="Text"/>
            </w:pPr>
            <w:r w:rsidRPr="003C2BC2">
              <w:t>60.50</w:t>
            </w:r>
          </w:p>
        </w:tc>
        <w:tc>
          <w:tcPr>
            <w:tcW w:w="1984" w:type="dxa"/>
            <w:tcBorders>
              <w:right w:val="single" w:sz="12" w:space="0" w:color="auto"/>
            </w:tcBorders>
            <w:vAlign w:val="center"/>
          </w:tcPr>
          <w:p w14:paraId="7074DA20"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4DE0F669" w14:textId="61C6436B" w:rsidR="00377F6B" w:rsidRPr="003C2BC2" w:rsidRDefault="000D16C9" w:rsidP="00FB6EEB">
            <w:pPr>
              <w:pStyle w:val="Text"/>
            </w:pPr>
            <w:r w:rsidRPr="003C2BC2">
              <w:t>1 206 794</w:t>
            </w:r>
          </w:p>
        </w:tc>
        <w:tc>
          <w:tcPr>
            <w:tcW w:w="1559" w:type="dxa"/>
            <w:tcBorders>
              <w:right w:val="single" w:sz="8" w:space="0" w:color="auto"/>
            </w:tcBorders>
            <w:vAlign w:val="center"/>
          </w:tcPr>
          <w:p w14:paraId="4A59EC7E" w14:textId="77777777" w:rsidR="00377F6B" w:rsidRPr="003C2BC2" w:rsidRDefault="00377F6B" w:rsidP="00FB6EEB">
            <w:pPr>
              <w:pStyle w:val="Text"/>
            </w:pPr>
            <w:r w:rsidRPr="003C2BC2">
              <w:t>0</w:t>
            </w:r>
          </w:p>
        </w:tc>
      </w:tr>
      <w:tr w:rsidR="00377F6B" w:rsidRPr="003C2BC2" w14:paraId="0B9DA268" w14:textId="77777777" w:rsidTr="003D62F7">
        <w:trPr>
          <w:trHeight w:val="368"/>
        </w:trPr>
        <w:tc>
          <w:tcPr>
            <w:tcW w:w="5944" w:type="dxa"/>
            <w:gridSpan w:val="4"/>
            <w:tcBorders>
              <w:right w:val="single" w:sz="12" w:space="0" w:color="auto"/>
            </w:tcBorders>
            <w:shd w:val="clear" w:color="auto" w:fill="BFBFBF"/>
            <w:vAlign w:val="center"/>
          </w:tcPr>
          <w:p w14:paraId="0118CCAC"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2F708B52" w14:textId="0E154840" w:rsidR="00377F6B" w:rsidRPr="003C2BC2" w:rsidRDefault="000D16C9" w:rsidP="00FB6EEB">
            <w:pPr>
              <w:pStyle w:val="Text"/>
            </w:pPr>
            <w:r w:rsidRPr="003C2BC2">
              <w:t>1 206 794</w:t>
            </w:r>
          </w:p>
        </w:tc>
      </w:tr>
    </w:tbl>
    <w:p w14:paraId="07AF18C4" w14:textId="4A96BE59" w:rsidR="00377F6B" w:rsidRPr="003C2BC2" w:rsidRDefault="00377F6B" w:rsidP="00FB6EEB">
      <w:pPr>
        <w:rPr>
          <w:rFonts w:eastAsia="Times New Roman"/>
          <w:bCs/>
          <w:color w:val="000000"/>
        </w:rPr>
      </w:pPr>
      <w:r w:rsidRPr="003C2BC2">
        <w:rPr>
          <w:color w:val="000000"/>
        </w:rPr>
        <w:t xml:space="preserve">In accordance with Article 1 Section 18, the Federal Environment Agency may order, in individual cases, a beneficiary to have the data notified in accordance with Article 1 Section 17(1) verified by an expert, at the beneficiary’s own expense. This will particularly be necessary if there are doubts as to the accuracy of the data and anomalies when data is compared to that of previous years and these doubts cannot be resolved on enquiry by the Federal Environment Agency. It is assumed that this will be necessary only in a maximum of 10 per cent of all cases each year (= 647 cases) and an expert will require three working </w:t>
      </w:r>
      <w:r w:rsidRPr="003C2BC2">
        <w:rPr>
          <w:color w:val="000000"/>
        </w:rPr>
        <w:lastRenderedPageBreak/>
        <w:t>days (= 24 working hours) to check and confirm the transactions. Experts fall under Private sector M – Provision of professional, scientific and technical services, high skill level. According to the ‘Private sector’ wage cost table (Annex VI of the Guide to Calculating and Setting Out Compliance Costs for Regulatory Projects of the Federal Government), an hourly rate of EUR 58.80 is estimated. In this case, from the administration’s point of view (eligible public waste management providers) external personnel are being hired to undertake this verification work and therefore no direct personnel costs are incurred by beneficiaries; these costs are reported as material costs.</w:t>
      </w:r>
    </w:p>
    <w:p w14:paraId="6355BE50" w14:textId="47144A10" w:rsidR="00377F6B" w:rsidRPr="003C2BC2" w:rsidRDefault="00377F6B" w:rsidP="00FB6EEB">
      <w:pPr>
        <w:rPr>
          <w:rFonts w:eastAsia="Times New Roman"/>
          <w:bCs/>
          <w:color w:val="000000"/>
        </w:rPr>
      </w:pPr>
      <w:r w:rsidRPr="003C2BC2">
        <w:rPr>
          <w:color w:val="000000"/>
        </w:rPr>
        <w:t>Annual compliance costs:</w:t>
      </w:r>
    </w:p>
    <w:tbl>
      <w:tblPr>
        <w:tblStyle w:val="TableGrid"/>
        <w:tblW w:w="9204" w:type="dxa"/>
        <w:tblLayout w:type="fixed"/>
        <w:tblLook w:val="04A0" w:firstRow="1" w:lastRow="0" w:firstColumn="1" w:lastColumn="0" w:noHBand="0" w:noVBand="1"/>
      </w:tblPr>
      <w:tblGrid>
        <w:gridCol w:w="1129"/>
        <w:gridCol w:w="1417"/>
        <w:gridCol w:w="1413"/>
        <w:gridCol w:w="1985"/>
        <w:gridCol w:w="1701"/>
        <w:gridCol w:w="1559"/>
      </w:tblGrid>
      <w:tr w:rsidR="00377F6B" w:rsidRPr="003C2BC2" w14:paraId="0CE6591B" w14:textId="77777777" w:rsidTr="003D62F7">
        <w:tc>
          <w:tcPr>
            <w:tcW w:w="1129" w:type="dxa"/>
            <w:shd w:val="clear" w:color="auto" w:fill="BFBFBF"/>
          </w:tcPr>
          <w:p w14:paraId="6B72FC38" w14:textId="77777777" w:rsidR="00377F6B" w:rsidRPr="003C2BC2" w:rsidRDefault="00377F6B" w:rsidP="00FB6EEB">
            <w:pPr>
              <w:pStyle w:val="Text"/>
            </w:pPr>
            <w:r w:rsidRPr="003C2BC2">
              <w:t>Number of cases</w:t>
            </w:r>
          </w:p>
        </w:tc>
        <w:tc>
          <w:tcPr>
            <w:tcW w:w="1417" w:type="dxa"/>
            <w:shd w:val="clear" w:color="auto" w:fill="BFBFBF"/>
          </w:tcPr>
          <w:p w14:paraId="3542E588" w14:textId="77777777" w:rsidR="00377F6B" w:rsidRPr="003C2BC2" w:rsidRDefault="00377F6B" w:rsidP="00FB6EEB">
            <w:pPr>
              <w:pStyle w:val="Text"/>
            </w:pPr>
            <w:r w:rsidRPr="003C2BC2">
              <w:t>Time spent per case (in h)</w:t>
            </w:r>
          </w:p>
        </w:tc>
        <w:tc>
          <w:tcPr>
            <w:tcW w:w="1413" w:type="dxa"/>
            <w:shd w:val="clear" w:color="auto" w:fill="BFBFBF"/>
          </w:tcPr>
          <w:p w14:paraId="626C6F8A"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74FFF8DE" w14:textId="77777777" w:rsidR="00377F6B" w:rsidRPr="003C2BC2" w:rsidRDefault="00377F6B" w:rsidP="00FB6EEB">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1AFB4088" w14:textId="77777777" w:rsidR="00377F6B" w:rsidRPr="003C2BC2" w:rsidRDefault="00377F6B" w:rsidP="00FB6EEB">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33E759D4" w14:textId="77777777" w:rsidR="00377F6B" w:rsidRPr="003C2BC2" w:rsidRDefault="00377F6B" w:rsidP="00FB6EEB">
            <w:pPr>
              <w:pStyle w:val="Text"/>
            </w:pPr>
            <w:r w:rsidRPr="003C2BC2">
              <w:t xml:space="preserve">Material costs </w:t>
            </w:r>
          </w:p>
          <w:p w14:paraId="4D6DEB3D" w14:textId="77777777" w:rsidR="00377F6B" w:rsidRPr="003C2BC2" w:rsidRDefault="00377F6B" w:rsidP="00FB6EEB">
            <w:pPr>
              <w:pStyle w:val="Text"/>
            </w:pPr>
            <w:r w:rsidRPr="003C2BC2">
              <w:t>Total (in EUR)</w:t>
            </w:r>
          </w:p>
        </w:tc>
      </w:tr>
      <w:tr w:rsidR="00377F6B" w:rsidRPr="003C2BC2" w14:paraId="46FA85C6" w14:textId="77777777" w:rsidTr="003D62F7">
        <w:trPr>
          <w:trHeight w:val="368"/>
        </w:trPr>
        <w:tc>
          <w:tcPr>
            <w:tcW w:w="1129" w:type="dxa"/>
            <w:vAlign w:val="center"/>
          </w:tcPr>
          <w:p w14:paraId="7BF52165" w14:textId="141128FD" w:rsidR="00377F6B" w:rsidRPr="003C2BC2" w:rsidRDefault="000D16C9" w:rsidP="00FB6EEB">
            <w:pPr>
              <w:pStyle w:val="Text"/>
            </w:pPr>
            <w:r w:rsidRPr="003C2BC2">
              <w:t>647</w:t>
            </w:r>
          </w:p>
        </w:tc>
        <w:tc>
          <w:tcPr>
            <w:tcW w:w="1417" w:type="dxa"/>
            <w:vAlign w:val="center"/>
          </w:tcPr>
          <w:p w14:paraId="060F0F90" w14:textId="77777777" w:rsidR="00377F6B" w:rsidRPr="003C2BC2" w:rsidRDefault="00377F6B" w:rsidP="00FB6EEB">
            <w:pPr>
              <w:pStyle w:val="Text"/>
            </w:pPr>
          </w:p>
        </w:tc>
        <w:tc>
          <w:tcPr>
            <w:tcW w:w="1413" w:type="dxa"/>
            <w:vAlign w:val="center"/>
          </w:tcPr>
          <w:p w14:paraId="0AD4C223" w14:textId="77777777" w:rsidR="00377F6B" w:rsidRPr="003C2BC2" w:rsidRDefault="00377F6B" w:rsidP="00FB6EEB">
            <w:pPr>
              <w:pStyle w:val="Text"/>
            </w:pPr>
          </w:p>
        </w:tc>
        <w:tc>
          <w:tcPr>
            <w:tcW w:w="1984" w:type="dxa"/>
            <w:tcBorders>
              <w:right w:val="single" w:sz="12" w:space="0" w:color="auto"/>
            </w:tcBorders>
            <w:vAlign w:val="center"/>
          </w:tcPr>
          <w:p w14:paraId="1F285C62" w14:textId="77777777" w:rsidR="00377F6B" w:rsidRPr="003C2BC2" w:rsidRDefault="00377F6B" w:rsidP="00FB6EEB">
            <w:pPr>
              <w:pStyle w:val="Text"/>
            </w:pPr>
            <w:r w:rsidRPr="003C2BC2">
              <w:t>1 411</w:t>
            </w:r>
          </w:p>
        </w:tc>
        <w:tc>
          <w:tcPr>
            <w:tcW w:w="1701" w:type="dxa"/>
            <w:tcBorders>
              <w:left w:val="single" w:sz="12" w:space="0" w:color="auto"/>
            </w:tcBorders>
            <w:vAlign w:val="center"/>
          </w:tcPr>
          <w:p w14:paraId="6A6CE0C2" w14:textId="77777777" w:rsidR="00377F6B" w:rsidRPr="003C2BC2" w:rsidRDefault="00377F6B" w:rsidP="00FB6EEB">
            <w:pPr>
              <w:pStyle w:val="Text"/>
            </w:pPr>
          </w:p>
        </w:tc>
        <w:tc>
          <w:tcPr>
            <w:tcW w:w="1559" w:type="dxa"/>
            <w:tcBorders>
              <w:right w:val="single" w:sz="8" w:space="0" w:color="auto"/>
            </w:tcBorders>
            <w:vAlign w:val="center"/>
          </w:tcPr>
          <w:p w14:paraId="6DF7656A" w14:textId="715E1E6A" w:rsidR="00377F6B" w:rsidRPr="003C2BC2" w:rsidRDefault="000D16C9" w:rsidP="00FB6EEB">
            <w:pPr>
              <w:pStyle w:val="Text"/>
            </w:pPr>
            <w:r w:rsidRPr="003C2BC2">
              <w:t>912 917</w:t>
            </w:r>
          </w:p>
        </w:tc>
      </w:tr>
      <w:tr w:rsidR="00377F6B" w:rsidRPr="003C2BC2" w14:paraId="4C4E7255" w14:textId="77777777" w:rsidTr="003D62F7">
        <w:trPr>
          <w:trHeight w:val="368"/>
        </w:trPr>
        <w:tc>
          <w:tcPr>
            <w:tcW w:w="5944" w:type="dxa"/>
            <w:gridSpan w:val="4"/>
            <w:tcBorders>
              <w:right w:val="single" w:sz="12" w:space="0" w:color="auto"/>
            </w:tcBorders>
            <w:shd w:val="clear" w:color="auto" w:fill="BFBFBF"/>
            <w:vAlign w:val="center"/>
          </w:tcPr>
          <w:p w14:paraId="13EAD6EC"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3343D4FB" w14:textId="42C1C4AA" w:rsidR="00377F6B" w:rsidRPr="003C2BC2" w:rsidRDefault="000D16C9" w:rsidP="00FB6EEB">
            <w:pPr>
              <w:pStyle w:val="Text"/>
            </w:pPr>
            <w:r w:rsidRPr="003C2BC2">
              <w:t>912 917</w:t>
            </w:r>
          </w:p>
        </w:tc>
      </w:tr>
    </w:tbl>
    <w:p w14:paraId="532FFB45" w14:textId="4C3C7BD9" w:rsidR="00377F6B" w:rsidRPr="003C2BC2" w:rsidRDefault="00377F6B" w:rsidP="00FB6EEB">
      <w:pPr>
        <w:spacing w:before="240"/>
        <w:rPr>
          <w:rFonts w:eastAsia="Times New Roman"/>
          <w:bCs/>
          <w:color w:val="000000"/>
        </w:rPr>
      </w:pPr>
      <w:r w:rsidRPr="003C2BC2">
        <w:rPr>
          <w:color w:val="000000"/>
        </w:rPr>
        <w:t>ccc) Appointment of single-use plastics commission members (Requirement 52)</w:t>
      </w:r>
    </w:p>
    <w:p w14:paraId="72C771A9" w14:textId="361FA560" w:rsidR="00377F6B" w:rsidRPr="003C2BC2" w:rsidRDefault="00377F6B" w:rsidP="00FB6EEB">
      <w:pPr>
        <w:rPr>
          <w:rFonts w:eastAsia="Times New Roman"/>
          <w:bCs/>
          <w:color w:val="000000"/>
        </w:rPr>
      </w:pPr>
      <w:r w:rsidRPr="003C2BC2">
        <w:rPr>
          <w:color w:val="000000"/>
        </w:rPr>
        <w:t xml:space="preserve">The beneficiaries are entitled to appoint a total of four representatives as members of the single-use plastics commission in accordance with Article 1 Section 24(1) subparagraphs 2 to 4 in conjunction with the first sentence of paragraph (2). The reader is referred to the comments under </w:t>
      </w:r>
      <w:proofErr w:type="spellStart"/>
      <w:r w:rsidRPr="003C2BC2">
        <w:rPr>
          <w:color w:val="000000"/>
        </w:rPr>
        <w:t>fff</w:t>
      </w:r>
      <w:proofErr w:type="spellEnd"/>
      <w:r w:rsidRPr="003C2BC2">
        <w:rPr>
          <w:color w:val="000000"/>
        </w:rPr>
        <w:t xml:space="preserve">) as regards the basic considerations. Sections 10 and 12 of the foundation statutes of the Central Agency Packaging Register set out two relevant bodies of interest representatives: the </w:t>
      </w:r>
      <w:proofErr w:type="spellStart"/>
      <w:r w:rsidRPr="003C2BC2">
        <w:rPr>
          <w:color w:val="000000"/>
        </w:rPr>
        <w:t>Bundesvereinigung</w:t>
      </w:r>
      <w:proofErr w:type="spellEnd"/>
      <w:r w:rsidRPr="003C2BC2">
        <w:rPr>
          <w:color w:val="000000"/>
        </w:rPr>
        <w:t xml:space="preserve"> </w:t>
      </w:r>
      <w:proofErr w:type="spellStart"/>
      <w:r w:rsidRPr="003C2BC2">
        <w:rPr>
          <w:color w:val="000000"/>
        </w:rPr>
        <w:t>kommunaler</w:t>
      </w:r>
      <w:proofErr w:type="spellEnd"/>
      <w:r w:rsidRPr="003C2BC2">
        <w:rPr>
          <w:color w:val="000000"/>
        </w:rPr>
        <w:t xml:space="preserve"> </w:t>
      </w:r>
      <w:proofErr w:type="spellStart"/>
      <w:r w:rsidRPr="003C2BC2">
        <w:rPr>
          <w:color w:val="000000"/>
        </w:rPr>
        <w:t>Spitzenverbände</w:t>
      </w:r>
      <w:proofErr w:type="spellEnd"/>
      <w:r w:rsidRPr="003C2BC2">
        <w:rPr>
          <w:color w:val="000000"/>
        </w:rPr>
        <w:t xml:space="preserve"> and the </w:t>
      </w:r>
      <w:proofErr w:type="spellStart"/>
      <w:r w:rsidRPr="003C2BC2">
        <w:rPr>
          <w:color w:val="000000"/>
        </w:rPr>
        <w:t>Verband</w:t>
      </w:r>
      <w:proofErr w:type="spellEnd"/>
      <w:r w:rsidRPr="003C2BC2">
        <w:rPr>
          <w:color w:val="000000"/>
        </w:rPr>
        <w:t xml:space="preserve"> </w:t>
      </w:r>
      <w:proofErr w:type="spellStart"/>
      <w:r w:rsidRPr="003C2BC2">
        <w:rPr>
          <w:color w:val="000000"/>
        </w:rPr>
        <w:t>kommunaler</w:t>
      </w:r>
      <w:proofErr w:type="spellEnd"/>
      <w:r w:rsidRPr="003C2BC2">
        <w:rPr>
          <w:color w:val="000000"/>
        </w:rPr>
        <w:t xml:space="preserve"> </w:t>
      </w:r>
      <w:proofErr w:type="spellStart"/>
      <w:r w:rsidRPr="003C2BC2">
        <w:rPr>
          <w:color w:val="000000"/>
        </w:rPr>
        <w:t>Unternehmen</w:t>
      </w:r>
      <w:proofErr w:type="spellEnd"/>
      <w:r w:rsidRPr="003C2BC2">
        <w:rPr>
          <w:color w:val="000000"/>
        </w:rPr>
        <w:t xml:space="preserve"> </w:t>
      </w:r>
      <w:proofErr w:type="spellStart"/>
      <w:r w:rsidRPr="003C2BC2">
        <w:rPr>
          <w:color w:val="000000"/>
        </w:rPr>
        <w:t>e.V.</w:t>
      </w:r>
      <w:proofErr w:type="spellEnd"/>
    </w:p>
    <w:p w14:paraId="68605A4D" w14:textId="77777777" w:rsidR="00377F6B" w:rsidRPr="003C2BC2" w:rsidRDefault="00377F6B" w:rsidP="00FB6EEB">
      <w:pPr>
        <w:rPr>
          <w:rFonts w:eastAsia="Times New Roman"/>
          <w:bCs/>
          <w:color w:val="000000"/>
        </w:rPr>
      </w:pPr>
      <w:r w:rsidRPr="003C2BC2">
        <w:rPr>
          <w:color w:val="000000"/>
        </w:rPr>
        <w:t xml:space="preserve">For consensus to be reached between the above-mentioned associations, two half-day (four-hour) external meetings are estimated. For the annual review of appointments, one half-day (four-hour) external meeting of the two above-mentioned associations is estimated. The aim of the meetings is to coordinate and decide on the appointment of the commission members, which, due to the relevance of the allocation of seats, requires the presence of staff member at </w:t>
      </w:r>
      <w:proofErr w:type="spellStart"/>
      <w:r w:rsidRPr="003C2BC2">
        <w:rPr>
          <w:color w:val="000000"/>
        </w:rPr>
        <w:t>höherer</w:t>
      </w:r>
      <w:proofErr w:type="spellEnd"/>
      <w:r w:rsidRPr="003C2BC2">
        <w:rPr>
          <w:color w:val="000000"/>
        </w:rPr>
        <w:t xml:space="preserve"> </w:t>
      </w:r>
      <w:proofErr w:type="spellStart"/>
      <w:r w:rsidRPr="003C2BC2">
        <w:rPr>
          <w:color w:val="000000"/>
        </w:rPr>
        <w:t>Dienst</w:t>
      </w:r>
      <w:proofErr w:type="spellEnd"/>
      <w:r w:rsidRPr="003C2BC2">
        <w:rPr>
          <w:color w:val="000000"/>
        </w:rPr>
        <w:t xml:space="preserve"> level. Based on the ‘Administration’ wage cost table (Annex VII of the Guide to Calculating and Setting Out Compliance Costs for Regulatory Projects of the Federal Government), an hourly rate of EUR 60.50 is estimated.</w:t>
      </w:r>
    </w:p>
    <w:p w14:paraId="53752A31" w14:textId="77777777" w:rsidR="00377F6B" w:rsidRPr="003C2BC2" w:rsidRDefault="00377F6B" w:rsidP="00FB6EEB">
      <w:pPr>
        <w:rPr>
          <w:rFonts w:eastAsia="Times New Roman"/>
          <w:bCs/>
          <w:color w:val="000000"/>
        </w:rPr>
      </w:pPr>
      <w:r w:rsidRPr="003C2BC2">
        <w:rPr>
          <w:color w:val="000000"/>
        </w:rPr>
        <w:t>One-off conversion costs:</w:t>
      </w:r>
    </w:p>
    <w:tbl>
      <w:tblPr>
        <w:tblStyle w:val="TableGrid"/>
        <w:tblW w:w="9204" w:type="dxa"/>
        <w:tblLayout w:type="fixed"/>
        <w:tblLook w:val="04A0" w:firstRow="1" w:lastRow="0" w:firstColumn="1" w:lastColumn="0" w:noHBand="0" w:noVBand="1"/>
      </w:tblPr>
      <w:tblGrid>
        <w:gridCol w:w="1129"/>
        <w:gridCol w:w="1417"/>
        <w:gridCol w:w="1413"/>
        <w:gridCol w:w="1985"/>
        <w:gridCol w:w="1559"/>
        <w:gridCol w:w="1701"/>
      </w:tblGrid>
      <w:tr w:rsidR="00377F6B" w:rsidRPr="003C2BC2" w14:paraId="5D19253F" w14:textId="77777777" w:rsidTr="003D62F7">
        <w:tc>
          <w:tcPr>
            <w:tcW w:w="1129" w:type="dxa"/>
            <w:shd w:val="clear" w:color="auto" w:fill="BFBFBF"/>
          </w:tcPr>
          <w:p w14:paraId="50E07B0F" w14:textId="77777777" w:rsidR="00377F6B" w:rsidRPr="003C2BC2" w:rsidRDefault="00377F6B" w:rsidP="00FB6EEB">
            <w:pPr>
              <w:pStyle w:val="Text"/>
            </w:pPr>
            <w:r w:rsidRPr="003C2BC2">
              <w:t>Number of cases</w:t>
            </w:r>
          </w:p>
        </w:tc>
        <w:tc>
          <w:tcPr>
            <w:tcW w:w="1417" w:type="dxa"/>
            <w:shd w:val="clear" w:color="auto" w:fill="BFBFBF"/>
          </w:tcPr>
          <w:p w14:paraId="4EDDBF72" w14:textId="77777777" w:rsidR="00377F6B" w:rsidRPr="003C2BC2" w:rsidRDefault="00377F6B" w:rsidP="00FB6EEB">
            <w:pPr>
              <w:pStyle w:val="Text"/>
            </w:pPr>
            <w:r w:rsidRPr="003C2BC2">
              <w:t>Time spent per case (in h)</w:t>
            </w:r>
          </w:p>
        </w:tc>
        <w:tc>
          <w:tcPr>
            <w:tcW w:w="1413" w:type="dxa"/>
            <w:shd w:val="clear" w:color="auto" w:fill="BFBFBF"/>
          </w:tcPr>
          <w:p w14:paraId="2C065FD1"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0B96A1E1" w14:textId="77777777" w:rsidR="00377F6B" w:rsidRPr="003C2BC2" w:rsidRDefault="00377F6B" w:rsidP="00FB6EEB">
            <w:pPr>
              <w:pStyle w:val="Text"/>
            </w:pPr>
            <w:r w:rsidRPr="003C2BC2">
              <w:t>Material costs per case (in EUR)</w:t>
            </w:r>
          </w:p>
        </w:tc>
        <w:tc>
          <w:tcPr>
            <w:tcW w:w="1559" w:type="dxa"/>
            <w:tcBorders>
              <w:top w:val="single" w:sz="8" w:space="0" w:color="auto"/>
              <w:left w:val="single" w:sz="12" w:space="0" w:color="auto"/>
            </w:tcBorders>
            <w:shd w:val="clear" w:color="auto" w:fill="BFBFBF"/>
          </w:tcPr>
          <w:p w14:paraId="2CCCFD1F" w14:textId="77777777" w:rsidR="00377F6B" w:rsidRPr="003C2BC2" w:rsidRDefault="00377F6B" w:rsidP="00FB6EEB">
            <w:pPr>
              <w:pStyle w:val="Text"/>
            </w:pPr>
            <w:r w:rsidRPr="003C2BC2">
              <w:t>Total personnel costs (in EUR)</w:t>
            </w:r>
          </w:p>
        </w:tc>
        <w:tc>
          <w:tcPr>
            <w:tcW w:w="1701" w:type="dxa"/>
            <w:tcBorders>
              <w:top w:val="single" w:sz="8" w:space="0" w:color="auto"/>
              <w:right w:val="single" w:sz="8" w:space="0" w:color="auto"/>
            </w:tcBorders>
            <w:shd w:val="clear" w:color="auto" w:fill="BFBFBF"/>
          </w:tcPr>
          <w:p w14:paraId="4F175392" w14:textId="77777777" w:rsidR="00377F6B" w:rsidRPr="003C2BC2" w:rsidRDefault="00377F6B" w:rsidP="00FB6EEB">
            <w:pPr>
              <w:pStyle w:val="Text"/>
            </w:pPr>
            <w:r w:rsidRPr="003C2BC2">
              <w:t xml:space="preserve">Material costs </w:t>
            </w:r>
          </w:p>
          <w:p w14:paraId="4CEDE28D" w14:textId="77777777" w:rsidR="00377F6B" w:rsidRPr="003C2BC2" w:rsidRDefault="00377F6B" w:rsidP="00FB6EEB">
            <w:pPr>
              <w:pStyle w:val="Text"/>
            </w:pPr>
            <w:r w:rsidRPr="003C2BC2">
              <w:t>Total (in EUR)</w:t>
            </w:r>
          </w:p>
        </w:tc>
      </w:tr>
      <w:tr w:rsidR="00377F6B" w:rsidRPr="003C2BC2" w14:paraId="27BE7EED" w14:textId="77777777" w:rsidTr="003D62F7">
        <w:trPr>
          <w:trHeight w:val="368"/>
        </w:trPr>
        <w:tc>
          <w:tcPr>
            <w:tcW w:w="1129" w:type="dxa"/>
            <w:vAlign w:val="center"/>
          </w:tcPr>
          <w:p w14:paraId="28B6BC8D" w14:textId="77777777" w:rsidR="00377F6B" w:rsidRPr="003C2BC2" w:rsidRDefault="00377F6B" w:rsidP="00FB6EEB">
            <w:pPr>
              <w:pStyle w:val="Text"/>
            </w:pPr>
            <w:r w:rsidRPr="003C2BC2">
              <w:t>2</w:t>
            </w:r>
          </w:p>
        </w:tc>
        <w:tc>
          <w:tcPr>
            <w:tcW w:w="1417" w:type="dxa"/>
            <w:vAlign w:val="center"/>
          </w:tcPr>
          <w:p w14:paraId="056C3ED3" w14:textId="77777777" w:rsidR="00377F6B" w:rsidRPr="003C2BC2" w:rsidRDefault="00377F6B" w:rsidP="00FB6EEB">
            <w:pPr>
              <w:pStyle w:val="Text"/>
            </w:pPr>
            <w:r w:rsidRPr="003C2BC2">
              <w:t>8</w:t>
            </w:r>
          </w:p>
        </w:tc>
        <w:tc>
          <w:tcPr>
            <w:tcW w:w="1413" w:type="dxa"/>
            <w:vAlign w:val="center"/>
          </w:tcPr>
          <w:p w14:paraId="24B2D0B6" w14:textId="77777777" w:rsidR="00377F6B" w:rsidRPr="003C2BC2" w:rsidRDefault="00377F6B" w:rsidP="00FB6EEB">
            <w:pPr>
              <w:pStyle w:val="Text"/>
            </w:pPr>
            <w:r w:rsidRPr="003C2BC2">
              <w:t>60.50</w:t>
            </w:r>
          </w:p>
        </w:tc>
        <w:tc>
          <w:tcPr>
            <w:tcW w:w="1984" w:type="dxa"/>
            <w:tcBorders>
              <w:right w:val="single" w:sz="12" w:space="0" w:color="auto"/>
            </w:tcBorders>
            <w:vAlign w:val="center"/>
          </w:tcPr>
          <w:p w14:paraId="7AFDA876" w14:textId="77777777" w:rsidR="00377F6B" w:rsidRPr="003C2BC2" w:rsidRDefault="00377F6B" w:rsidP="00FB6EEB">
            <w:pPr>
              <w:pStyle w:val="Text"/>
            </w:pPr>
          </w:p>
        </w:tc>
        <w:tc>
          <w:tcPr>
            <w:tcW w:w="1559" w:type="dxa"/>
            <w:tcBorders>
              <w:left w:val="single" w:sz="12" w:space="0" w:color="auto"/>
            </w:tcBorders>
            <w:vAlign w:val="center"/>
          </w:tcPr>
          <w:p w14:paraId="7034A89B" w14:textId="77777777" w:rsidR="00377F6B" w:rsidRPr="003C2BC2" w:rsidRDefault="00377F6B" w:rsidP="00FB6EEB">
            <w:pPr>
              <w:pStyle w:val="Text"/>
            </w:pPr>
            <w:r w:rsidRPr="003C2BC2">
              <w:t>968</w:t>
            </w:r>
          </w:p>
        </w:tc>
        <w:tc>
          <w:tcPr>
            <w:tcW w:w="1701" w:type="dxa"/>
            <w:tcBorders>
              <w:right w:val="single" w:sz="8" w:space="0" w:color="auto"/>
            </w:tcBorders>
            <w:vAlign w:val="center"/>
          </w:tcPr>
          <w:p w14:paraId="2F353852" w14:textId="77777777" w:rsidR="00377F6B" w:rsidRPr="003C2BC2" w:rsidRDefault="00377F6B" w:rsidP="00FB6EEB">
            <w:pPr>
              <w:pStyle w:val="Text"/>
            </w:pPr>
          </w:p>
        </w:tc>
      </w:tr>
      <w:tr w:rsidR="00377F6B" w:rsidRPr="003C2BC2" w14:paraId="704C36AA" w14:textId="77777777" w:rsidTr="003D62F7">
        <w:trPr>
          <w:trHeight w:val="368"/>
        </w:trPr>
        <w:tc>
          <w:tcPr>
            <w:tcW w:w="5944" w:type="dxa"/>
            <w:gridSpan w:val="4"/>
            <w:tcBorders>
              <w:right w:val="single" w:sz="12" w:space="0" w:color="auto"/>
            </w:tcBorders>
            <w:shd w:val="clear" w:color="auto" w:fill="BFBFBF"/>
            <w:vAlign w:val="center"/>
          </w:tcPr>
          <w:p w14:paraId="52181B78" w14:textId="77777777" w:rsidR="00377F6B" w:rsidRPr="003C2BC2" w:rsidRDefault="00377F6B" w:rsidP="00FB6EEB">
            <w:pPr>
              <w:pStyle w:val="Text"/>
            </w:pPr>
            <w:r w:rsidRPr="003C2BC2">
              <w:t>One-off conversion costs (in EUR)</w:t>
            </w:r>
          </w:p>
        </w:tc>
        <w:tc>
          <w:tcPr>
            <w:tcW w:w="3260" w:type="dxa"/>
            <w:gridSpan w:val="2"/>
            <w:tcBorders>
              <w:left w:val="single" w:sz="12" w:space="0" w:color="auto"/>
              <w:bottom w:val="single" w:sz="8" w:space="0" w:color="auto"/>
              <w:right w:val="single" w:sz="8" w:space="0" w:color="auto"/>
            </w:tcBorders>
            <w:vAlign w:val="center"/>
          </w:tcPr>
          <w:p w14:paraId="01E2AE7A" w14:textId="77777777" w:rsidR="00377F6B" w:rsidRPr="003C2BC2" w:rsidRDefault="00377F6B" w:rsidP="00FB6EEB">
            <w:pPr>
              <w:pStyle w:val="Text"/>
            </w:pPr>
            <w:r w:rsidRPr="003C2BC2">
              <w:t>968</w:t>
            </w:r>
          </w:p>
        </w:tc>
      </w:tr>
    </w:tbl>
    <w:p w14:paraId="65803BF1" w14:textId="2AC01941" w:rsidR="00377F6B" w:rsidRPr="003C2BC2" w:rsidRDefault="00377F6B" w:rsidP="003D62F7">
      <w:pPr>
        <w:keepNext/>
        <w:spacing w:before="240"/>
        <w:rPr>
          <w:rFonts w:eastAsia="Times New Roman"/>
          <w:bCs/>
          <w:color w:val="000000"/>
        </w:rPr>
      </w:pPr>
      <w:r w:rsidRPr="003C2BC2">
        <w:rPr>
          <w:color w:val="000000"/>
        </w:rPr>
        <w:lastRenderedPageBreak/>
        <w:t>Annual compliance costs:</w:t>
      </w:r>
    </w:p>
    <w:tbl>
      <w:tblPr>
        <w:tblStyle w:val="TableGrid"/>
        <w:tblW w:w="9346" w:type="dxa"/>
        <w:tblLayout w:type="fixed"/>
        <w:tblLook w:val="04A0" w:firstRow="1" w:lastRow="0" w:firstColumn="1" w:lastColumn="0" w:noHBand="0" w:noVBand="1"/>
      </w:tblPr>
      <w:tblGrid>
        <w:gridCol w:w="1271"/>
        <w:gridCol w:w="1417"/>
        <w:gridCol w:w="1413"/>
        <w:gridCol w:w="1985"/>
        <w:gridCol w:w="1701"/>
        <w:gridCol w:w="1559"/>
      </w:tblGrid>
      <w:tr w:rsidR="00377F6B" w:rsidRPr="003C2BC2" w14:paraId="4FB988D7" w14:textId="77777777" w:rsidTr="003D62F7">
        <w:tc>
          <w:tcPr>
            <w:tcW w:w="1271" w:type="dxa"/>
            <w:shd w:val="clear" w:color="auto" w:fill="BFBFBF"/>
          </w:tcPr>
          <w:p w14:paraId="03886A11" w14:textId="77777777" w:rsidR="00377F6B" w:rsidRPr="003C2BC2" w:rsidRDefault="00377F6B" w:rsidP="003D62F7">
            <w:pPr>
              <w:pStyle w:val="Text"/>
              <w:keepNext/>
            </w:pPr>
            <w:r w:rsidRPr="003C2BC2">
              <w:t>Number of cases</w:t>
            </w:r>
          </w:p>
        </w:tc>
        <w:tc>
          <w:tcPr>
            <w:tcW w:w="1417" w:type="dxa"/>
            <w:shd w:val="clear" w:color="auto" w:fill="BFBFBF"/>
          </w:tcPr>
          <w:p w14:paraId="2359B5AA" w14:textId="77777777" w:rsidR="00377F6B" w:rsidRPr="003C2BC2" w:rsidRDefault="00377F6B" w:rsidP="003D62F7">
            <w:pPr>
              <w:pStyle w:val="Text"/>
              <w:keepNext/>
            </w:pPr>
            <w:r w:rsidRPr="003C2BC2">
              <w:t>Time spent per case (in h)</w:t>
            </w:r>
          </w:p>
        </w:tc>
        <w:tc>
          <w:tcPr>
            <w:tcW w:w="1413" w:type="dxa"/>
            <w:shd w:val="clear" w:color="auto" w:fill="BFBFBF"/>
          </w:tcPr>
          <w:p w14:paraId="439B0A08" w14:textId="77777777" w:rsidR="00377F6B" w:rsidRPr="003C2BC2" w:rsidRDefault="00377F6B" w:rsidP="003D62F7">
            <w:pPr>
              <w:pStyle w:val="Text"/>
              <w:keepNext/>
              <w:jc w:val="left"/>
            </w:pPr>
            <w:r w:rsidRPr="003C2BC2">
              <w:t>Wage rate per h (in EUR)</w:t>
            </w:r>
          </w:p>
        </w:tc>
        <w:tc>
          <w:tcPr>
            <w:tcW w:w="1984" w:type="dxa"/>
            <w:tcBorders>
              <w:right w:val="single" w:sz="12" w:space="0" w:color="auto"/>
            </w:tcBorders>
            <w:shd w:val="clear" w:color="auto" w:fill="BFBFBF"/>
          </w:tcPr>
          <w:p w14:paraId="2DDCB57E" w14:textId="77777777" w:rsidR="00377F6B" w:rsidRPr="003C2BC2" w:rsidRDefault="00377F6B" w:rsidP="003D62F7">
            <w:pPr>
              <w:pStyle w:val="Text"/>
              <w:keepNext/>
            </w:pPr>
            <w:r w:rsidRPr="003C2BC2">
              <w:t>Material costs per case (in EUR)</w:t>
            </w:r>
          </w:p>
        </w:tc>
        <w:tc>
          <w:tcPr>
            <w:tcW w:w="1701" w:type="dxa"/>
            <w:tcBorders>
              <w:top w:val="single" w:sz="8" w:space="0" w:color="auto"/>
              <w:left w:val="single" w:sz="12" w:space="0" w:color="auto"/>
            </w:tcBorders>
            <w:shd w:val="clear" w:color="auto" w:fill="BFBFBF"/>
          </w:tcPr>
          <w:p w14:paraId="072B5B6C" w14:textId="77777777" w:rsidR="00377F6B" w:rsidRPr="003C2BC2" w:rsidRDefault="00377F6B" w:rsidP="003D62F7">
            <w:pPr>
              <w:pStyle w:val="Text"/>
              <w:keepNext/>
            </w:pPr>
            <w:r w:rsidRPr="003C2BC2">
              <w:t>Total personnel costs (in EUR)</w:t>
            </w:r>
          </w:p>
        </w:tc>
        <w:tc>
          <w:tcPr>
            <w:tcW w:w="1559" w:type="dxa"/>
            <w:tcBorders>
              <w:top w:val="single" w:sz="8" w:space="0" w:color="auto"/>
              <w:right w:val="single" w:sz="8" w:space="0" w:color="auto"/>
            </w:tcBorders>
            <w:shd w:val="clear" w:color="auto" w:fill="BFBFBF"/>
          </w:tcPr>
          <w:p w14:paraId="255EFE00" w14:textId="77777777" w:rsidR="00377F6B" w:rsidRPr="003C2BC2" w:rsidRDefault="00377F6B" w:rsidP="003D62F7">
            <w:pPr>
              <w:pStyle w:val="Text"/>
              <w:keepNext/>
            </w:pPr>
            <w:r w:rsidRPr="003C2BC2">
              <w:t xml:space="preserve">Material costs </w:t>
            </w:r>
          </w:p>
          <w:p w14:paraId="48430F94" w14:textId="77777777" w:rsidR="00377F6B" w:rsidRPr="003C2BC2" w:rsidRDefault="00377F6B" w:rsidP="003D62F7">
            <w:pPr>
              <w:pStyle w:val="Text"/>
              <w:keepNext/>
            </w:pPr>
            <w:r w:rsidRPr="003C2BC2">
              <w:t>Total (in EUR)</w:t>
            </w:r>
          </w:p>
        </w:tc>
      </w:tr>
      <w:tr w:rsidR="00377F6B" w:rsidRPr="003C2BC2" w14:paraId="771F6882" w14:textId="77777777" w:rsidTr="003D62F7">
        <w:trPr>
          <w:trHeight w:val="368"/>
        </w:trPr>
        <w:tc>
          <w:tcPr>
            <w:tcW w:w="1271" w:type="dxa"/>
            <w:vAlign w:val="center"/>
          </w:tcPr>
          <w:p w14:paraId="1BC38569" w14:textId="77777777" w:rsidR="00377F6B" w:rsidRPr="003C2BC2" w:rsidRDefault="00377F6B" w:rsidP="00FB6EEB">
            <w:pPr>
              <w:pStyle w:val="Text"/>
            </w:pPr>
            <w:r w:rsidRPr="003C2BC2">
              <w:t>2</w:t>
            </w:r>
          </w:p>
        </w:tc>
        <w:tc>
          <w:tcPr>
            <w:tcW w:w="1417" w:type="dxa"/>
            <w:vAlign w:val="center"/>
          </w:tcPr>
          <w:p w14:paraId="36E1D6CD" w14:textId="77777777" w:rsidR="00377F6B" w:rsidRPr="003C2BC2" w:rsidRDefault="00377F6B" w:rsidP="00FB6EEB">
            <w:pPr>
              <w:pStyle w:val="Text"/>
            </w:pPr>
            <w:r w:rsidRPr="003C2BC2">
              <w:t>4</w:t>
            </w:r>
          </w:p>
        </w:tc>
        <w:tc>
          <w:tcPr>
            <w:tcW w:w="1413" w:type="dxa"/>
            <w:vAlign w:val="center"/>
          </w:tcPr>
          <w:p w14:paraId="10FA3F28" w14:textId="77777777" w:rsidR="00377F6B" w:rsidRPr="003C2BC2" w:rsidRDefault="00377F6B" w:rsidP="00FB6EEB">
            <w:pPr>
              <w:pStyle w:val="Text"/>
            </w:pPr>
            <w:r w:rsidRPr="003C2BC2">
              <w:t>60.50</w:t>
            </w:r>
          </w:p>
        </w:tc>
        <w:tc>
          <w:tcPr>
            <w:tcW w:w="1984" w:type="dxa"/>
            <w:tcBorders>
              <w:right w:val="single" w:sz="12" w:space="0" w:color="auto"/>
            </w:tcBorders>
            <w:vAlign w:val="center"/>
          </w:tcPr>
          <w:p w14:paraId="6B559C59"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4E5BF2B9" w14:textId="77777777" w:rsidR="00377F6B" w:rsidRPr="003C2BC2" w:rsidRDefault="00377F6B" w:rsidP="00FB6EEB">
            <w:pPr>
              <w:pStyle w:val="Text"/>
            </w:pPr>
            <w:r w:rsidRPr="003C2BC2">
              <w:t>484</w:t>
            </w:r>
          </w:p>
        </w:tc>
        <w:tc>
          <w:tcPr>
            <w:tcW w:w="1559" w:type="dxa"/>
            <w:tcBorders>
              <w:right w:val="single" w:sz="8" w:space="0" w:color="auto"/>
            </w:tcBorders>
            <w:vAlign w:val="center"/>
          </w:tcPr>
          <w:p w14:paraId="387B8EBB" w14:textId="77777777" w:rsidR="00377F6B" w:rsidRPr="003C2BC2" w:rsidRDefault="00377F6B" w:rsidP="00FB6EEB">
            <w:pPr>
              <w:pStyle w:val="Text"/>
            </w:pPr>
            <w:r w:rsidRPr="003C2BC2">
              <w:t>0</w:t>
            </w:r>
          </w:p>
        </w:tc>
      </w:tr>
      <w:tr w:rsidR="00377F6B" w:rsidRPr="003C2BC2" w14:paraId="503EA473" w14:textId="77777777" w:rsidTr="003D62F7">
        <w:trPr>
          <w:trHeight w:val="368"/>
        </w:trPr>
        <w:tc>
          <w:tcPr>
            <w:tcW w:w="6086" w:type="dxa"/>
            <w:gridSpan w:val="4"/>
            <w:tcBorders>
              <w:right w:val="single" w:sz="12" w:space="0" w:color="auto"/>
            </w:tcBorders>
            <w:shd w:val="clear" w:color="auto" w:fill="BFBFBF"/>
            <w:vAlign w:val="center"/>
          </w:tcPr>
          <w:p w14:paraId="0AF9357F"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1585FCC4" w14:textId="77777777" w:rsidR="00377F6B" w:rsidRPr="003C2BC2" w:rsidRDefault="00377F6B" w:rsidP="00FB6EEB">
            <w:pPr>
              <w:pStyle w:val="Text"/>
            </w:pPr>
            <w:r w:rsidRPr="003C2BC2">
              <w:t>484</w:t>
            </w:r>
          </w:p>
        </w:tc>
      </w:tr>
    </w:tbl>
    <w:p w14:paraId="07257313" w14:textId="053B960C" w:rsidR="00377F6B" w:rsidRPr="003C2BC2" w:rsidRDefault="00377F6B" w:rsidP="00FB6EEB">
      <w:pPr>
        <w:spacing w:before="240"/>
        <w:rPr>
          <w:rFonts w:eastAsia="Times New Roman"/>
          <w:bCs/>
          <w:color w:val="000000"/>
        </w:rPr>
      </w:pPr>
      <w:proofErr w:type="spellStart"/>
      <w:r w:rsidRPr="003C2BC2">
        <w:rPr>
          <w:color w:val="000000"/>
        </w:rPr>
        <w:t>ddd</w:t>
      </w:r>
      <w:proofErr w:type="spellEnd"/>
      <w:r w:rsidRPr="003C2BC2">
        <w:rPr>
          <w:color w:val="000000"/>
        </w:rPr>
        <w:t>) Advisory activities of the single-use plastics commission (Requirement 50)</w:t>
      </w:r>
    </w:p>
    <w:p w14:paraId="42BC649D" w14:textId="49D2E27D" w:rsidR="00377F6B" w:rsidRPr="003C2BC2" w:rsidRDefault="00377F6B" w:rsidP="00FB6EEB">
      <w:pPr>
        <w:rPr>
          <w:rFonts w:eastAsia="Times New Roman"/>
          <w:bCs/>
          <w:color w:val="000000"/>
        </w:rPr>
      </w:pPr>
      <w:r w:rsidRPr="003C2BC2">
        <w:rPr>
          <w:color w:val="000000"/>
        </w:rPr>
        <w:t xml:space="preserve">The single-use plastics commission is an advisory body whose members do not receive any remuneration or reimbursement of expenses. The meeting schedule for the single-use plastics commission must be established once the members have been appointed. It is assumed that the commission will meet twice a year for a period of 2 to 3 days, so that 5 days per year (5 x 8 hours = 40 hours) can be expected. Assuming that the three municipal representatives (waste management providers and umbrella organisations) are at </w:t>
      </w:r>
      <w:proofErr w:type="spellStart"/>
      <w:r w:rsidRPr="003C2BC2">
        <w:rPr>
          <w:color w:val="000000"/>
        </w:rPr>
        <w:t>höherer</w:t>
      </w:r>
      <w:proofErr w:type="spellEnd"/>
      <w:r w:rsidRPr="003C2BC2">
        <w:rPr>
          <w:color w:val="000000"/>
        </w:rPr>
        <w:t xml:space="preserve"> </w:t>
      </w:r>
      <w:proofErr w:type="spellStart"/>
      <w:r w:rsidRPr="003C2BC2">
        <w:rPr>
          <w:color w:val="000000"/>
        </w:rPr>
        <w:t>Dienst</w:t>
      </w:r>
      <w:proofErr w:type="spellEnd"/>
      <w:r w:rsidRPr="003C2BC2">
        <w:rPr>
          <w:color w:val="000000"/>
        </w:rPr>
        <w:t xml:space="preserve"> level, an hourly rate of EUR 60.50 is estimated, based on the ‘Administration’ wage cost table (Annex VII of the Guide to Calculating and Setting Out Compliance Costs for Regulatory Projects of the Federal Government).</w:t>
      </w:r>
    </w:p>
    <w:p w14:paraId="506CA42A" w14:textId="3AF3D619" w:rsidR="00377F6B" w:rsidRPr="003C2BC2" w:rsidRDefault="00377F6B" w:rsidP="00FB6EEB">
      <w:pPr>
        <w:rPr>
          <w:rFonts w:eastAsia="Times New Roman"/>
          <w:bCs/>
          <w:color w:val="000000"/>
        </w:rPr>
      </w:pPr>
      <w:r w:rsidRPr="003C2BC2">
        <w:rPr>
          <w:color w:val="000000"/>
        </w:rPr>
        <w:t>Annual compliance costs:</w:t>
      </w:r>
    </w:p>
    <w:tbl>
      <w:tblPr>
        <w:tblStyle w:val="TableGrid"/>
        <w:tblW w:w="9204" w:type="dxa"/>
        <w:tblLayout w:type="fixed"/>
        <w:tblLook w:val="04A0" w:firstRow="1" w:lastRow="0" w:firstColumn="1" w:lastColumn="0" w:noHBand="0" w:noVBand="1"/>
      </w:tblPr>
      <w:tblGrid>
        <w:gridCol w:w="1129"/>
        <w:gridCol w:w="1417"/>
        <w:gridCol w:w="1413"/>
        <w:gridCol w:w="1985"/>
        <w:gridCol w:w="1701"/>
        <w:gridCol w:w="1559"/>
      </w:tblGrid>
      <w:tr w:rsidR="00377F6B" w:rsidRPr="003C2BC2" w14:paraId="062B2A45" w14:textId="77777777" w:rsidTr="003D62F7">
        <w:tc>
          <w:tcPr>
            <w:tcW w:w="1129" w:type="dxa"/>
            <w:shd w:val="clear" w:color="auto" w:fill="BFBFBF"/>
          </w:tcPr>
          <w:p w14:paraId="72E2C3E2" w14:textId="77777777" w:rsidR="00377F6B" w:rsidRPr="003C2BC2" w:rsidRDefault="00377F6B" w:rsidP="00FB6EEB">
            <w:pPr>
              <w:pStyle w:val="Text"/>
            </w:pPr>
            <w:r w:rsidRPr="003C2BC2">
              <w:t>Number of cases</w:t>
            </w:r>
          </w:p>
        </w:tc>
        <w:tc>
          <w:tcPr>
            <w:tcW w:w="1417" w:type="dxa"/>
            <w:shd w:val="clear" w:color="auto" w:fill="BFBFBF"/>
          </w:tcPr>
          <w:p w14:paraId="0081B323" w14:textId="77777777" w:rsidR="00377F6B" w:rsidRPr="003C2BC2" w:rsidRDefault="00377F6B" w:rsidP="00FB6EEB">
            <w:pPr>
              <w:pStyle w:val="Text"/>
            </w:pPr>
            <w:r w:rsidRPr="003C2BC2">
              <w:t>Time spent per case (in h)</w:t>
            </w:r>
          </w:p>
        </w:tc>
        <w:tc>
          <w:tcPr>
            <w:tcW w:w="1413" w:type="dxa"/>
            <w:shd w:val="clear" w:color="auto" w:fill="BFBFBF"/>
          </w:tcPr>
          <w:p w14:paraId="0AC1E6E9" w14:textId="77777777" w:rsidR="00377F6B" w:rsidRPr="003C2BC2" w:rsidRDefault="00377F6B" w:rsidP="00FB6EEB">
            <w:pPr>
              <w:pStyle w:val="Text"/>
              <w:jc w:val="left"/>
            </w:pPr>
            <w:r w:rsidRPr="003C2BC2">
              <w:t>Wage rate per h (in EUR)</w:t>
            </w:r>
          </w:p>
        </w:tc>
        <w:tc>
          <w:tcPr>
            <w:tcW w:w="1984" w:type="dxa"/>
            <w:tcBorders>
              <w:right w:val="single" w:sz="12" w:space="0" w:color="auto"/>
            </w:tcBorders>
            <w:shd w:val="clear" w:color="auto" w:fill="BFBFBF"/>
          </w:tcPr>
          <w:p w14:paraId="4BC43E07" w14:textId="77777777" w:rsidR="00377F6B" w:rsidRPr="003C2BC2" w:rsidRDefault="00377F6B" w:rsidP="00FB6EEB">
            <w:pPr>
              <w:pStyle w:val="Text"/>
            </w:pPr>
            <w:r w:rsidRPr="003C2BC2">
              <w:t>Material costs per case (in EUR)</w:t>
            </w:r>
          </w:p>
        </w:tc>
        <w:tc>
          <w:tcPr>
            <w:tcW w:w="1701" w:type="dxa"/>
            <w:tcBorders>
              <w:top w:val="single" w:sz="8" w:space="0" w:color="auto"/>
              <w:left w:val="single" w:sz="12" w:space="0" w:color="auto"/>
            </w:tcBorders>
            <w:shd w:val="clear" w:color="auto" w:fill="BFBFBF"/>
          </w:tcPr>
          <w:p w14:paraId="428C7F87" w14:textId="77777777" w:rsidR="00377F6B" w:rsidRPr="003C2BC2" w:rsidRDefault="00377F6B" w:rsidP="00FB6EEB">
            <w:pPr>
              <w:pStyle w:val="Text"/>
            </w:pPr>
            <w:r w:rsidRPr="003C2BC2">
              <w:t>Total personnel costs (in EUR)</w:t>
            </w:r>
          </w:p>
        </w:tc>
        <w:tc>
          <w:tcPr>
            <w:tcW w:w="1559" w:type="dxa"/>
            <w:tcBorders>
              <w:top w:val="single" w:sz="8" w:space="0" w:color="auto"/>
              <w:right w:val="single" w:sz="8" w:space="0" w:color="auto"/>
            </w:tcBorders>
            <w:shd w:val="clear" w:color="auto" w:fill="BFBFBF"/>
          </w:tcPr>
          <w:p w14:paraId="23052C45" w14:textId="77777777" w:rsidR="00377F6B" w:rsidRPr="003C2BC2" w:rsidRDefault="00377F6B" w:rsidP="00FB6EEB">
            <w:pPr>
              <w:pStyle w:val="Text"/>
            </w:pPr>
            <w:r w:rsidRPr="003C2BC2">
              <w:t xml:space="preserve">Material costs </w:t>
            </w:r>
          </w:p>
          <w:p w14:paraId="18801ED2" w14:textId="77777777" w:rsidR="00377F6B" w:rsidRPr="003C2BC2" w:rsidRDefault="00377F6B" w:rsidP="00FB6EEB">
            <w:pPr>
              <w:pStyle w:val="Text"/>
            </w:pPr>
            <w:r w:rsidRPr="003C2BC2">
              <w:t>Total (in EUR)</w:t>
            </w:r>
          </w:p>
        </w:tc>
      </w:tr>
      <w:tr w:rsidR="00377F6B" w:rsidRPr="003C2BC2" w14:paraId="504C1048" w14:textId="77777777" w:rsidTr="003D62F7">
        <w:trPr>
          <w:trHeight w:val="368"/>
        </w:trPr>
        <w:tc>
          <w:tcPr>
            <w:tcW w:w="1129" w:type="dxa"/>
            <w:vAlign w:val="center"/>
          </w:tcPr>
          <w:p w14:paraId="41015396" w14:textId="77777777" w:rsidR="00377F6B" w:rsidRPr="003C2BC2" w:rsidRDefault="00377F6B" w:rsidP="00FB6EEB">
            <w:pPr>
              <w:pStyle w:val="Text"/>
            </w:pPr>
            <w:r w:rsidRPr="003C2BC2">
              <w:t>3</w:t>
            </w:r>
          </w:p>
        </w:tc>
        <w:tc>
          <w:tcPr>
            <w:tcW w:w="1417" w:type="dxa"/>
            <w:vAlign w:val="center"/>
          </w:tcPr>
          <w:p w14:paraId="6AF07602" w14:textId="77777777" w:rsidR="00377F6B" w:rsidRPr="003C2BC2" w:rsidRDefault="00377F6B" w:rsidP="00FB6EEB">
            <w:pPr>
              <w:pStyle w:val="Text"/>
            </w:pPr>
            <w:r w:rsidRPr="003C2BC2">
              <w:t>40</w:t>
            </w:r>
          </w:p>
        </w:tc>
        <w:tc>
          <w:tcPr>
            <w:tcW w:w="1413" w:type="dxa"/>
            <w:vAlign w:val="center"/>
          </w:tcPr>
          <w:p w14:paraId="25EC26BC" w14:textId="77777777" w:rsidR="00377F6B" w:rsidRPr="003C2BC2" w:rsidRDefault="00377F6B" w:rsidP="00FB6EEB">
            <w:pPr>
              <w:pStyle w:val="Text"/>
            </w:pPr>
            <w:r w:rsidRPr="003C2BC2">
              <w:t>60.50</w:t>
            </w:r>
          </w:p>
        </w:tc>
        <w:tc>
          <w:tcPr>
            <w:tcW w:w="1984" w:type="dxa"/>
            <w:tcBorders>
              <w:right w:val="single" w:sz="12" w:space="0" w:color="auto"/>
            </w:tcBorders>
            <w:vAlign w:val="center"/>
          </w:tcPr>
          <w:p w14:paraId="6F96C573" w14:textId="77777777" w:rsidR="00377F6B" w:rsidRPr="003C2BC2" w:rsidRDefault="00377F6B" w:rsidP="00FB6EEB">
            <w:pPr>
              <w:pStyle w:val="Text"/>
            </w:pPr>
            <w:r w:rsidRPr="003C2BC2">
              <w:t>0</w:t>
            </w:r>
          </w:p>
        </w:tc>
        <w:tc>
          <w:tcPr>
            <w:tcW w:w="1701" w:type="dxa"/>
            <w:tcBorders>
              <w:left w:val="single" w:sz="12" w:space="0" w:color="auto"/>
            </w:tcBorders>
            <w:vAlign w:val="center"/>
          </w:tcPr>
          <w:p w14:paraId="0621ADBD" w14:textId="77777777" w:rsidR="00377F6B" w:rsidRPr="003C2BC2" w:rsidRDefault="00377F6B" w:rsidP="00FB6EEB">
            <w:pPr>
              <w:pStyle w:val="Text"/>
            </w:pPr>
            <w:r w:rsidRPr="003C2BC2">
              <w:t>7 260</w:t>
            </w:r>
          </w:p>
        </w:tc>
        <w:tc>
          <w:tcPr>
            <w:tcW w:w="1559" w:type="dxa"/>
            <w:tcBorders>
              <w:right w:val="single" w:sz="8" w:space="0" w:color="auto"/>
            </w:tcBorders>
            <w:vAlign w:val="center"/>
          </w:tcPr>
          <w:p w14:paraId="5512E0EF" w14:textId="77777777" w:rsidR="00377F6B" w:rsidRPr="003C2BC2" w:rsidRDefault="00377F6B" w:rsidP="00FB6EEB">
            <w:pPr>
              <w:pStyle w:val="Text"/>
            </w:pPr>
            <w:r w:rsidRPr="003C2BC2">
              <w:t>0</w:t>
            </w:r>
          </w:p>
        </w:tc>
      </w:tr>
      <w:tr w:rsidR="00377F6B" w:rsidRPr="003C2BC2" w14:paraId="0977C022" w14:textId="77777777" w:rsidTr="003D62F7">
        <w:trPr>
          <w:trHeight w:val="368"/>
        </w:trPr>
        <w:tc>
          <w:tcPr>
            <w:tcW w:w="5944" w:type="dxa"/>
            <w:gridSpan w:val="4"/>
            <w:tcBorders>
              <w:right w:val="single" w:sz="12" w:space="0" w:color="auto"/>
            </w:tcBorders>
            <w:shd w:val="clear" w:color="auto" w:fill="BFBFBF"/>
            <w:vAlign w:val="center"/>
          </w:tcPr>
          <w:p w14:paraId="111983BC" w14:textId="77777777" w:rsidR="00377F6B" w:rsidRPr="003C2BC2" w:rsidRDefault="00377F6B" w:rsidP="00FB6EEB">
            <w:pPr>
              <w:pStyle w:val="Text"/>
            </w:pPr>
            <w:r w:rsidRPr="003C2BC2">
              <w:t>Annual compliance costs (in EUR)</w:t>
            </w:r>
          </w:p>
        </w:tc>
        <w:tc>
          <w:tcPr>
            <w:tcW w:w="3260" w:type="dxa"/>
            <w:gridSpan w:val="2"/>
            <w:tcBorders>
              <w:left w:val="single" w:sz="12" w:space="0" w:color="auto"/>
              <w:bottom w:val="single" w:sz="8" w:space="0" w:color="auto"/>
              <w:right w:val="single" w:sz="8" w:space="0" w:color="auto"/>
            </w:tcBorders>
            <w:vAlign w:val="center"/>
          </w:tcPr>
          <w:p w14:paraId="1ADF7427" w14:textId="77777777" w:rsidR="00377F6B" w:rsidRPr="003C2BC2" w:rsidRDefault="00377F6B" w:rsidP="00FB6EEB">
            <w:pPr>
              <w:pStyle w:val="Text"/>
            </w:pPr>
            <w:r w:rsidRPr="003C2BC2">
              <w:t>7 260</w:t>
            </w:r>
          </w:p>
        </w:tc>
      </w:tr>
    </w:tbl>
    <w:p w14:paraId="2B18465F" w14:textId="13E32B19" w:rsidR="00377F6B" w:rsidRPr="003C2BC2" w:rsidRDefault="00377F6B" w:rsidP="00FB6EEB">
      <w:pPr>
        <w:spacing w:before="240"/>
      </w:pPr>
      <w:proofErr w:type="spellStart"/>
      <w:r w:rsidRPr="003C2BC2">
        <w:rPr>
          <w:color w:val="000000"/>
        </w:rPr>
        <w:t>bbb</w:t>
      </w:r>
      <w:proofErr w:type="spellEnd"/>
      <w:r w:rsidRPr="003C2BC2">
        <w:rPr>
          <w:color w:val="000000"/>
        </w:rPr>
        <w:t>) Federal government</w:t>
      </w:r>
    </w:p>
    <w:p w14:paraId="5D507E6E" w14:textId="77777777" w:rsidR="00377F6B" w:rsidRPr="003C2BC2" w:rsidRDefault="00377F6B" w:rsidP="00FB6EEB">
      <w:proofErr w:type="spellStart"/>
      <w:r w:rsidRPr="003C2BC2">
        <w:t>aaa</w:t>
      </w:r>
      <w:proofErr w:type="spellEnd"/>
      <w:r w:rsidRPr="003C2BC2">
        <w:t>) Beneficiaries</w:t>
      </w:r>
    </w:p>
    <w:p w14:paraId="740F2C95" w14:textId="478C14A4" w:rsidR="00377F6B" w:rsidRPr="003C2BC2" w:rsidRDefault="00377F6B" w:rsidP="00274F16">
      <w:r w:rsidRPr="003C2BC2">
        <w:t xml:space="preserve">There are likely to be only few beneficiaries who are regarded as a federal authority and also participate in the reimbursement under this Act (e.g. Autobahn GmbH des </w:t>
      </w:r>
      <w:proofErr w:type="spellStart"/>
      <w:r w:rsidRPr="003C2BC2">
        <w:t>Bundes</w:t>
      </w:r>
      <w:proofErr w:type="spellEnd"/>
      <w:r w:rsidRPr="003C2BC2">
        <w:t xml:space="preserve"> or the authorities of </w:t>
      </w:r>
      <w:proofErr w:type="spellStart"/>
      <w:r w:rsidRPr="003C2BC2">
        <w:t>Wasserstraßen</w:t>
      </w:r>
      <w:proofErr w:type="spellEnd"/>
      <w:r w:rsidRPr="003C2BC2">
        <w:t xml:space="preserve">- und </w:t>
      </w:r>
      <w:proofErr w:type="spellStart"/>
      <w:r w:rsidRPr="003C2BC2">
        <w:t>Schifffahrtsverwaltung</w:t>
      </w:r>
      <w:proofErr w:type="spellEnd"/>
      <w:r w:rsidRPr="003C2BC2">
        <w:t xml:space="preserve"> des </w:t>
      </w:r>
      <w:proofErr w:type="spellStart"/>
      <w:r w:rsidRPr="003C2BC2">
        <w:t>Bundes</w:t>
      </w:r>
      <w:proofErr w:type="spellEnd"/>
      <w:r w:rsidRPr="003C2BC2">
        <w:t>). Such authorities will ultimately incur the same compliance costs for registration and data notification as Land-level beneficiaries. However, due to the small number of cases (presumably less than 10 cases), this is hardly significant and is negligible compared to the compliance costs for the Länder.</w:t>
      </w:r>
    </w:p>
    <w:p w14:paraId="052E3C2E" w14:textId="77777777" w:rsidR="00377F6B" w:rsidRPr="003C2BC2" w:rsidRDefault="00377F6B" w:rsidP="00FB6EEB">
      <w:pPr>
        <w:rPr>
          <w:rFonts w:eastAsia="Times New Roman"/>
          <w:bCs/>
          <w:color w:val="000000"/>
        </w:rPr>
      </w:pPr>
      <w:proofErr w:type="spellStart"/>
      <w:r w:rsidRPr="003C2BC2">
        <w:rPr>
          <w:color w:val="000000"/>
        </w:rPr>
        <w:t>bbb</w:t>
      </w:r>
      <w:proofErr w:type="spellEnd"/>
      <w:r w:rsidRPr="003C2BC2">
        <w:rPr>
          <w:color w:val="000000"/>
        </w:rPr>
        <w:t>) Federal Environment Agency</w:t>
      </w:r>
    </w:p>
    <w:p w14:paraId="59C7617D" w14:textId="5EEB8F69" w:rsidR="00377F6B" w:rsidRPr="003C2BC2" w:rsidRDefault="00377F6B" w:rsidP="00FB6EEB">
      <w:pPr>
        <w:rPr>
          <w:rFonts w:eastAsia="Times New Roman"/>
          <w:bCs/>
          <w:color w:val="000000"/>
        </w:rPr>
      </w:pPr>
      <w:r w:rsidRPr="003C2BC2">
        <w:rPr>
          <w:color w:val="000000"/>
        </w:rPr>
        <w:t>The costs incurred by the Federal Environment Agency as a result of implementing the Act laid down in Article 1 are already fully described in section D (Budgetary expenditure exclusive of compliance costs). Therefore, only the time expenditures are outlined below:</w:t>
      </w:r>
    </w:p>
    <w:p w14:paraId="31020941" w14:textId="54BA65A1" w:rsidR="00247CAC" w:rsidRPr="003C2BC2" w:rsidRDefault="00F20545" w:rsidP="00FB6EEB">
      <w:pPr>
        <w:rPr>
          <w:rFonts w:eastAsia="Times New Roman"/>
          <w:bCs/>
          <w:color w:val="000000"/>
        </w:rPr>
      </w:pPr>
      <w:r w:rsidRPr="003C2BC2">
        <w:rPr>
          <w:color w:val="000000"/>
        </w:rPr>
        <w:t xml:space="preserve">Based on 230 working days per year, time costs will be incurred by the Federal Environment Agency, from 2024 onwards, of 920 person days at </w:t>
      </w:r>
      <w:proofErr w:type="spellStart"/>
      <w:r w:rsidRPr="003C2BC2">
        <w:rPr>
          <w:color w:val="000000"/>
        </w:rPr>
        <w:t>höherer</w:t>
      </w:r>
      <w:proofErr w:type="spellEnd"/>
      <w:r w:rsidRPr="003C2BC2">
        <w:rPr>
          <w:color w:val="000000"/>
        </w:rPr>
        <w:t xml:space="preserve"> </w:t>
      </w:r>
      <w:proofErr w:type="spellStart"/>
      <w:r w:rsidRPr="003C2BC2">
        <w:rPr>
          <w:color w:val="000000"/>
        </w:rPr>
        <w:t>Dienst</w:t>
      </w:r>
      <w:proofErr w:type="spellEnd"/>
      <w:r w:rsidRPr="003C2BC2">
        <w:rPr>
          <w:color w:val="000000"/>
        </w:rPr>
        <w:t xml:space="preserve"> (higher, </w:t>
      </w:r>
      <w:proofErr w:type="spellStart"/>
      <w:r w:rsidRPr="003C2BC2">
        <w:rPr>
          <w:color w:val="000000"/>
        </w:rPr>
        <w:t>hD</w:t>
      </w:r>
      <w:proofErr w:type="spellEnd"/>
      <w:r w:rsidRPr="003C2BC2">
        <w:rPr>
          <w:color w:val="000000"/>
        </w:rPr>
        <w:t xml:space="preserve">) level, 2 070 person days at </w:t>
      </w:r>
      <w:proofErr w:type="spellStart"/>
      <w:r w:rsidRPr="003C2BC2">
        <w:rPr>
          <w:color w:val="000000"/>
        </w:rPr>
        <w:t>gehobener</w:t>
      </w:r>
      <w:proofErr w:type="spellEnd"/>
      <w:r w:rsidRPr="003C2BC2">
        <w:rPr>
          <w:color w:val="000000"/>
        </w:rPr>
        <w:t xml:space="preserve"> </w:t>
      </w:r>
      <w:proofErr w:type="spellStart"/>
      <w:r w:rsidRPr="003C2BC2">
        <w:rPr>
          <w:color w:val="000000"/>
        </w:rPr>
        <w:t>Dienst</w:t>
      </w:r>
      <w:proofErr w:type="spellEnd"/>
      <w:r w:rsidRPr="003C2BC2">
        <w:rPr>
          <w:color w:val="000000"/>
        </w:rPr>
        <w:t xml:space="preserve"> (upper intermediary, </w:t>
      </w:r>
      <w:proofErr w:type="spellStart"/>
      <w:r w:rsidRPr="003C2BC2">
        <w:rPr>
          <w:color w:val="000000"/>
        </w:rPr>
        <w:t>gD</w:t>
      </w:r>
      <w:proofErr w:type="spellEnd"/>
      <w:r w:rsidRPr="003C2BC2">
        <w:rPr>
          <w:color w:val="000000"/>
        </w:rPr>
        <w:t xml:space="preserve">) level and 690 person days at </w:t>
      </w:r>
      <w:proofErr w:type="spellStart"/>
      <w:r w:rsidRPr="003C2BC2">
        <w:rPr>
          <w:color w:val="000000"/>
        </w:rPr>
        <w:t>mittlerer</w:t>
      </w:r>
      <w:proofErr w:type="spellEnd"/>
      <w:r w:rsidRPr="003C2BC2">
        <w:rPr>
          <w:color w:val="000000"/>
        </w:rPr>
        <w:t xml:space="preserve"> </w:t>
      </w:r>
      <w:proofErr w:type="spellStart"/>
      <w:r w:rsidRPr="003C2BC2">
        <w:rPr>
          <w:color w:val="000000"/>
        </w:rPr>
        <w:t>Dienst</w:t>
      </w:r>
      <w:proofErr w:type="spellEnd"/>
      <w:r w:rsidRPr="003C2BC2">
        <w:rPr>
          <w:color w:val="000000"/>
        </w:rPr>
        <w:t xml:space="preserve"> (medium, </w:t>
      </w:r>
      <w:proofErr w:type="spellStart"/>
      <w:r w:rsidRPr="003C2BC2">
        <w:rPr>
          <w:color w:val="000000"/>
        </w:rPr>
        <w:t>mD</w:t>
      </w:r>
      <w:proofErr w:type="spellEnd"/>
      <w:r w:rsidRPr="003C2BC2">
        <w:rPr>
          <w:color w:val="000000"/>
        </w:rPr>
        <w:t xml:space="preserve">) level for administering the fund (including infrastructure </w:t>
      </w:r>
      <w:r w:rsidRPr="003C2BC2">
        <w:rPr>
          <w:color w:val="000000"/>
        </w:rPr>
        <w:lastRenderedPageBreak/>
        <w:t xml:space="preserve">tasks); 230 </w:t>
      </w:r>
      <w:proofErr w:type="spellStart"/>
      <w:r w:rsidRPr="003C2BC2">
        <w:rPr>
          <w:color w:val="000000"/>
        </w:rPr>
        <w:t>hD</w:t>
      </w:r>
      <w:proofErr w:type="spellEnd"/>
      <w:r w:rsidRPr="003C2BC2">
        <w:rPr>
          <w:color w:val="000000"/>
        </w:rPr>
        <w:t xml:space="preserve"> person days and </w:t>
      </w:r>
      <w:proofErr w:type="spellStart"/>
      <w:r w:rsidRPr="003C2BC2">
        <w:rPr>
          <w:color w:val="000000"/>
        </w:rPr>
        <w:t>gD</w:t>
      </w:r>
      <w:proofErr w:type="spellEnd"/>
      <w:r w:rsidRPr="003C2BC2">
        <w:rPr>
          <w:color w:val="000000"/>
        </w:rPr>
        <w:t xml:space="preserve"> 230 person days for preparing and processing statements of determination; 230 </w:t>
      </w:r>
      <w:proofErr w:type="spellStart"/>
      <w:r w:rsidRPr="003C2BC2">
        <w:rPr>
          <w:color w:val="000000"/>
        </w:rPr>
        <w:t>hD</w:t>
      </w:r>
      <w:proofErr w:type="spellEnd"/>
      <w:r w:rsidRPr="003C2BC2">
        <w:rPr>
          <w:color w:val="000000"/>
        </w:rPr>
        <w:t xml:space="preserve"> person days, 230 </w:t>
      </w:r>
      <w:proofErr w:type="spellStart"/>
      <w:r w:rsidRPr="003C2BC2">
        <w:rPr>
          <w:color w:val="000000"/>
        </w:rPr>
        <w:t>gD</w:t>
      </w:r>
      <w:proofErr w:type="spellEnd"/>
      <w:r w:rsidRPr="003C2BC2">
        <w:rPr>
          <w:color w:val="000000"/>
        </w:rPr>
        <w:t xml:space="preserve"> person days and 230 </w:t>
      </w:r>
      <w:proofErr w:type="spellStart"/>
      <w:r w:rsidRPr="003C2BC2">
        <w:rPr>
          <w:color w:val="000000"/>
        </w:rPr>
        <w:t>mD</w:t>
      </w:r>
      <w:proofErr w:type="spellEnd"/>
      <w:r w:rsidRPr="003C2BC2">
        <w:rPr>
          <w:color w:val="000000"/>
        </w:rPr>
        <w:t xml:space="preserve"> person days for processing objections as well as 690 </w:t>
      </w:r>
      <w:proofErr w:type="spellStart"/>
      <w:r w:rsidRPr="003C2BC2">
        <w:rPr>
          <w:color w:val="000000"/>
        </w:rPr>
        <w:t>hD</w:t>
      </w:r>
      <w:proofErr w:type="spellEnd"/>
      <w:r w:rsidRPr="003C2BC2">
        <w:rPr>
          <w:color w:val="000000"/>
        </w:rPr>
        <w:t xml:space="preserve"> person days, 690 </w:t>
      </w:r>
      <w:proofErr w:type="spellStart"/>
      <w:r w:rsidRPr="003C2BC2">
        <w:rPr>
          <w:color w:val="000000"/>
        </w:rPr>
        <w:t>gD</w:t>
      </w:r>
      <w:proofErr w:type="spellEnd"/>
      <w:r w:rsidRPr="003C2BC2">
        <w:rPr>
          <w:color w:val="000000"/>
        </w:rPr>
        <w:t xml:space="preserve"> person days and 690 </w:t>
      </w:r>
      <w:proofErr w:type="spellStart"/>
      <w:r w:rsidRPr="003C2BC2">
        <w:rPr>
          <w:color w:val="000000"/>
        </w:rPr>
        <w:t>mD</w:t>
      </w:r>
      <w:proofErr w:type="spellEnd"/>
      <w:r w:rsidRPr="003C2BC2">
        <w:rPr>
          <w:color w:val="000000"/>
        </w:rPr>
        <w:t xml:space="preserve"> person days for processing regulatory offences.</w:t>
      </w:r>
    </w:p>
    <w:p w14:paraId="50F3DBC4" w14:textId="77777777" w:rsidR="00377F6B" w:rsidRPr="003C2BC2" w:rsidRDefault="00377F6B" w:rsidP="00FB6EEB">
      <w:pPr>
        <w:rPr>
          <w:rFonts w:eastAsia="Times New Roman"/>
          <w:bCs/>
          <w:color w:val="000000"/>
        </w:rPr>
      </w:pPr>
      <w:r w:rsidRPr="003C2BC2">
        <w:rPr>
          <w:color w:val="000000"/>
        </w:rPr>
        <w:t>ccc) Federal Ministry for the Environment, Nature Conservation, Nuclear Safety and Consumer Protection</w:t>
      </w:r>
    </w:p>
    <w:p w14:paraId="3642C280" w14:textId="44220592" w:rsidR="00377F6B" w:rsidRPr="003C2BC2" w:rsidRDefault="00377F6B" w:rsidP="00FB6EEB">
      <w:pPr>
        <w:rPr>
          <w:rFonts w:eastAsia="Times New Roman"/>
          <w:bCs/>
          <w:color w:val="000000"/>
        </w:rPr>
      </w:pPr>
      <w:r w:rsidRPr="003C2BC2">
        <w:rPr>
          <w:color w:val="000000"/>
        </w:rPr>
        <w:t>(1) Legal and technical supervision (Requirement 56)</w:t>
      </w:r>
    </w:p>
    <w:p w14:paraId="3A2C693D" w14:textId="10FC0243" w:rsidR="00377F6B" w:rsidRPr="003C2BC2" w:rsidRDefault="00377F6B" w:rsidP="00FB6EEB">
      <w:pPr>
        <w:rPr>
          <w:rFonts w:eastAsia="Times New Roman"/>
          <w:bCs/>
          <w:color w:val="000000"/>
        </w:rPr>
      </w:pPr>
      <w:r w:rsidRPr="003C2BC2">
        <w:rPr>
          <w:color w:val="000000"/>
        </w:rPr>
        <w:t>The costs incurred by the Federal Ministry for the Environment, Nature Conservation, Nuclear Safety and Consumer Protection as a result of implementing the legal and technical supervision of the Federal Environment Agency in its implementation of the Act laid down in Article 1 are already fully described in section D (Budgetary expenditure exclusive of compliance costs).</w:t>
      </w:r>
    </w:p>
    <w:p w14:paraId="2EEF6D8D" w14:textId="63457C3A" w:rsidR="00247CAC" w:rsidRPr="003C2BC2" w:rsidRDefault="00247CAC" w:rsidP="00FB6EEB">
      <w:pPr>
        <w:rPr>
          <w:rFonts w:eastAsia="Times New Roman"/>
          <w:bCs/>
          <w:color w:val="000000"/>
        </w:rPr>
      </w:pPr>
      <w:r w:rsidRPr="003C2BC2">
        <w:rPr>
          <w:color w:val="000000"/>
        </w:rPr>
        <w:t xml:space="preserve">The breakdown of time expenditures (based on 230 working days per year) indicates that the Federal Ministry for the Environment, Nature Conservation, Nuclear Safety and Consumer Protection will need 230 </w:t>
      </w:r>
      <w:proofErr w:type="spellStart"/>
      <w:r w:rsidRPr="003C2BC2">
        <w:rPr>
          <w:color w:val="000000"/>
        </w:rPr>
        <w:t>hD</w:t>
      </w:r>
      <w:proofErr w:type="spellEnd"/>
      <w:r w:rsidRPr="003C2BC2">
        <w:rPr>
          <w:color w:val="000000"/>
        </w:rPr>
        <w:t xml:space="preserve"> person days and 230 </w:t>
      </w:r>
      <w:proofErr w:type="spellStart"/>
      <w:r w:rsidRPr="003C2BC2">
        <w:rPr>
          <w:color w:val="000000"/>
        </w:rPr>
        <w:t>gD</w:t>
      </w:r>
      <w:proofErr w:type="spellEnd"/>
      <w:r w:rsidRPr="003C2BC2">
        <w:rPr>
          <w:color w:val="000000"/>
        </w:rPr>
        <w:t xml:space="preserve"> person days each year for implementing legal and technical supervision.</w:t>
      </w:r>
    </w:p>
    <w:p w14:paraId="02C58CD0" w14:textId="3881F82D" w:rsidR="00377F6B" w:rsidRPr="003C2BC2" w:rsidRDefault="00377F6B" w:rsidP="00FB6EEB">
      <w:pPr>
        <w:rPr>
          <w:rFonts w:eastAsia="Times New Roman"/>
          <w:bCs/>
          <w:color w:val="000000"/>
        </w:rPr>
      </w:pPr>
      <w:r w:rsidRPr="003C2BC2">
        <w:rPr>
          <w:color w:val="000000"/>
        </w:rPr>
        <w:t>(2) Evaluation of legislation (Requirement 58)</w:t>
      </w:r>
    </w:p>
    <w:p w14:paraId="6FB7CB5F" w14:textId="77777777" w:rsidR="00377F6B" w:rsidRPr="003C2BC2" w:rsidRDefault="00377F6B" w:rsidP="00FB6EEB">
      <w:pPr>
        <w:rPr>
          <w:rFonts w:eastAsia="Times New Roman"/>
          <w:bCs/>
          <w:color w:val="000000"/>
        </w:rPr>
      </w:pPr>
      <w:r w:rsidRPr="003C2BC2">
        <w:rPr>
          <w:color w:val="000000"/>
        </w:rPr>
        <w:t>Evaluation of the Act is to be carried out by 31 December 2028. The work involved in this for the Federal Government (Federal Ministry for the Environment, Nature Conservation, Nuclear Safety and Consumer Protection as lead, if necessary in cooperation with the Federal Statistical Office) cannot be estimated at present as the date is far off in the future.</w:t>
      </w:r>
    </w:p>
    <w:p w14:paraId="7901E41C" w14:textId="77777777" w:rsidR="00377F6B" w:rsidRPr="003C2BC2" w:rsidRDefault="00377F6B" w:rsidP="00FB6EEB">
      <w:pPr>
        <w:rPr>
          <w:rFonts w:eastAsia="Times New Roman"/>
          <w:bCs/>
          <w:color w:val="000000"/>
        </w:rPr>
      </w:pPr>
      <w:proofErr w:type="spellStart"/>
      <w:r w:rsidRPr="003C2BC2">
        <w:rPr>
          <w:color w:val="000000"/>
        </w:rPr>
        <w:t>ddd</w:t>
      </w:r>
      <w:proofErr w:type="spellEnd"/>
      <w:r w:rsidRPr="003C2BC2">
        <w:rPr>
          <w:color w:val="000000"/>
        </w:rPr>
        <w:t>) Central Agency Packaging Register</w:t>
      </w:r>
    </w:p>
    <w:p w14:paraId="58990CF7" w14:textId="0A4B2874" w:rsidR="00377F6B" w:rsidRPr="003C2BC2" w:rsidRDefault="00377F6B" w:rsidP="00FB6EEB">
      <w:pPr>
        <w:rPr>
          <w:rFonts w:eastAsia="Times New Roman"/>
          <w:bCs/>
          <w:color w:val="000000"/>
        </w:rPr>
      </w:pPr>
      <w:r w:rsidRPr="003C2BC2">
        <w:rPr>
          <w:color w:val="000000"/>
        </w:rPr>
        <w:t>In accordance with Article 2(1), two public administration tasks are being added for the Central Agency Packaging Register foundation. In the future, the Central Agency will have to provide the Federal Environment Agency with producer data from the packaging register and, in turn, use the data obtained from the Federal Environment Agency for implementation of the Packaging Act. The mutual exchange of data is to be organised in such a way that the Central Agency does not incur any or only minor costs. At present, the resulting compliance costs cannot be estimated.</w:t>
      </w:r>
    </w:p>
    <w:p w14:paraId="6FC75736" w14:textId="5907EFC1" w:rsidR="00611481" w:rsidRPr="003C2BC2" w:rsidRDefault="00611481" w:rsidP="00B031F1">
      <w:pPr>
        <w:pStyle w:val="berschriftarabischBegrndung"/>
      </w:pPr>
      <w:r w:rsidRPr="003C2BC2">
        <w:t>Additional costs</w:t>
      </w:r>
    </w:p>
    <w:p w14:paraId="4D6992C0" w14:textId="77777777" w:rsidR="00EB4A5F" w:rsidRPr="003C2BC2" w:rsidRDefault="00EB4A5F" w:rsidP="00EB4A5F">
      <w:pPr>
        <w:pStyle w:val="Hinweistext"/>
        <w:keepNext/>
        <w:rPr>
          <w:color w:val="auto"/>
        </w:rPr>
      </w:pPr>
      <w:r w:rsidRPr="003C2BC2">
        <w:rPr>
          <w:color w:val="auto"/>
        </w:rPr>
        <w:t>It cannot be ruled out that producers will pass on the additional costs caused by the single-use plastics levy on to consumers. However, this effect is likely to be a slight increase in product unit prices at most. Measurable effects on the overall consumer price level are therefore not expected. At the same time, the cost reimbursements to be made by producers should reduce the disposal fees to be borne by the general public in the medium term, and therefore there will be no additional burden overall on consumers.</w:t>
      </w:r>
    </w:p>
    <w:p w14:paraId="4DCED46C" w14:textId="1844A80C" w:rsidR="00611481" w:rsidRPr="003C2BC2" w:rsidRDefault="00611481" w:rsidP="00B031F1">
      <w:pPr>
        <w:pStyle w:val="berschriftarabischBegrndung"/>
      </w:pPr>
      <w:r w:rsidRPr="003C2BC2">
        <w:t>Other consequences of the legislation</w:t>
      </w:r>
    </w:p>
    <w:p w14:paraId="12B81CD0" w14:textId="77777777" w:rsidR="005B17F4" w:rsidRPr="003C2BC2" w:rsidRDefault="005B17F4" w:rsidP="005B17F4">
      <w:pPr>
        <w:pStyle w:val="Text"/>
      </w:pPr>
      <w:r w:rsidRPr="003C2BC2">
        <w:t>a) Consideration of the interests of SMEs</w:t>
      </w:r>
    </w:p>
    <w:p w14:paraId="3C36086B" w14:textId="005BAF74" w:rsidR="005B17F4" w:rsidRPr="003C2BC2" w:rsidRDefault="005B17F4" w:rsidP="005B17F4">
      <w:pPr>
        <w:pStyle w:val="Text"/>
      </w:pPr>
      <w:r w:rsidRPr="003C2BC2">
        <w:t>In line with the Guidelines for considering the interests of SMEs in legislation impact assessments (SME test) of 30 December 2015, it has been examined whether less burdensome legislative alternatives or support measures are possible. Against this background, Section 11(4) of the Act laid down in Article 1 exempts smaller companies from the obligation to have their annual data notification checked by an expert. This relieves particularly small and medium-sized enterprises of an administrative burden.</w:t>
      </w:r>
    </w:p>
    <w:p w14:paraId="7FEDB4D4" w14:textId="77777777" w:rsidR="005B17F4" w:rsidRPr="003C2BC2" w:rsidRDefault="005B17F4" w:rsidP="005B17F4">
      <w:pPr>
        <w:pStyle w:val="Text"/>
      </w:pPr>
      <w:r w:rsidRPr="003C2BC2">
        <w:lastRenderedPageBreak/>
        <w:t>b) Assessment of relevance to equality policy</w:t>
      </w:r>
    </w:p>
    <w:p w14:paraId="5D3F1F8D" w14:textId="77777777" w:rsidR="005B17F4" w:rsidRPr="003C2BC2" w:rsidRDefault="005B17F4" w:rsidP="005B17F4">
      <w:pPr>
        <w:pStyle w:val="Text"/>
      </w:pPr>
      <w:r w:rsidRPr="003C2BC2">
        <w:t>The relevance assessment to be conducted in accordance with Section 2 of the Joint Rules of Procedure for the Federal Ministries revealed no impact from the Act which would be contrary to the goals of equal treatment policy, taking into account the different living situations of men and women.</w:t>
      </w:r>
    </w:p>
    <w:p w14:paraId="59AA4BD9" w14:textId="77777777" w:rsidR="005B17F4" w:rsidRPr="003C2BC2" w:rsidRDefault="005B17F4" w:rsidP="005B17F4">
      <w:pPr>
        <w:pStyle w:val="Text"/>
      </w:pPr>
      <w:r w:rsidRPr="003C2BC2">
        <w:t>c) Demographic check</w:t>
      </w:r>
    </w:p>
    <w:p w14:paraId="752CA5AF" w14:textId="77777777" w:rsidR="005B17F4" w:rsidRPr="003C2BC2" w:rsidRDefault="005B17F4" w:rsidP="005B17F4">
      <w:pPr>
        <w:pStyle w:val="Text"/>
      </w:pPr>
      <w:r w:rsidRPr="003C2BC2">
        <w:t>The draft legislation is also not expected to have any demographic impact such as on birth trends, age structure, immigration, regional distribution of the population or the ratio between the generations.</w:t>
      </w:r>
    </w:p>
    <w:p w14:paraId="4CDD3351" w14:textId="77777777" w:rsidR="005B17F4" w:rsidRPr="003C2BC2" w:rsidRDefault="005B17F4" w:rsidP="005B17F4">
      <w:pPr>
        <w:pStyle w:val="Text"/>
      </w:pPr>
      <w:r w:rsidRPr="003C2BC2">
        <w:t>d) Equivalent living conditions</w:t>
      </w:r>
    </w:p>
    <w:p w14:paraId="5D06974C" w14:textId="2333D36F" w:rsidR="00611481" w:rsidRPr="003C2BC2" w:rsidRDefault="005B17F4" w:rsidP="005B17F4">
      <w:pPr>
        <w:pStyle w:val="Text"/>
      </w:pPr>
      <w:r w:rsidRPr="003C2BC2">
        <w:t>In accordance with the Guidelines on implementing the ‘equivalence check’ for draft federal legislation of 20 April 2020, it has been examined whether and what impact the draft federal legislation would have on the equivalence of people’s living conditions in Germany. Disbursements from the single-use plastics fund are directed exclusively at the services provided by public waste management providers and other legal entities under public law, in accordance with the strict EU law requirements. The costs to be recovered and the disbursement criteria are laid down by law. With regard to the ‘Municipal financial situation factor’ mentioned in the Guidelines, no impact on the disparities between financially strong and financially weak municipalities is expected. With regard to the ‘Public services factor’ (this concerns urban cleaning and waste disposal), it should be noted that relieving citizens of the burden seems possible if the costs currently paid by the general public through waste fees are now shifted to producers. Finally, the draft legislation has a positive impact on the ‘Natural resource base factor’. The aim is to minimise the introduction of plastic waste into the environment and thus to promote the protection of the natural resource base on which life depends (soil and water).</w:t>
      </w:r>
    </w:p>
    <w:p w14:paraId="60E71586" w14:textId="77777777" w:rsidR="00BE0797" w:rsidRPr="003C2BC2" w:rsidRDefault="00BE0797" w:rsidP="005B17F4">
      <w:pPr>
        <w:pStyle w:val="Text"/>
      </w:pPr>
      <w:r w:rsidRPr="003C2BC2">
        <w:t>e) Digitalisation check</w:t>
      </w:r>
    </w:p>
    <w:p w14:paraId="1C31AA7F" w14:textId="77777777" w:rsidR="0077048D" w:rsidRPr="003C2BC2" w:rsidRDefault="00BE0797" w:rsidP="005B17F4">
      <w:pPr>
        <w:pStyle w:val="Text"/>
      </w:pPr>
      <w:r w:rsidRPr="003C2BC2">
        <w:t>In accordance with the coalition agreement for the 20th legislative period, the draft legislation was subjected to a digitalisation check. In order to provide modern digital administration, the administrative and payment procedures are to be processed exclusively electronically. This significantly takes into account the objective of digital administration.</w:t>
      </w:r>
    </w:p>
    <w:p w14:paraId="3866846F" w14:textId="77777777" w:rsidR="0077048D" w:rsidRPr="003C2BC2" w:rsidRDefault="0077048D" w:rsidP="005B17F4">
      <w:pPr>
        <w:pStyle w:val="Text"/>
      </w:pPr>
      <w:r w:rsidRPr="003C2BC2">
        <w:t>d) Climate check</w:t>
      </w:r>
    </w:p>
    <w:p w14:paraId="4FF355F0" w14:textId="77777777" w:rsidR="0077048D" w:rsidRPr="003C2BC2" w:rsidRDefault="0077048D" w:rsidP="005B17F4">
      <w:pPr>
        <w:pStyle w:val="Text"/>
      </w:pPr>
      <w:r w:rsidRPr="003C2BC2">
        <w:t>In accordance with the coalition agreement for the 20th legislative period, the draft legislation was subjected to a climate check. The draft legislation contributes to the replacement of short-lived single-use plastic products with more sustainable alternatives. This can, in particular, help to reduce climate-intensive production and processing of plastics.</w:t>
      </w:r>
    </w:p>
    <w:p w14:paraId="4534BA32" w14:textId="77777777" w:rsidR="00611481" w:rsidRPr="003C2BC2" w:rsidRDefault="00611481" w:rsidP="00B031F1">
      <w:pPr>
        <w:pStyle w:val="berschriftrmischBegrndung"/>
      </w:pPr>
      <w:r w:rsidRPr="003C2BC2">
        <w:t>Time limit; evaluation</w:t>
      </w:r>
    </w:p>
    <w:p w14:paraId="12D7DA1F" w14:textId="31D2960A" w:rsidR="00611481" w:rsidRPr="003C2BC2" w:rsidRDefault="005B17F4" w:rsidP="00B031F1">
      <w:pPr>
        <w:pStyle w:val="Text"/>
      </w:pPr>
      <w:r w:rsidRPr="003C2BC2">
        <w:t>No time limit for the Act has been considered as the rules to be transposed in Articles 8(1) to (7) and 14 of Directive (EU) 2019/904 apply permanently. Applying a time limit on individual provisions of the Act is also not appropriate, as together their aim is the permanent formation and administration of the single-use plastics fund. However, the Act does contain an evaluation clause in Section 28 (see the explanatory notes on this provision for details). The evaluation will also include the development of appropriate indicators. Existing statistical data and scientific studies can then be used for the evaluation. Involvement of relevant economic operators, authorities and other actors is also possible. Further scientific knowledge through research projects may also be necessary.</w:t>
      </w:r>
    </w:p>
    <w:p w14:paraId="7DD79573" w14:textId="77777777" w:rsidR="00611481" w:rsidRPr="003C2BC2" w:rsidRDefault="00611481" w:rsidP="00B031F1">
      <w:pPr>
        <w:pStyle w:val="BegrndungBesondererTeil"/>
      </w:pPr>
      <w:r w:rsidRPr="003C2BC2">
        <w:lastRenderedPageBreak/>
        <w:t>B. Specific part</w:t>
      </w:r>
    </w:p>
    <w:p w14:paraId="528D53D6" w14:textId="77777777" w:rsidR="008E7E90" w:rsidRPr="003C2BC2" w:rsidRDefault="008E7E90" w:rsidP="008E7E90">
      <w:pPr>
        <w:pStyle w:val="Text"/>
        <w:rPr>
          <w:b/>
        </w:rPr>
      </w:pPr>
      <w:r w:rsidRPr="003C2BC2">
        <w:rPr>
          <w:b/>
        </w:rPr>
        <w:t>Article 1 (Single-Use Plastics Fund Act)</w:t>
      </w:r>
    </w:p>
    <w:p w14:paraId="12D62AB6" w14:textId="771833DB" w:rsidR="005009EF" w:rsidRPr="003C2BC2" w:rsidRDefault="009C77F4" w:rsidP="008E7E90">
      <w:pPr>
        <w:pStyle w:val="Text"/>
      </w:pPr>
      <w:r w:rsidRPr="003C2BC2">
        <w:t>This Article lays down the new Single-Use Plastics Fund Act. It has no precursor in previous legislation and is intended to transpose Articles 8(1) to (7) and 14 of Directive (EU) 2019/904. It is the last missing legislative element for transposing that Directive.</w:t>
      </w:r>
    </w:p>
    <w:p w14:paraId="3D314629" w14:textId="77777777" w:rsidR="008E7E90" w:rsidRPr="003C2BC2" w:rsidRDefault="008E7E90" w:rsidP="008E7E90">
      <w:pPr>
        <w:pStyle w:val="Text"/>
        <w:rPr>
          <w:b/>
        </w:rPr>
      </w:pPr>
      <w:r w:rsidRPr="003C2BC2">
        <w:rPr>
          <w:b/>
        </w:rPr>
        <w:t>Part 1 (General provisions)</w:t>
      </w:r>
    </w:p>
    <w:p w14:paraId="265D55A8" w14:textId="77777777" w:rsidR="008E7E90" w:rsidRPr="003C2BC2" w:rsidRDefault="008E7E90" w:rsidP="008E7E90">
      <w:pPr>
        <w:pStyle w:val="Text"/>
      </w:pPr>
      <w:r w:rsidRPr="003C2BC2">
        <w:t>This Part, as is customary in Acts and Ordinances, lays down the scope and definitions.</w:t>
      </w:r>
    </w:p>
    <w:p w14:paraId="65ABE1CD" w14:textId="5866A94A" w:rsidR="008E7E90" w:rsidRPr="003C2BC2" w:rsidRDefault="008E7E90" w:rsidP="008E7E90">
      <w:pPr>
        <w:pStyle w:val="Text"/>
        <w:rPr>
          <w:b/>
        </w:rPr>
      </w:pPr>
      <w:r w:rsidRPr="003C2BC2">
        <w:rPr>
          <w:b/>
        </w:rPr>
        <w:t>Section 1 (Objective)</w:t>
      </w:r>
    </w:p>
    <w:p w14:paraId="0E02522A" w14:textId="757965E8" w:rsidR="005D2054" w:rsidRPr="003C2BC2" w:rsidRDefault="008E7E90" w:rsidP="008E7E90">
      <w:pPr>
        <w:pStyle w:val="Text"/>
      </w:pPr>
      <w:r w:rsidRPr="003C2BC2">
        <w:t>The provision lays down the objective of the Act. It is intended to transpose point b of Article 8a(1) of Directive 2008/98/EC. Under said provision, qualitative or quantitative requirements or objectives are to be set, which may concern both waste management and other aspects relevant to extended producer responsibility.</w:t>
      </w:r>
    </w:p>
    <w:p w14:paraId="7B1C1DCB" w14:textId="32FF6C26" w:rsidR="00495102" w:rsidRPr="003C2BC2" w:rsidRDefault="0029626C" w:rsidP="00F00651">
      <w:pPr>
        <w:pStyle w:val="Text"/>
      </w:pPr>
      <w:r w:rsidRPr="003C2BC2">
        <w:t>The objective of extended producer responsibility for the single-use plastic products listed in Annex 1 is specified in Article 1 of Directive (EU) 2019/904. The aim is to avoid or reduce the impact of single-use plastic products on the environment, in particular the marine environment, and on human health. At the same time, innovative and sustainable business models, products and materials are to be promoted in order to contribute to the smooth functioning of the European internal market. Those objectives of Directive (EU) 2019/904 – in so far as they concern the Member State level – are incorporated into the objective of this Act, as this Act is intended to transpose Articles 8(1) to (7) and 14 of Directive (EU) 2019/904. The objective laid down in the first sentence corresponds fully to the evaluation provision set out in Section 28.</w:t>
      </w:r>
    </w:p>
    <w:p w14:paraId="0A16BCD3" w14:textId="5D3641B9" w:rsidR="00EC0A81" w:rsidRPr="003C2BC2" w:rsidRDefault="00F00651" w:rsidP="00F00651">
      <w:pPr>
        <w:pStyle w:val="Text"/>
      </w:pPr>
      <w:r w:rsidRPr="003C2BC2">
        <w:t>The objective set out in the second sentence allows competitors to take action under private law where competition does not comply with the provisions of this Act. Within the meaning of Section 3a of the Act against Unfair Competition, properly registered producers are to be protected from additional burdens by that fact that the costs to be covered under this Act are covered fairly by all the operators concerned. Legally compliant producers are thus also to be protected against competitive disadvantages that may arise from non-compliant companies. This also indirectly supports the implementation of the rules. Similar provisions can be found in Section 1(1), fourth sentence of the Packaging Act and Section 1, third sentence of the Electrical and Electronic Equipment Act (see also Bundestag document 19/26271, p. 48).</w:t>
      </w:r>
    </w:p>
    <w:p w14:paraId="25569A89" w14:textId="77777777" w:rsidR="008E7E90" w:rsidRPr="003C2BC2" w:rsidRDefault="008E7E90" w:rsidP="008E7E90">
      <w:pPr>
        <w:pStyle w:val="Text"/>
        <w:rPr>
          <w:b/>
        </w:rPr>
      </w:pPr>
      <w:r w:rsidRPr="003C2BC2">
        <w:rPr>
          <w:b/>
        </w:rPr>
        <w:t>Section 2 (Scope of application)</w:t>
      </w:r>
    </w:p>
    <w:p w14:paraId="06732FDF" w14:textId="77777777" w:rsidR="00E47D4C" w:rsidRPr="003C2BC2" w:rsidRDefault="00E47D4C" w:rsidP="00E47D4C">
      <w:r w:rsidRPr="003C2BC2">
        <w:t>The provision lays down the scope of the Act.</w:t>
      </w:r>
    </w:p>
    <w:p w14:paraId="0C003709" w14:textId="3FD458C0" w:rsidR="00E47D4C" w:rsidRPr="003C2BC2" w:rsidRDefault="00E47D4C" w:rsidP="00E47D4C">
      <w:r w:rsidRPr="003C2BC2">
        <w:rPr>
          <w:b/>
        </w:rPr>
        <w:t>Paragraph (1)</w:t>
      </w:r>
      <w:r w:rsidRPr="003C2BC2">
        <w:t xml:space="preserve"> clarifies that the Act specifies in detail product responsibility within the meaning of Section 23(1) to (3) of the Circular Economy Act – specifically for the single-use plastic products listed in Annex 1. The provision is modelled on the first sentence of Section 1(1) of the Packaging Act and transposes Article 8(1) of Directive (EU) 2019/904, under which Member States are required to establish ‘extended producer responsibility schemes [...] in accordance with Articles 8 and 8a of Directive 2008/98/EC’. The concept of extended producer responsibility under European law corresponds to the German concept of product responsibility, the legal basis for which is found in the Circular Economy Act.</w:t>
      </w:r>
    </w:p>
    <w:p w14:paraId="0BC1D3E9" w14:textId="768A4C8B" w:rsidR="00B8779F" w:rsidRPr="003C2BC2" w:rsidRDefault="00B8779F" w:rsidP="00E47D4C">
      <w:r w:rsidRPr="003C2BC2">
        <w:t xml:space="preserve">Some of the obligations laid down in the Act also affect producers who already exercise product responsibility under the Packaging Act for certain products, namely packaging. This includes the obligation to pay licence fees to the dual systems that handle the waste management of packaging waste generated by private end-users. However, the present Act </w:t>
      </w:r>
      <w:r w:rsidRPr="003C2BC2">
        <w:lastRenderedPageBreak/>
        <w:t>concerns extended producer responsibility for certain waste generated from single-use plastic products in public spaces. Domestic waste collection or collection at comparable waste generation sites under the Packaging Act are specifically not concerned here. Due to the different objectives of the two Acts, in particular the sites where waste is generated, no double burden is imposed on producers from the introduction of the new obligations (for the special case of awareness-raising costs, see comments on Section 3, subparagraph 14 below).</w:t>
      </w:r>
    </w:p>
    <w:p w14:paraId="7F4C1082" w14:textId="6D4F39E5" w:rsidR="00EC0A81" w:rsidRPr="003C2BC2" w:rsidRDefault="002C04B3" w:rsidP="00E47D4C">
      <w:pPr>
        <w:rPr>
          <w:b/>
        </w:rPr>
      </w:pPr>
      <w:r w:rsidRPr="003C2BC2">
        <w:rPr>
          <w:b/>
        </w:rPr>
        <w:t>Paragraph (2)</w:t>
      </w:r>
      <w:r w:rsidRPr="003C2BC2">
        <w:t xml:space="preserve"> concerns the relationship with the Circular Economy Act and ordinances issued on the basis thereof. These shall remain applicable, provided that the Single-Use Plastics Fund Act lays down no provisions to the contrary. This rule is modelled on Section 2(1), first sentence of the Packaging Act; Section 2(3), first sentence of the Electrical and Electronic Equipment Act and Section 1(3), first sentence of the Battery Act. The same applies to the corresponding application of Section 62 of the Circular Economy Act. This means that the general clause enabling the competent authority to issue orders also applies to orders implementing this Act.</w:t>
      </w:r>
    </w:p>
    <w:p w14:paraId="24224CEE" w14:textId="77777777" w:rsidR="008E7E90" w:rsidRPr="003C2BC2" w:rsidRDefault="008E7E90" w:rsidP="008E7E90">
      <w:pPr>
        <w:pStyle w:val="Text"/>
        <w:rPr>
          <w:b/>
        </w:rPr>
      </w:pPr>
      <w:r w:rsidRPr="003C2BC2">
        <w:rPr>
          <w:b/>
        </w:rPr>
        <w:t>Section 3 (Definitions)</w:t>
      </w:r>
    </w:p>
    <w:p w14:paraId="52EE0A1F" w14:textId="6C91AF19" w:rsidR="00E47D4C" w:rsidRPr="003C2BC2" w:rsidRDefault="00E47D4C" w:rsidP="00E47D4C">
      <w:r w:rsidRPr="003C2BC2">
        <w:t>The provision lays down the definitions for the purposes of the Act. Many of the definitions have been taken over from Directive (EU) 2019/904 with a few editorial adjustments. Subparagraphs 12 to 16 contain explanations on the types of costs to be covered, which differ depending on the single-use plastic product. The cost types are derived from Article 8(2) to (4) of Directive (EU) 2019/904 and Articles 8 and 8a of Directive (EU) 2008/98. In addition, Annex 1 lists the single-use plastic products concerned and Annex 2 breaks down the costs to be covered in table form.</w:t>
      </w:r>
    </w:p>
    <w:p w14:paraId="110721EE" w14:textId="62329487" w:rsidR="00E47D4C" w:rsidRPr="003C2BC2" w:rsidRDefault="00E47D4C" w:rsidP="00E47D4C">
      <w:r w:rsidRPr="003C2BC2">
        <w:rPr>
          <w:b/>
        </w:rPr>
        <w:t>Subparagraph 1</w:t>
      </w:r>
      <w:r w:rsidRPr="003C2BC2">
        <w:t xml:space="preserve"> defines the central term ‘single-use plastic product’. The provision corresponds to the definition set out in point 2 of Article 3 of Directive (EU) 2019/904, Section 2 subparagraph 1 of the Ordinance on the Prohibition of Single-Use Plastics, and Section 2 subparagraph 1 of the Ordinance on the Labelling of Single-Use Plastics. Firstly, the definition specifies that the product concerned must be ‘made wholly or partly from plastic’; what the term ‘plastic’ means is explained in more detail in subparagraph 2. Secondly, subparagraph 1 specifies the concept of ‘single-use’ by delimiting it from the term ‘reusable’. It is central to the definition of reusable that a product accomplishes cycles in its life span, either by being returned to the producer or a third party for refill (e.g. reusable plastic beverage bottle) or by being reused for the purpose for which it was originally produced (e.g. children’s plastic beverage cups). Compared to the German version of the Directive, the definition has been slightly modified in keeping with the other language versions in order to clarify that refilling by a producer and other re-use for the original purpose are two different alternatives.</w:t>
      </w:r>
    </w:p>
    <w:p w14:paraId="59AD52B1" w14:textId="3EF39518" w:rsidR="00E47D4C" w:rsidRPr="003C2BC2" w:rsidRDefault="00E47D4C" w:rsidP="00E47D4C">
      <w:r w:rsidRPr="003C2BC2">
        <w:t>However, in the case of both refill and re-use, the product must be such that is used multiple times during the product phase, i.e. without becoming waste in an intermediate step. The nature of the use also plays a role, since the use must be made for ‘the same purpose’ for which the product was produced. For example, a plastic box for transporting and storing food is only a reusable container if the box is already intended, by its very nature, to be refilled with food by a producer or third party. Other possible uses, e.g. as storage for other products, are irrelevant. Since the question of whether a product is a single-use or reusable product must be already determined at the time it is first made available on the market or sold, possible subjective uses by consumers are ignored. For example, whether a cup designed as a single-use beverage cup is actually used only once is therefore irrelevant. With regard to the type of use and the question of multiple use, an objective criterion must be laid down, which also and specifically takes account of the general perception of usage. It is therefore not possible for a producer to ‘redeclare’ an item, which has been produced as a single-use product, as a reusable product, by simply referring to the possibility of multiple use in certain circumstances.</w:t>
      </w:r>
    </w:p>
    <w:p w14:paraId="694A4915" w14:textId="42E7B548" w:rsidR="00E47D4C" w:rsidRPr="003C2BC2" w:rsidRDefault="00E47D4C" w:rsidP="00E47D4C">
      <w:r w:rsidRPr="003C2BC2">
        <w:lastRenderedPageBreak/>
        <w:t>On 31 May 2021,</w:t>
      </w:r>
      <w:bookmarkStart w:id="24" w:name="DQPErrorScope4629CD947F9AB77F47CB658C281"/>
      <w:r w:rsidRPr="003C2BC2">
        <w:t xml:space="preserve"> </w:t>
      </w:r>
      <w:bookmarkEnd w:id="24"/>
      <w:r w:rsidRPr="003C2BC2">
        <w:t>the European Commission published (late) the ‘Guidelines on single-use plastic products in accordance with Directive (EU) 2019/904 of the European Parliament and of the Council on the reduction of the impact of certain plastic products on the environment’ provided for in the second sentence of Article 12 of Directive (EU) 2019/904. The definition of a single-use plastic product is explained in more detail under 2.2 of said Guidelines. Ultimately, Section 22(1), first sentence, subparagraph 1 enables the Federal Environment Agency to designate a product as a single-use plastic product by means of an administrative act.</w:t>
      </w:r>
    </w:p>
    <w:p w14:paraId="61E2A356" w14:textId="46C2BC8B" w:rsidR="00E47D4C" w:rsidRPr="003C2BC2" w:rsidRDefault="00E47D4C" w:rsidP="00E47D4C">
      <w:r w:rsidRPr="003C2BC2">
        <w:rPr>
          <w:b/>
        </w:rPr>
        <w:t>Subparagraph 2</w:t>
      </w:r>
      <w:r w:rsidRPr="003C2BC2">
        <w:t xml:space="preserve"> defines the term ‘plastic’. The provision transposes point 1 of Article 3 of Directive (EU) 2019/904, and corresponds to Section 2 subparagraph 2 of the Ordinance on the Prohibition of Single-Use Plastics and Section 2 subparagraph 2 of the Ordinance on the Labelling of Single-Use Plastics. Plastic is defined as a material consisting of a polymer which can function as the main structural component of final products. The definition set out in Article 3 subparagraph 5 of Regulation (EC) No 1907/2006 shall apply to the term ‘polymer’. Accordingly, a polymer is a substance consisting of molecules characterised by the sequence of one or more types of monomer units. Such molecules must be distributed over a range of molecular weights wherein differences in the molecular weight are primarily attributable to differences in the number of monomer units. According to the definition, a polymer firstly comprises a simple weight majority of molecules containing at least three monomer units which are covalently bound to at least one other monomer unit or other reactant, and secondly less than a simple weight majority of molecules of the same molecular weight.</w:t>
      </w:r>
    </w:p>
    <w:p w14:paraId="259018B9" w14:textId="15015014" w:rsidR="005C6FE2" w:rsidRPr="003C2BC2" w:rsidRDefault="00E47D4C" w:rsidP="00E47D4C">
      <w:r w:rsidRPr="003C2BC2">
        <w:t>According to the definition under EU law, it is irrelevant for classifying a material as plastic whether additives or other substances are added to it. Paints, inks and adhesives cannot function as the main structural component of final products and are therefore not covered by the definition. However, the definition excludes materials consisting of natural polymers that have not been chemically modified. The decision whether a polymer has been chemically modified in its production or not should take into account only the difference between the ingoing and the resulting polymer, disregarding any modifications which might have taken place during production processes, as those are not relevant for the properties and the behaviour of the polymer used and eventually potentially released into the environment. (see European Commission Guidelines on Article 12, point 2.1.3(ii)).</w:t>
      </w:r>
    </w:p>
    <w:p w14:paraId="4EA10BFC" w14:textId="40E17D48" w:rsidR="00E47D4C" w:rsidRPr="003C2BC2" w:rsidRDefault="00E47D4C" w:rsidP="00E47D4C">
      <w:r w:rsidRPr="003C2BC2">
        <w:t>Furthermore, according to recital 11 of Directive (EU) 2019/904, the definition of ‘plastics’, which differs compared to chemical legislation, should therefore cover polymer-based rubber items and bio-based and biodegradable plastics regardless of whether they are derived from biomass or are intended to biodegrade over time.</w:t>
      </w:r>
    </w:p>
    <w:p w14:paraId="1355920D" w14:textId="6E69D638" w:rsidR="00E47D4C" w:rsidRPr="003C2BC2" w:rsidRDefault="00E47D4C" w:rsidP="00E47D4C">
      <w:r w:rsidRPr="003C2BC2">
        <w:t>The European Commission Guidelines adopted pursuant to the second sentence of Article 12 of Directive (EU) 2019/904 provide further explanations on the definition of plastics under 2.1. Ultimately, Section 22(1), first sentence, subparagraph 1 enables the Federal Environment Agency to designate a single-use product as a plastic product by means of an administrative act and Section 22(2) enables the enactment of administrative provisions.</w:t>
      </w:r>
    </w:p>
    <w:p w14:paraId="54D0A57C" w14:textId="3732C26C" w:rsidR="008E2CA2" w:rsidRPr="003C2BC2" w:rsidRDefault="00E47D4C" w:rsidP="00CA404D">
      <w:r w:rsidRPr="003C2BC2">
        <w:rPr>
          <w:b/>
        </w:rPr>
        <w:t>Subparagraph 3</w:t>
      </w:r>
      <w:r w:rsidRPr="003C2BC2">
        <w:t xml:space="preserve"> lays down the central definition of a producer. This is important for determining the obligation to pay the levy, especially in sales, distribution and supply chains. The provision transposes the definition of producer from point 11 of Article 3 of Directive (EU) 2019/904 on a one-to-one basis, although some linguistic adjustments and clarifications have been made. The definition of producer distinguishes two different case groups: While point a regulates cases in which the undertaking concerned is established at least also in Germany, point b concerns the case where there is no establishment in Germany and the undertaking operates exclusively from abroad on the German market.</w:t>
      </w:r>
    </w:p>
    <w:p w14:paraId="2E618AB6" w14:textId="1CEA45C7" w:rsidR="002824A4" w:rsidRPr="003C2BC2" w:rsidRDefault="006C5EE2" w:rsidP="00CA404D">
      <w:r w:rsidRPr="003C2BC2">
        <w:rPr>
          <w:b/>
        </w:rPr>
        <w:t>Point a</w:t>
      </w:r>
      <w:r w:rsidRPr="003C2BC2">
        <w:t xml:space="preserve"> concerns the case where a natural or legal person or partnership with legal capacity, which is established in Germany, makes the single-use plastic products listed in Annex 1 </w:t>
      </w:r>
      <w:r w:rsidRPr="003C2BC2">
        <w:lastRenderedPageBreak/>
        <w:t>available on the market for the first time as a producer, filler, seller or importer. In transposing the EU legal requirements with respect to the definition of producer in this Act, it is irrelevant whether the goods are filled or unfilled. There is a significant difference here to the definition of producer under the Packaging Act, which focuses on the placing on the market of packaging filled with goods. The decisive criterion for the purposes of this Act is whether the acting natural or legal person or partnership with legal capacity makes the single-use plastic product available on the market for the first time. The definition thus also follows the clear requirements laid down in the guidelines adopted by the European Commission in accordance with the second sentence of Article 12 of Directive (EU) 2019/904.</w:t>
      </w:r>
    </w:p>
    <w:p w14:paraId="25CAB3F1" w14:textId="7FAE93E4" w:rsidR="0040731A" w:rsidRPr="003C2BC2" w:rsidRDefault="00377A9E" w:rsidP="006960DE">
      <w:r w:rsidRPr="003C2BC2">
        <w:t>The making available must take place ‘for the first time’, i.e. a producer, filler, seller or importer who passes on a single-use plastic product already made available on the market is not a producer within the meaning of the provision. Nevertheless, these actors have certain obligations (cf. Section 9(2) to (4)). The term ‘making available on the market’ equally incorporates the definition laid down in point 6 of Article 3 of Directive (EU) 2019/904 in the definition of producer and therefore no separate mention of the term ‘placing on the market’ is required. The activity is a professional activity if it is rendered independently, set up for a certain duration and aimed at the achievement of profit. The making available of single-use plastic products on the market does not have to constitute either the exclusive or the main activity.</w:t>
      </w:r>
    </w:p>
    <w:p w14:paraId="636958B1" w14:textId="2E776FA7" w:rsidR="000E36AA" w:rsidRPr="003C2BC2" w:rsidRDefault="006960DE" w:rsidP="0040731A">
      <w:r w:rsidRPr="003C2BC2">
        <w:t>If a single-use plastic product is produced in Germany but is delivered abroad by the producer, this does not constitute making available on the German market. The same applies in cases where single-use plastic products are imported from abroad, but are not placed on the German market by the importer, but instead re-exported. In both cases, however, the rules adopted in other EU countries transposing Article 8 of Directive (EU) 2019/904 are to be observed for the export.</w:t>
      </w:r>
    </w:p>
    <w:p w14:paraId="5B7C658D" w14:textId="08B893FA" w:rsidR="007B074A" w:rsidRPr="003C2BC2" w:rsidRDefault="007B074A" w:rsidP="00CA404D">
      <w:r w:rsidRPr="003C2BC2">
        <w:rPr>
          <w:b/>
        </w:rPr>
        <w:t>Point b</w:t>
      </w:r>
      <w:r w:rsidRPr="003C2BC2">
        <w:t xml:space="preserve"> concerns the case where a natural or legal person or partnership with legal capacity, which is not established in Germany, sells the single-use plastic products listed in Annex 1 directly to households or other users by means of distance communication. An agreement under the law of obligations between the seller and the buyer is decisive here.</w:t>
      </w:r>
    </w:p>
    <w:p w14:paraId="4E50B79A" w14:textId="21D6699F" w:rsidR="00F84F24" w:rsidRPr="003C2BC2" w:rsidRDefault="000E36AA" w:rsidP="00E47D4C">
      <w:r w:rsidRPr="003C2BC2">
        <w:rPr>
          <w:b/>
        </w:rPr>
        <w:t xml:space="preserve">Subparagraph 4 </w:t>
      </w:r>
      <w:r w:rsidRPr="003C2BC2">
        <w:t xml:space="preserve">outlines the definition of making available on the market, which is central to the definition of producer in subparagraph 2 point a, and corresponds to the definition in point 7 of Article 3 of Directive (EU) 2019/904. Making available on the market means the supply of a single-use plastic product listed in Annex 1 for the purpose of distribution or use. It refers to every individual product, regardless of whether it was produced as an individual item or in series. The provision presupposes action in the context of a business activity. However, the making available of single-use plastic products on the market does not have to be the sole business of the company concerned, nor does it require profit to be made therefrom. </w:t>
      </w:r>
    </w:p>
    <w:p w14:paraId="4CA271F9" w14:textId="2C11A60D" w:rsidR="00EE4E34" w:rsidRPr="003C2BC2" w:rsidRDefault="00EE4E34" w:rsidP="00E47D4C">
      <w:r w:rsidRPr="003C2BC2">
        <w:rPr>
          <w:b/>
        </w:rPr>
        <w:t xml:space="preserve">Subparagraph 5 </w:t>
      </w:r>
      <w:r w:rsidRPr="003C2BC2">
        <w:t>lays down the definition of electronic marketplace. The definition is essentially based on the definition that is already laid down in Section 3(14b) of the Packaging Act.</w:t>
      </w:r>
    </w:p>
    <w:p w14:paraId="09A05F92" w14:textId="74A1AD72" w:rsidR="00292B63" w:rsidRPr="003C2BC2" w:rsidRDefault="00292B63" w:rsidP="00E47D4C">
      <w:r w:rsidRPr="003C2BC2">
        <w:rPr>
          <w:b/>
        </w:rPr>
        <w:t>Subparagraph 6</w:t>
      </w:r>
      <w:r w:rsidRPr="003C2BC2">
        <w:t xml:space="preserve"> lays down a definition of operator of an electronic marketplace. The definition is essentially based on the definition that is already laid down in Section 3(14b) of the Packaging Act. This is the acting operator of an electronic marketplace and can therefore be considered to be an addressee of obligations.</w:t>
      </w:r>
    </w:p>
    <w:p w14:paraId="7EAE40A6" w14:textId="6F6C8DA9" w:rsidR="008E56A8" w:rsidRPr="003C2BC2" w:rsidRDefault="0018033D" w:rsidP="00E47D4C">
      <w:r w:rsidRPr="003C2BC2">
        <w:rPr>
          <w:b/>
        </w:rPr>
        <w:t xml:space="preserve">Subparagraph 7 </w:t>
      </w:r>
      <w:r w:rsidRPr="003C2BC2">
        <w:t>lays down a definition of offer. The definition mirrors that in Section 3 subparagraph 6 of the Electrical and Electronic Equipment Act.</w:t>
      </w:r>
    </w:p>
    <w:p w14:paraId="687F2899" w14:textId="0BA5AB0A" w:rsidR="00292B63" w:rsidRPr="003C2BC2" w:rsidRDefault="008E56A8" w:rsidP="00E47D4C">
      <w:r w:rsidRPr="003C2BC2">
        <w:rPr>
          <w:b/>
        </w:rPr>
        <w:t>Subparagraph 8</w:t>
      </w:r>
      <w:r w:rsidRPr="003C2BC2">
        <w:t xml:space="preserve"> lays down a definition of fulfilment service provider. The definition is based on Section 3 subparagraph 14c of the Packaging Act. Expressly excluded from the activities </w:t>
      </w:r>
      <w:r w:rsidRPr="003C2BC2">
        <w:lastRenderedPageBreak/>
        <w:t>of a fulfilment service provider are, according to the second sentence, postal services according to Section 4 of the Postal Act and parcel delivery services pursuant to Regulation (EU) 2018/644 on cross-border parcel delivery services, and freight transport services.</w:t>
      </w:r>
    </w:p>
    <w:p w14:paraId="71455723" w14:textId="0CEFE495" w:rsidR="005009EF" w:rsidRPr="003C2BC2" w:rsidRDefault="00F84F24" w:rsidP="00E47D4C">
      <w:r w:rsidRPr="003C2BC2">
        <w:rPr>
          <w:b/>
        </w:rPr>
        <w:t>Subparagraph 9</w:t>
      </w:r>
      <w:r w:rsidRPr="003C2BC2">
        <w:t xml:space="preserve"> defines an authorised representative. Together with the provision in Section 10(1), the provision is intended to transpose the sixth subparagraph of Article 8(5) of Directive (EU) 2019/904. The definition is based on Section 3(10) of the Electrical and Electronic Equipment Act and Section 3 subparagraph 14a of the Packaging Act. In accordance with Section 10, the rules on authorised representatives enable foreign producers to exercise product responsibility in the territory where this Act applies by transferring the producer obligations, with the exception of registration pursuant to Section 7(1) and the annual notification pursuant to Section 11(1), to the authorised representative by means of a corresponding appointment. After being appointed by the producer, the authorised representative takes over the producer obligations and is thus also a potential addressee of the regulatory offences set out in Section 26(1), subparagraph 9. The authorised representative must be established in the territory where the Act applies.</w:t>
      </w:r>
    </w:p>
    <w:p w14:paraId="0C2CC697" w14:textId="13D74DC2" w:rsidR="00E47D4C" w:rsidRPr="003C2BC2" w:rsidRDefault="00E47D4C" w:rsidP="00E47D4C">
      <w:r w:rsidRPr="003C2BC2">
        <w:rPr>
          <w:b/>
        </w:rPr>
        <w:t>Subparagraph 10</w:t>
      </w:r>
      <w:r w:rsidRPr="003C2BC2">
        <w:t xml:space="preserve"> explains the abbreviation ‘Central Agency’ used in the Act. It refers to the ‘Central Agency Packaging Register’, which was established on 16 May 2017 as a foundation under private law in accordance with Section 3(18) in conjunction with Section 24 of the Packaging Act. The tasks of the Central Agency are derived from Section 26 of the Packaging Act, which is amended in Article 2 of this Act.</w:t>
      </w:r>
    </w:p>
    <w:p w14:paraId="7FAA3405" w14:textId="2701EE01" w:rsidR="00537DF0" w:rsidRPr="003C2BC2" w:rsidRDefault="00E47D4C" w:rsidP="00E47D4C">
      <w:r w:rsidRPr="003C2BC2">
        <w:rPr>
          <w:b/>
        </w:rPr>
        <w:t>Subparagraph 11</w:t>
      </w:r>
      <w:r w:rsidRPr="003C2BC2">
        <w:t xml:space="preserve"> is linked to the definition below and defines a public collection system. The term ‘system’ makes it clear that the collection and emptying of the container must be planned. This means that the containers must be placed precisely for the purpose of being filled with waste. A collection system can be, for example, a waste bin or waste container or an ashtray. A collection system is deemed to be ‘public’ if it is set up in a generally accessible place and is operated by or on behalf of a public body. These include, for example, publicly accessible berths for boats as well as weirs and locks located on federal waterways. The limitation to generally accessible places makes it clear, in particular, that the existing systems of public waste management providers for collecting waste from private households, such as general household waste bins, are not covered.</w:t>
      </w:r>
    </w:p>
    <w:p w14:paraId="2CCB3F7C" w14:textId="7A63CD71" w:rsidR="00E47D4C" w:rsidRPr="003C2BC2" w:rsidRDefault="00537DF0" w:rsidP="00E47D4C">
      <w:r w:rsidRPr="003C2BC2">
        <w:rPr>
          <w:b/>
        </w:rPr>
        <w:t>Subparagraph 12</w:t>
      </w:r>
      <w:r w:rsidRPr="003C2BC2">
        <w:t xml:space="preserve"> defines collection costs as costs of collecting waste generated from the single-use plastic products listed in Annex 1 in public collection systems. The term ‘collection’ is defined in Section 3(15) of the Circular Economy Act, as the gathering of waste, including its preliminary sorting and preliminary storage for the purposes of transport to a waste treatment installation. Collection also includes all logistical preparatory activities, such as the selection and preparation of the place where the collection containers are to be placed, the affixing and installation of the collection containers as well as the labelling of the collection containers or other notification measures.</w:t>
      </w:r>
    </w:p>
    <w:p w14:paraId="595BAAC4" w14:textId="7CD13D83" w:rsidR="00E47D4C" w:rsidRPr="003C2BC2" w:rsidRDefault="00E47D4C" w:rsidP="00E47D4C">
      <w:r w:rsidRPr="003C2BC2">
        <w:t>The costs of collection include the costs of setting up the collection system, the regular costs of operation and the transport and disposal of waste resulting from the emptying of the collection container. Collection costs, unlike cleaning costs, relate to waste that is properly disposed of in the containers made available for this purpose.</w:t>
      </w:r>
    </w:p>
    <w:p w14:paraId="2CB3078F" w14:textId="77777777" w:rsidR="00E47D4C" w:rsidRPr="003C2BC2" w:rsidRDefault="00E47D4C" w:rsidP="00E47D4C">
      <w:r w:rsidRPr="003C2BC2">
        <w:t>The obligation for producers to cover collection costs for the products referred to in Section I of Part E of Directive (EU) 2019/904 stems from Article 8(2)(b) of that Directive. For the products listed in Section III of Part E of Directive (EU) 2019/904, the reimbursement obligation is identical to the second sentence of Article 8(3) of that Directive.</w:t>
      </w:r>
    </w:p>
    <w:p w14:paraId="6B35B111" w14:textId="14654921" w:rsidR="009C2080" w:rsidRPr="003C2BC2" w:rsidRDefault="00751A47" w:rsidP="00E47D4C">
      <w:r w:rsidRPr="003C2BC2">
        <w:t xml:space="preserve">Transposing the third sentence of Article 8(3) of Directive (EU) 2019/904, the third clause makes it clear that, with regard to the collection of waste from plastic tobacco products, collection costs also include the costs of setting up specific infrastructures for the collection of tobacco products (e.g. ashtrays) especially in litter hotspots. Litter hotspots are places </w:t>
      </w:r>
      <w:r w:rsidRPr="003C2BC2">
        <w:lastRenderedPageBreak/>
        <w:t>that tend to be or may be exposed to heavy littering, especially due to the high frequency of visitors. The costs are also covered if the infrastructure that is set up is precisely to reduce litter in the place concerned.</w:t>
      </w:r>
    </w:p>
    <w:p w14:paraId="05D6DB41" w14:textId="3B815B2A" w:rsidR="00E47D4C" w:rsidRPr="003C2BC2" w:rsidRDefault="00EE4E34" w:rsidP="00E47D4C">
      <w:r w:rsidRPr="003C2BC2">
        <w:rPr>
          <w:b/>
        </w:rPr>
        <w:t xml:space="preserve">Subparagraph 13 </w:t>
      </w:r>
      <w:r w:rsidRPr="003C2BC2">
        <w:t>defines cleaning costs as the costs incurred by the mentioned public waste management providers and other legal entities under public law in removing from the environment waste also containing the single-use plastic products listed in Annex 1. This waste is frequently introduced into the environment by being carelessly discarded (‘littering’). The reference to Section 3(22) of the Circular Economy Act makes it clear that the costs of recovering and disposing of the waste are also part of the cleaning costs. The wording ‘to the respective extent’ makes it clear that the costs can only be claimed on a pro rata basis for the single-use plastic products collected in the clean-up.</w:t>
      </w:r>
    </w:p>
    <w:p w14:paraId="1EA60CAE" w14:textId="1B846374" w:rsidR="00E47D4C" w:rsidRPr="003C2BC2" w:rsidRDefault="00E47D4C" w:rsidP="00E47D4C">
      <w:pPr>
        <w:pStyle w:val="Text"/>
      </w:pPr>
      <w:r w:rsidRPr="003C2BC2">
        <w:t>The covering of cleaning costs by producers for the products referred to in Part E of the Annex to Directive (EU) 2019/904 derives from Article 8(2)(c) and of Article 8(3)(c) of that Directive. The reimbursement of the costs is expressly only for clean-up activities ‘by or on behalf of authorities’. The concept of ‘authority’ is to be interpreted in compliance with EU law and includes in German law all public waste management providers as well as other legal entities under public law. For example, by way of distinction, the costs of voluntary clean-up activities by non-governmental organisations are not eligible for reimbursement. However, the situation is different if a clean-up activity is carried out on behalf of a public waste management provider or a legal entity under public law. In legal terms, such activities are to be classified as third-party assignments pursuant to Section 22 of the Circular Economy Act. A contractual relationship between the public body and the non-governmental organisation is required. The assignment should be by means of a written agreement for the purposes of legal certainty and transparency.</w:t>
      </w:r>
    </w:p>
    <w:p w14:paraId="63412E4C" w14:textId="6F5E1E3A" w:rsidR="00E47D4C" w:rsidRPr="003C2BC2" w:rsidRDefault="00E47D4C" w:rsidP="00E47D4C">
      <w:r w:rsidRPr="003C2BC2">
        <w:rPr>
          <w:b/>
        </w:rPr>
        <w:t>Subparagraph 14</w:t>
      </w:r>
      <w:r w:rsidRPr="003C2BC2">
        <w:t xml:space="preserve"> defines the costs of raising awareness of consumers in accordance with Section 46(2) and (3) subparagraphs 2 and 3. Section 46(2) second sentence, and (3) second sentence of the Circular Economy Act was amended by the Act transposing provisions of the Single-Use Plastics Directive and the Waste Framework Directive in the Packaging Act and in other laws of 9 June 2021 (Federal Law Gazette I 2021 p. 1699). This amendment to Section 46 of the Circular Economy Act transposes Article 10 of Directive (EU) 2019/904. This requires EU Member States to take measures to inform consumers, e.g. about reusable alternatives or the effects of littering. Accordingly, costs are only reimbursed in accordance with the provisions of the Act for awareness-raising measures that are carried out on the basis of a legal assignment.</w:t>
      </w:r>
    </w:p>
    <w:p w14:paraId="425D3D2E" w14:textId="2DD23558" w:rsidR="00206CD6" w:rsidRPr="003C2BC2" w:rsidRDefault="00E47D4C" w:rsidP="00E47D4C">
      <w:pPr>
        <w:pStyle w:val="Text"/>
      </w:pPr>
      <w:r w:rsidRPr="003C2BC2">
        <w:t>According to Section 14(3) of the Packaging Act, which also transposes Article 10 of Directive (EU) 2019/904, the dual systems are also required to implement corresponding awareness-raising measures with regard to packaging. However, the costs of these awareness-raising measures are already borne by packaging producers through the licence fees and are therefore not relevant for reimbursement under this Act. However, the financial contribution, in particular of producers of packaging that requires participation in a system, must be taken into account when calculating the cost burden of individual producers in the context of setting the levy rates. The wording ‘to the respective extent’ makes it clear that the costs can only be claimed on a pro rata basis for the awareness-raising measures concerning single-use plastic products.</w:t>
      </w:r>
    </w:p>
    <w:p w14:paraId="7086D61D" w14:textId="2056EA1C" w:rsidR="00E47D4C" w:rsidRPr="003C2BC2" w:rsidRDefault="00E47D4C" w:rsidP="00E47D4C">
      <w:r w:rsidRPr="003C2BC2">
        <w:rPr>
          <w:b/>
        </w:rPr>
        <w:t>Subparagraph 15</w:t>
      </w:r>
      <w:r w:rsidRPr="003C2BC2">
        <w:t xml:space="preserve"> defines costs for collecting and transmitting data, which is relevant for calculating the levy and reimbursements. This is the cost incurred by the beneficiaries in the context of registration and annual notification. Eligibility of these costs for reimbursement derives from Article 8(3)(c) of Directive (EU) 2019/904 in conjunction with Article 8a(1)(b) and (c) of Directive 2008/98/EC.</w:t>
      </w:r>
    </w:p>
    <w:p w14:paraId="7D021252" w14:textId="76590C0F" w:rsidR="00D33885" w:rsidRPr="003C2BC2" w:rsidRDefault="00E47D4C" w:rsidP="0017005D">
      <w:r w:rsidRPr="003C2BC2">
        <w:rPr>
          <w:b/>
        </w:rPr>
        <w:t xml:space="preserve">Subparagraph 16 </w:t>
      </w:r>
      <w:r w:rsidRPr="003C2BC2">
        <w:t xml:space="preserve">defines administration costs as costs incurred by the Federal Environment Agency for carrying out the tasks under this Act. As costs inherently incurred through </w:t>
      </w:r>
      <w:r w:rsidRPr="003C2BC2">
        <w:lastRenderedPageBreak/>
        <w:t>ordering extended producer responsibility, administration costs are costs to be reimbursed by producers. In accordance with Article 8(2) and (3) of Directive (EU) 2019/904, producers are to cover, in addition to the costs expressly referred to therein, ‘the costs pursuant to the extended producer responsibility provisions in Directives 2008/98/EC and 94/62/EC’. In accordance with point 21 of Article 3 of Directive 2008/98/EC, extended producer responsibility shall include the assumption ‘financial responsibility or financial and organisational responsibility for the management of the waste stage of a product’s life cycle’. This therefore covers all the costs necessary for the functioning of extended producer responsibility. And includes administration costs to implement financial responsibility. Finally, the administration costs are even explicitly mentioned in Directive (EU) 2019/904, in recital 22 and in the fourth sentence of Article 8(4). It is pointed out in said provisions that they should be minimised. This requirement on the Member States only makes sense if producers have to cover those costs.</w:t>
      </w:r>
    </w:p>
    <w:p w14:paraId="7FD0F876" w14:textId="3ACD8187" w:rsidR="00E47D4C" w:rsidRPr="003C2BC2" w:rsidRDefault="00E47D4C" w:rsidP="0017005D">
      <w:r w:rsidRPr="003C2BC2">
        <w:t>The second sentence gives examples of the possible types of costs. The costs include, in particular, the ongoing personnel and material costs incurred by the Federal Environment Agency from administration of the single-use plastics fund. Personnel and material costs also include the necessary infrastructure costs. However, this also includes the costs incurred by the Federal Environment Agency from the establishment and operation of electronic data collection and processing systems. As regards charges for external services, it can be assumed that these will be particularly relevant for the creation of IT structures and the commissioning of scientific studies, for example to enable the single-use plastics commission to prepare its advice.</w:t>
      </w:r>
    </w:p>
    <w:p w14:paraId="0ED8D6A8" w14:textId="77777777" w:rsidR="008E7E90" w:rsidRPr="003C2BC2" w:rsidRDefault="008E7E90" w:rsidP="008E7E90">
      <w:pPr>
        <w:pStyle w:val="Text"/>
        <w:rPr>
          <w:b/>
        </w:rPr>
      </w:pPr>
      <w:r w:rsidRPr="003C2BC2">
        <w:rPr>
          <w:b/>
        </w:rPr>
        <w:t>Part 2 (Single-use plastics fund)</w:t>
      </w:r>
    </w:p>
    <w:p w14:paraId="2FAFB463" w14:textId="77777777" w:rsidR="008E7E90" w:rsidRPr="003C2BC2" w:rsidRDefault="008E7E90" w:rsidP="008E7E90">
      <w:pPr>
        <w:pStyle w:val="Text"/>
      </w:pPr>
      <w:r w:rsidRPr="003C2BC2">
        <w:t>This Part lays down the central provisions on the single-use plastics fund to be administered by the Federal Environment Agency.</w:t>
      </w:r>
    </w:p>
    <w:p w14:paraId="02A80D24" w14:textId="77777777" w:rsidR="008E7E90" w:rsidRPr="003C2BC2" w:rsidRDefault="008E7E90" w:rsidP="008E7E90">
      <w:pPr>
        <w:rPr>
          <w:b/>
        </w:rPr>
      </w:pPr>
      <w:r w:rsidRPr="003C2BC2">
        <w:rPr>
          <w:b/>
        </w:rPr>
        <w:t>Section 4 (Single-use plastics fund)</w:t>
      </w:r>
    </w:p>
    <w:p w14:paraId="040CC306" w14:textId="233906B9" w:rsidR="008E7E90" w:rsidRPr="003C2BC2" w:rsidRDefault="008E7E90" w:rsidP="008E7E90">
      <w:r w:rsidRPr="003C2BC2">
        <w:t>The provision is intended to transpose Article 8(2) and (3) and (4), fourth sentence of Directive (EU) 2019/904. The provision concerns the administration of the single-use plastics fund.</w:t>
      </w:r>
    </w:p>
    <w:p w14:paraId="78A25F59" w14:textId="432BA0C2" w:rsidR="00C23F1F" w:rsidRPr="003C2BC2" w:rsidRDefault="008E7E90" w:rsidP="008E7E90">
      <w:r w:rsidRPr="003C2BC2">
        <w:rPr>
          <w:b/>
        </w:rPr>
        <w:t>Paragraph (1)</w:t>
      </w:r>
      <w:r w:rsidRPr="003C2BC2">
        <w:t>, first sentence, obligates the Federal Environment Agency to administer the single-use plastics fund. The single-use plastics fund is to be recorded in the federal budget as an earmarked revenue item (cf. Section 8 second sentence of the Federal Budget Code) with the designation ‘single-use plastics fund’. According to the second sentence, the purpose of this new item to be accounted for by the Federal Environment Agency is to handle the costs to be recovered from producers in accordance with Section 3 subparagraphs 12 to 16. The main element here is the cost reimbursement claims of beneficiaries under Section 12 vis-à-vis the producers of certain single-use plastic products.</w:t>
      </w:r>
    </w:p>
    <w:p w14:paraId="0830C393" w14:textId="6FC79EB3" w:rsidR="00C23F1F" w:rsidRPr="003C2BC2" w:rsidRDefault="000F789F" w:rsidP="008E7E90">
      <w:r w:rsidRPr="003C2BC2">
        <w:t>For the above-mentioned new revenue item, a corresponding and also earmarked expenditure item is to be included in the federal budget. Revenue to the single-use plastics fund is ensured by the single-use plastics levy under Section 12. The single-use plastics levy is to be classified for public finance purposes as a special levy with financing function (see the explanatory notes on Section 12).</w:t>
      </w:r>
    </w:p>
    <w:p w14:paraId="51CB9879" w14:textId="22F7F66E" w:rsidR="008E7E90" w:rsidRPr="003C2BC2" w:rsidRDefault="008E7E90" w:rsidP="008E7E90">
      <w:r w:rsidRPr="003C2BC2">
        <w:t xml:space="preserve">The inclusion of the single-use plastics fund as its own earmarked item in the budget serves to provide the budgetary transparency that is required for the imposition of special levies with financing function. The earmarked expenditure from the single-use plastics fund includes the costs referred to in Section 3 subparagraphs 12 to 16. In addition to the costs of public sector bodies that are eligible for reimbursement under Article 8(2) and (3) of Directive (EU) 2019/904, administration costs for the single-use plastics fund are therefore also included. The administration of the single-use plastics fund is the responsibility of the </w:t>
      </w:r>
      <w:r w:rsidRPr="003C2BC2">
        <w:lastRenderedPageBreak/>
        <w:t>Federal Environment Agency. Under Section 25, the Federal Environment Agency is subject to legal and technical supervision by the Federal Ministry for the Environment, Nature Conservation, Nuclear Safety and Consumer Protection.</w:t>
      </w:r>
    </w:p>
    <w:p w14:paraId="0AA52B08" w14:textId="599E5E88" w:rsidR="00EC0A81" w:rsidRPr="003C2BC2" w:rsidRDefault="008E7E90" w:rsidP="008E7E90">
      <w:r w:rsidRPr="003C2BC2">
        <w:rPr>
          <w:b/>
        </w:rPr>
        <w:t>Paragraph (2)</w:t>
      </w:r>
      <w:r w:rsidRPr="003C2BC2">
        <w:t xml:space="preserve"> submits the administration of the single-use plastics fund to the principles of cost-effectiveness and economy. The provision refers back to the first sentence of Section 7(1) of the Federal Budget Code and is declaratory in that regard. However, the explicit provision takes into account the objective set out in the fourth sentence of Article 8(4) of Directive (EU) 2019/904 of minimising administration costs. The annual statement to be drawn up by the Federal Environment Agency pursuant to Section 6(1) is the means of control.</w:t>
      </w:r>
    </w:p>
    <w:p w14:paraId="7D7099E9" w14:textId="77777777" w:rsidR="008E7E90" w:rsidRPr="003C2BC2" w:rsidRDefault="008E7E90" w:rsidP="008E7E90">
      <w:pPr>
        <w:rPr>
          <w:b/>
        </w:rPr>
      </w:pPr>
      <w:r w:rsidRPr="003C2BC2">
        <w:rPr>
          <w:b/>
        </w:rPr>
        <w:t>Section 5 (Financing)</w:t>
      </w:r>
    </w:p>
    <w:p w14:paraId="63CD6ED6" w14:textId="21758D32" w:rsidR="003F7005" w:rsidRPr="003C2BC2" w:rsidRDefault="00284EBB" w:rsidP="008E7E90">
      <w:pPr>
        <w:rPr>
          <w:b/>
        </w:rPr>
      </w:pPr>
      <w:r w:rsidRPr="003C2BC2">
        <w:rPr>
          <w:b/>
        </w:rPr>
        <w:t>Paragraph (1)</w:t>
      </w:r>
      <w:r w:rsidRPr="003C2BC2">
        <w:t>, first sentence, lays down the recovery of administration costs through the single-use plastics fund. The administration costs are defined in Section 3 subparagraph 16 and are to be covered by the fund, unless other funding is provided, e.g. through fees etc. The vast majority of costs will be incurred only when the rules on the single-use plastics fund enter into force and are to be covered annually from revenue to the fund. In accordance with Section 20(2) subparagraph 1 point a, the Federal Environment Agency will calculate the administration costs for the previous calendar year in each case; for example, the administration costs for 2024 will be recovered from revenue in 2025.</w:t>
      </w:r>
    </w:p>
    <w:p w14:paraId="5B21F6DC" w14:textId="324A946D" w:rsidR="008E7E90" w:rsidRPr="003C2BC2" w:rsidRDefault="008E7E90" w:rsidP="008E7E90">
      <w:r w:rsidRPr="003C2BC2">
        <w:t>The second sentence lays down a special provision for administration costs incurred by the Federal Environment Agency during the set-up phase in 2023. This includes, in particular, the costs of setting up and establishing electronic data processing systems to handle revenue to and expenditure from the single-use plastics fund, including staffing needs. These electronic data processing systems must already be in place when the rules enter into force. However, since the first revenue to the single-use plastics fund will only be received in 2025, these administration costs cannot be financed directly from the single-use plastics fund, but initially must be pre-financed by the Federal Environment Agency. These costs will therefore be recovered as specified in the second sentence on a pro rata basis in the first five financial years, starting with the financial year 2025, in which the first revenue and expenditure transaction will be made with respect to the single-use plastics fund. Otherwise, the total disbursement amount would be reduced too much in the first operating year. This means that, for example, in 2025, the Federal Environment Agency will claim the administration costs for the year 2024 (cf. paragraph (1)) and 20 per cent of the set-up costs from 2023.</w:t>
      </w:r>
    </w:p>
    <w:p w14:paraId="41083E13" w14:textId="1FC44E3C" w:rsidR="00E54248" w:rsidRPr="003C2BC2" w:rsidRDefault="00E54248" w:rsidP="00E54248">
      <w:r w:rsidRPr="003C2BC2">
        <w:rPr>
          <w:b/>
        </w:rPr>
        <w:t>Paragraph (2)</w:t>
      </w:r>
      <w:r w:rsidRPr="003C2BC2">
        <w:t xml:space="preserve"> clarifies that the revenue for a year may also be used for certain other purposes. The provision is in accordance with the Federal Budget Code. According to the first sentence of Section 19(1) of the Federal Budget Code, expenditure from earmarked revenues can be carried forward. For this purpose, the Federal Environment Agency will report unexpended balances in the federal budget (Section 19(2), first sentence, of the Federal Budget Code).</w:t>
      </w:r>
    </w:p>
    <w:p w14:paraId="744224CF" w14:textId="5D6699C5" w:rsidR="003F7005" w:rsidRPr="003C2BC2" w:rsidRDefault="00E54248" w:rsidP="008E7E90">
      <w:r w:rsidRPr="003C2BC2">
        <w:t>In accordance with subparagraph 1, revenue can be carried forward to other financial years in order to cover the operating costs incurred in the administration of the single-use plastics fund. In accordance with subparagraph 2, this can also be used to safeguard legal claims. In principle, subparagraphs 1 and 2 are therefore intended to ensure the costs arising from the single-use plastics fund are recovered.</w:t>
      </w:r>
    </w:p>
    <w:p w14:paraId="288B0519" w14:textId="78A7872A" w:rsidR="008E7E90" w:rsidRPr="003C2BC2" w:rsidRDefault="00E54248" w:rsidP="008E7E90">
      <w:r w:rsidRPr="003C2BC2">
        <w:t xml:space="preserve">In accordance with subparagraph 3, amounts carried forward to subsequent years are also intended to compensate for disproportionate fluctuations in the points value under Section 20. The reader is referred to the explanatory notes on Section 20 for information on the calculation of the points value and its role in the annual determination of the total disbursement amount. The provision in subparagraph 3 may be necessary in cases where a particularly high level of resources is available one year, for example because high revenues </w:t>
      </w:r>
      <w:r w:rsidRPr="003C2BC2">
        <w:lastRenderedPageBreak/>
        <w:t>have been generated, but it is already foreseeable that in the following years there will be significantly less revenue from the single-use plastics levy. The provision therefore serves to ensure planning certainty for beneficiaries, in particular with regard to investments to improve their performance. As regards unexpended balances for the purpose of subparagraph 3, the second sentence specifies that no more than 10 per cent of the revenue may be carried over for further financial years. This ensures that the substantial part of the revenue is paid out to the beneficiaries in the same financial year in line with the use of resources provided for by law.</w:t>
      </w:r>
    </w:p>
    <w:p w14:paraId="784F5922" w14:textId="3D9F1B74" w:rsidR="008E7E90" w:rsidRPr="003C2BC2" w:rsidRDefault="008E7E90" w:rsidP="008E7E90">
      <w:pPr>
        <w:rPr>
          <w:b/>
        </w:rPr>
      </w:pPr>
      <w:r w:rsidRPr="003C2BC2">
        <w:rPr>
          <w:b/>
        </w:rPr>
        <w:t>Section 6 (Annual statement)</w:t>
      </w:r>
    </w:p>
    <w:p w14:paraId="171B7161" w14:textId="58172938" w:rsidR="008E7E90" w:rsidRPr="003C2BC2" w:rsidRDefault="008E7E90" w:rsidP="008E7E90">
      <w:r w:rsidRPr="003C2BC2">
        <w:t>The provision obligates the Federal Environment Agency to set out and publish total revenue to and expenditure from the single-use plastics fund in an annual statement. In doing so, the without prejudice clause clarifies that the budgetary accounts under the Federal Budget Code are not affected and that the annual statement under this provision must be drawn up by way of an addition. This is necessary in particular for transposing the transparency requirement laid down in the first sentence of Article 8(4) of Directive (EU) 2019/904, as the structure of the budgetary accounts cannot readily be understood by third parties.</w:t>
      </w:r>
    </w:p>
    <w:p w14:paraId="12D94BD1" w14:textId="5130815A" w:rsidR="008E7E90" w:rsidRPr="003C2BC2" w:rsidRDefault="008E7E90" w:rsidP="008E7E90">
      <w:r w:rsidRPr="003C2BC2">
        <w:t>Revenue to the single-use plastics fund arises from the single-use plastics levy to be paid by the producers pursuant to Section 12. According to the requirements of the Federal Constitutional Court, the single-use plastics levy is permissible under public finance law in the form of a special levy with financing function (see the explanatory notes on Section 12). Expenditure includes, in particular, the administration costs and disbursements to beneficiaries pursuant to Section 21.</w:t>
      </w:r>
    </w:p>
    <w:p w14:paraId="30181D7F" w14:textId="7E87E72A" w:rsidR="008E7E90" w:rsidRPr="003C2BC2" w:rsidRDefault="008E7E90" w:rsidP="00E54248">
      <w:r w:rsidRPr="003C2BC2">
        <w:rPr>
          <w:b/>
        </w:rPr>
        <w:t>Paragraph (2)</w:t>
      </w:r>
      <w:r w:rsidRPr="003C2BC2">
        <w:t xml:space="preserve"> obligates the Federal Environment Agency to publish the annual statement on its website. ‘In an appropriate manner’ means that the annual statement must be accessible to everyone and presented in such a way that total revenue and expenditure are transparent and comprehensible.</w:t>
      </w:r>
    </w:p>
    <w:p w14:paraId="283069DB" w14:textId="77777777" w:rsidR="008E7E90" w:rsidRPr="003C2BC2" w:rsidRDefault="000D6135" w:rsidP="008E7E90">
      <w:pPr>
        <w:rPr>
          <w:b/>
        </w:rPr>
      </w:pPr>
      <w:r w:rsidRPr="003C2BC2">
        <w:rPr>
          <w:b/>
        </w:rPr>
        <w:t>Part 3 (Obligations of producers)</w:t>
      </w:r>
    </w:p>
    <w:p w14:paraId="6459AC6E" w14:textId="1E543AAE" w:rsidR="000D6135" w:rsidRPr="003C2BC2" w:rsidRDefault="000D6135" w:rsidP="008E7E90">
      <w:r w:rsidRPr="003C2BC2">
        <w:t>This Part lays down the obligations imposed on producers to register and provide annual notification of the mass of single-use plastic products made available on the market for the first time or sold. Details regarding the single-use plastics levy are found in Part 4.</w:t>
      </w:r>
    </w:p>
    <w:p w14:paraId="5F38E8CD" w14:textId="77777777" w:rsidR="008E7E90" w:rsidRPr="003C2BC2" w:rsidRDefault="008E7E90" w:rsidP="008E7E90">
      <w:pPr>
        <w:rPr>
          <w:b/>
        </w:rPr>
      </w:pPr>
      <w:r w:rsidRPr="003C2BC2">
        <w:rPr>
          <w:b/>
        </w:rPr>
        <w:t>Section 7 (Registration of producers)</w:t>
      </w:r>
    </w:p>
    <w:p w14:paraId="2547EF72" w14:textId="1E0629D8" w:rsidR="008E7E90" w:rsidRPr="003C2BC2" w:rsidRDefault="008E7E90" w:rsidP="008E7E90">
      <w:r w:rsidRPr="003C2BC2">
        <w:t>The provision lays down the obligation on producers to register with the Federal Environment Agency. It is thus made clear that the producer itself is responsible for ascertaining that they have the status of producer. The aim of the provision is to transpose Article 8(1) and (5) of Directive (EU) 2019/904 in conjunction with Article 8a(1)(a) of Directive 2008/98/EC. The provision is modelled on Section 9 of the Packaging Act. Producers must have registered by the time they commence activities as a producer. The date of registration is therefore based on the definition of producer in accordance with Section 3(3) (see the explanatory notes on Section 3 subparagraph 3).</w:t>
      </w:r>
    </w:p>
    <w:p w14:paraId="53B99C43" w14:textId="77777777" w:rsidR="008E7E90" w:rsidRPr="003C2BC2" w:rsidRDefault="008E7E90" w:rsidP="008E7E90">
      <w:r w:rsidRPr="003C2BC2">
        <w:rPr>
          <w:b/>
        </w:rPr>
        <w:t>Paragraph (1)</w:t>
      </w:r>
      <w:r w:rsidRPr="003C2BC2">
        <w:t>, first sentence, imposes the general obligation on producers to register with the Federal Environment Agency. In principle, registration is for an indefinite period. However, if the information referred to in paragraph (2) changes or a producer ceases its activities permanently, this must be communicated without delay to the Federal Environment Agency in accordance with the second sentence.</w:t>
      </w:r>
    </w:p>
    <w:p w14:paraId="12ACAADB" w14:textId="2DE85C0F" w:rsidR="00976A84" w:rsidRPr="003C2BC2" w:rsidRDefault="008E7E90" w:rsidP="008E7E90">
      <w:r w:rsidRPr="003C2BC2">
        <w:rPr>
          <w:b/>
        </w:rPr>
        <w:t>Paragraph (2)</w:t>
      </w:r>
      <w:r w:rsidRPr="003C2BC2">
        <w:t>, first sentence</w:t>
      </w:r>
      <w:r w:rsidRPr="003C2BC2">
        <w:rPr>
          <w:b/>
        </w:rPr>
        <w:t xml:space="preserve"> </w:t>
      </w:r>
      <w:r w:rsidRPr="003C2BC2">
        <w:t xml:space="preserve"> lays down the information that is required for registration. This firstly includes the master data of the producers in accordance with subparagraphs 1 and 3. The master data is necessary so that the special levy payable by the producers in </w:t>
      </w:r>
      <w:r w:rsidRPr="003C2BC2">
        <w:lastRenderedPageBreak/>
        <w:t>accordance with Section 12 can be determined from this data together with the annual notification of the quantities made available on the market for the first time or sold. Subparagraph 2 lays down the information that must be provided at the time of registration if an authorised representative pursuant to Section 10(1) has been appointed. This information is required, as the producer remains obligated to register even if an authorised representative is appointed. If a producer cancels the appointment of an authorised representative or if there are other changes in the information to be provided in accordance with Section 10(2), first sentence, subparagraph 2, the producer must inform the Federal Environment Agency without delay pursuant to Section 10(3).</w:t>
      </w:r>
    </w:p>
    <w:p w14:paraId="05235859" w14:textId="66F14D36" w:rsidR="0091557D" w:rsidRPr="003C2BC2" w:rsidRDefault="008E7E90" w:rsidP="008E7E90">
      <w:r w:rsidRPr="003C2BC2">
        <w:t>The information referred to in subparagraph 4 is also collected under Section 9(2), subparagraph 4 of the Packaging Act. This is, for example, the producer’s commercial register number or association register number. Subparagraphs 5 and 6 stipulate that the producer must indicate the type of single-use plastic product and the brand names under which these are made available on the market for the first time or sold. The two activities are based on the definition of producer laid down in Section 3 subparagraph 3 points a and b. The provision is closely related to the publication obligation under paragraph (4) and serves to ensure transparency (see below). The declaration referred to in subparagraph 7 is the usual declaration that the information is correct.</w:t>
      </w:r>
    </w:p>
    <w:p w14:paraId="3800F811" w14:textId="7BA00739" w:rsidR="008E7E90" w:rsidRPr="003C2BC2" w:rsidRDefault="008E7E90" w:rsidP="008E7E90">
      <w:r w:rsidRPr="003C2BC2">
        <w:t>The second sentence allows for simplified registration for producers already registered under the Packaging Act. Since the producers and therefore the data in the packaging register in accordance with Section 9(2) of the Packaging Act are partly identical, these producers may, in accordance with the second sentence, give their consent for the master data and, where appropriate, the authorised representative data to be automatically exchanged between the Central Agency and Federal Environment Agency. Such consent also relates to possible changes to the data in the packaging register. This significantly simplifies the registration process for these producers and ensures that the data is up to date.</w:t>
      </w:r>
    </w:p>
    <w:p w14:paraId="183984B0" w14:textId="10EDF8D0" w:rsidR="008E7E90" w:rsidRPr="003C2BC2" w:rsidRDefault="008E7E90" w:rsidP="008E7E90">
      <w:r w:rsidRPr="003C2BC2">
        <w:rPr>
          <w:b/>
        </w:rPr>
        <w:t>Paragraph (3)</w:t>
      </w:r>
      <w:r w:rsidRPr="003C2BC2">
        <w:t xml:space="preserve"> lays down more specific details on the registration procedure. Registration is to be done electronically through the website of the Federal Environment Agency. The Federal Environment Agency may provide further instructions on the electronic registration procedure and, for other communication with producers, stipulate electronic transmission, certain encryption and the provision of access for the transmission of electronic documents.</w:t>
      </w:r>
    </w:p>
    <w:p w14:paraId="55C90F09" w14:textId="16D6DC01" w:rsidR="000061F8" w:rsidRPr="003C2BC2" w:rsidRDefault="008E7E90" w:rsidP="008E7E90">
      <w:r w:rsidRPr="003C2BC2">
        <w:rPr>
          <w:b/>
        </w:rPr>
        <w:t>Paragraph (4)</w:t>
      </w:r>
      <w:r w:rsidRPr="003C2BC2">
        <w:t xml:space="preserve"> lays down the administrative procedure of the Federal Environment Agency. Under subparagraphs 1 and 2, the Federal Environment Agency will confirm the registration and notify the producer of its registration number. Confirmation of registration is an administrative act pursuant to Section 35 of the (Federal) Administrative Procedure Act. Subparagraphs 4 and 5 stipulate, in addition, that the Federal Environment Agency will also examine amendments that are communicated and will confirm that amended data has been recorded.</w:t>
      </w:r>
    </w:p>
    <w:p w14:paraId="5C7A7A88" w14:textId="4CDF34BC" w:rsidR="000302F7" w:rsidRPr="003C2BC2" w:rsidRDefault="00A66CA5" w:rsidP="008E7E90">
      <w:r w:rsidRPr="003C2BC2">
        <w:rPr>
          <w:b/>
        </w:rPr>
        <w:t>Paragraph (5)</w:t>
      </w:r>
      <w:r w:rsidRPr="003C2BC2">
        <w:t>, first sentence obligates the Federal Environment Agency to publish the registered producers together with the information referred to in paragraph (2) subparagraphs 1 and 2 point a, and subparagraphs 5 and 6, i.e. their non-personal company data, the details of the authorised representative, the type of single-use plastic products made available on the market for the first time or sold and all brand names, and the registration number issued, including the registration date. The purpose of the publication on the Internet is to enable everyone, but in particular the other operators along the trade chain, to search the online register for certain producers, types of single-use plastic products and brands, and thus verify whether the producers have complied with their registration obligation. In this way, market surveillance can be supported and compliance with obligations (where non-compliance attracts a fine) under Section 9 can be ensured.</w:t>
      </w:r>
    </w:p>
    <w:p w14:paraId="6192E614" w14:textId="7DC29445" w:rsidR="00A66CA5" w:rsidRPr="003C2BC2" w:rsidRDefault="008E7E90" w:rsidP="00A66CA5">
      <w:r w:rsidRPr="003C2BC2">
        <w:t xml:space="preserve">Producers that have ceased their activity on a permanent basis will remain in the registration database for three years after the date on which their registration ends, with the date of </w:t>
      </w:r>
      <w:r w:rsidRPr="003C2BC2">
        <w:lastRenderedPageBreak/>
        <w:t>deregistration being indicated. The period of three years is required for reasons of legal certainty. In light of the prohibitions set out in Section 9(2) to (4), third parties downstream in the supply chain must check whether the single-use plastic products they offer have been made available on the market or sold by duly registered producers. The data is then automatically deleted from the Internet in accordance with the second sentence. The other information provided by producers in the course of registration, which is not published on the Internet, must be treated as confidential by the Federal Environment Agency.</w:t>
      </w:r>
    </w:p>
    <w:p w14:paraId="6C93B3DF" w14:textId="5A0A8B67" w:rsidR="008E7E90" w:rsidRPr="003C2BC2" w:rsidRDefault="008E7E90" w:rsidP="008E7E90">
      <w:pPr>
        <w:rPr>
          <w:b/>
        </w:rPr>
      </w:pPr>
      <w:r w:rsidRPr="003C2BC2">
        <w:rPr>
          <w:b/>
        </w:rPr>
        <w:t>Section 8 (Register of producers)</w:t>
      </w:r>
    </w:p>
    <w:p w14:paraId="79686B8B" w14:textId="77777777" w:rsidR="008E7E90" w:rsidRPr="003C2BC2" w:rsidRDefault="008E7E90" w:rsidP="008E7E90">
      <w:r w:rsidRPr="003C2BC2">
        <w:t>The provision obligates the Federal Environment Agency to establish the electronic register for producers. The provision is thus intended to implement the reimbursement of costs referred to in Article 8(2) and (3) of Directive (EU) 2019/904 and to create an appropriate monitoring and enforcement framework in accordance with the first and second sentences of Article 8(5) of Directive 2008/98/EC.</w:t>
      </w:r>
    </w:p>
    <w:p w14:paraId="35F2A550" w14:textId="254D4EDB" w:rsidR="008E7E90" w:rsidRPr="003C2BC2" w:rsidRDefault="008E7E90" w:rsidP="008E7E90">
      <w:r w:rsidRPr="003C2BC2">
        <w:rPr>
          <w:b/>
        </w:rPr>
        <w:t>Paragraph (1)</w:t>
      </w:r>
      <w:r w:rsidRPr="003C2BC2">
        <w:t xml:space="preserve"> addresses the Federal Environment Agency, obligating it to set up an electronic register. In this respect, the Federal Environment Agency is authorised to provide further instructions on the electronic registration procedure and, for other communication with producers, to stipulate electronic transmission, certain encryption and the provision of access for the transmission of electronic documents. In addition, the necessary powers under data protection law are laid down. The deletion period of three years is necessary for reasons of legal certainty. The duration of storage is necessary, as such products are still on the market even after a producer leaves the market (see comments above on Section 7). In light of the prohibitions set out in Section 9(2) to (4), the Federal Environment Agency must still be able to check whether the single-use plastic products offered were made available on the market or sold by duly registered producers.</w:t>
      </w:r>
    </w:p>
    <w:p w14:paraId="2B0C2563" w14:textId="363C7837" w:rsidR="00C6707F" w:rsidRPr="003C2BC2" w:rsidRDefault="008E7E90" w:rsidP="008E7E90">
      <w:r w:rsidRPr="003C2BC2">
        <w:rPr>
          <w:b/>
        </w:rPr>
        <w:t>Paragraph (2)</w:t>
      </w:r>
      <w:r w:rsidRPr="003C2BC2">
        <w:t xml:space="preserve"> corresponds with the provision in Section 7(2), second sentence. If the information referred to in Section 7(2) subparagraphs 1 to 4 is already available to the Central Agency through registration under Section 9 of the Packaging Act, the Federal Environment Agency is obligated and entitled to use the data. For this purpose, the Central Agency will provide this data as well as the technically necessary information on the type of data transmission to the Federal Environment Agency. The provision assumes exchange of data in the long term, meaning that changes and updates are also exchanged between the Federal Environment Agency and the Central Agency. The necessary IT requirements for the exchange of data between the Federal Environment Agency and the Central Agency are not specified in detail. This leaves sufficient flexibility in the implementation of these obligations.</w:t>
      </w:r>
    </w:p>
    <w:p w14:paraId="38BCC49B" w14:textId="31022AED" w:rsidR="008E7E90" w:rsidRPr="003C2BC2" w:rsidRDefault="001C2933" w:rsidP="008E7E90">
      <w:r w:rsidRPr="003C2BC2">
        <w:t>Finally, the data protection powers as well as the deletion period are laid down. The principle of necessity under data protection law for the collection of data is taken into account in the comments on necessity of data for Section 7(2). Also for reasons of data protection law, the Central Agency is required to document data retrievals. For this purpose, it should document the data used for carrying out the retrieval, the date and time of the retrievals, the identifier of the retrieving office and the data retrieved. The documented data of the retrieval may only be used for the purposes of data protection control, data security or to ensure proper operation of the data processing system and is to be protected against use for other purposes and misuse.</w:t>
      </w:r>
    </w:p>
    <w:p w14:paraId="3539D763" w14:textId="44C7DCAA" w:rsidR="000817FD" w:rsidRPr="003C2BC2" w:rsidRDefault="000817FD" w:rsidP="008E7E90">
      <w:r w:rsidRPr="003C2BC2">
        <w:rPr>
          <w:b/>
        </w:rPr>
        <w:t>Paragraph (3)</w:t>
      </w:r>
      <w:r w:rsidRPr="003C2BC2">
        <w:t xml:space="preserve"> lays down provisions on the transmission of registration data from the Federal Environment Agency to the Central Agency. In this respect, the Federal Environment Agency is required to provide the Central Agency with the data of all producers registered in the previous calendar year together with the information referred to in Section 7(2) subparagraphs 1 to 6, by the end of 31 January. The second sentence allows the Federal Environment Agency and the Central Agency to define the format for electronic data exchange by mutual agreement. The purpose of the data transfer is to verify that the register of producers kept by the Central Agency is complete by comparing it with the register of producers </w:t>
      </w:r>
      <w:r w:rsidRPr="003C2BC2">
        <w:lastRenderedPageBreak/>
        <w:t>kept by the Federal Environment Agency. By means of this comparison, the Central Agency may be able to identify producers who are required to register under the Packaging Act, but have not done so. Thus, the Central Agency has another important tool to combat the problem of under-licensing that exists.</w:t>
      </w:r>
    </w:p>
    <w:p w14:paraId="0EC1BCFF" w14:textId="158112B9" w:rsidR="00A66CA5" w:rsidRPr="003C2BC2" w:rsidRDefault="00511E78" w:rsidP="008E7E90">
      <w:r w:rsidRPr="003C2BC2">
        <w:rPr>
          <w:b/>
        </w:rPr>
        <w:t xml:space="preserve">Paragraph (4) </w:t>
      </w:r>
      <w:r w:rsidRPr="003C2BC2">
        <w:t>lays down the provision on the exchange of data between the Federal Environment Agency and the Federal Statistical Office, which is necessary for the purpose of implementing surveys under Section 5a of the Environmental Statistics Act. In this respect, the Federal Environment Agency is required to provide the Federal Statistical Office with the data of all producers registered in the previous calendar year together with the information referred to in Section 7(2) subparagraphs 5 to 6, by the end of 31 January. The second sentence takes up the possibility laid down in Section 11(1), second sentence of the Federal Statistics Act and allows the Federal Environment Agency and the Federal Statistical Office to define the format for electronic transmission by mutual agreement.</w:t>
      </w:r>
    </w:p>
    <w:p w14:paraId="49F3B418" w14:textId="52D92234" w:rsidR="00A66CA5" w:rsidRPr="003C2BC2" w:rsidRDefault="008E7E90" w:rsidP="008E7E90">
      <w:pPr>
        <w:rPr>
          <w:b/>
        </w:rPr>
      </w:pPr>
      <w:r w:rsidRPr="003C2BC2">
        <w:rPr>
          <w:b/>
        </w:rPr>
        <w:t>Section 9 (Single-use plastic products from non-registered or improperly registered producers)</w:t>
      </w:r>
    </w:p>
    <w:p w14:paraId="34F5CBFA" w14:textId="13B8030D" w:rsidR="00A66CA5" w:rsidRPr="003C2BC2" w:rsidRDefault="00A66CA5" w:rsidP="00A66CA5">
      <w:r w:rsidRPr="003C2BC2">
        <w:t>The provision prohibits single-use plastic products from unregistered producers. While paragraph (1) is addressed to the producers themselves, the subsequent paragraphs also impose obligations on third parties downstream in the trade chain.</w:t>
      </w:r>
    </w:p>
    <w:p w14:paraId="224B2881" w14:textId="29F6DE60" w:rsidR="00A66CA5" w:rsidRPr="003C2BC2" w:rsidRDefault="00A66CA5" w:rsidP="00A66CA5">
      <w:r w:rsidRPr="003C2BC2">
        <w:rPr>
          <w:b/>
        </w:rPr>
        <w:t>Paragraph (1)</w:t>
      </w:r>
      <w:r w:rsidRPr="003C2BC2">
        <w:t>lays down a statutory prohibition on carrying out producer activities if the producer has not registered with the Federal Environment Agency or has done so improperly. The prohibition also applies to making available on the market for the first time or selling the single-use plastic products listed in Annex 1 if they are not filled with goods (see the Commission guidelines on single-use plastic products in accordance with Directive (EU) 2019/904 of the European Parliament and of the Council on the reduction of the environmental impact of certain plastic products, e.g. 4.1).</w:t>
      </w:r>
    </w:p>
    <w:p w14:paraId="0641E476" w14:textId="517C4885" w:rsidR="00A66CA5" w:rsidRPr="003C2BC2" w:rsidRDefault="00A66CA5" w:rsidP="00A66CA5">
      <w:pPr>
        <w:rPr>
          <w:b/>
        </w:rPr>
      </w:pPr>
      <w:r w:rsidRPr="003C2BC2">
        <w:rPr>
          <w:b/>
        </w:rPr>
        <w:t xml:space="preserve">Paragraph (2) </w:t>
      </w:r>
      <w:r w:rsidRPr="003C2BC2">
        <w:t>prohibits offering for sale the single-use plastic products listed in Annex 1 if the producers of the respective products are not properly registered. The characteristic ‘professionally’ (see comments on Section 3 subparagraph 3 above) means that offering for sale by a consumer is not included.</w:t>
      </w:r>
    </w:p>
    <w:p w14:paraId="1C7F27E3" w14:textId="27F6F674" w:rsidR="00A66CA5" w:rsidRPr="003C2BC2" w:rsidRDefault="00A66CA5" w:rsidP="00A66CA5">
      <w:r w:rsidRPr="003C2BC2">
        <w:rPr>
          <w:b/>
        </w:rPr>
        <w:t>Paragraphs (3) and (4)</w:t>
      </w:r>
      <w:r w:rsidRPr="003C2BC2">
        <w:t xml:space="preserve"> explicitly incorporate operators of electronic marketplaces and fulfilment service providers into the group of obligated entities. These actors are able to find out about the registration of the respective producers via the readily accessible online database. The provision corresponds to the regulatory offences set out in Section 26(1), subparagraphs 3 to 5. Accordingly, producers carrying out producer activities without being registered and third parties offering single-use plastic products from non-registered producers for sale may be subject to a fine.</w:t>
      </w:r>
    </w:p>
    <w:p w14:paraId="75E1D90E" w14:textId="65386DE0" w:rsidR="008E7E90" w:rsidRPr="003C2BC2" w:rsidRDefault="00A66CA5" w:rsidP="008E7E90">
      <w:pPr>
        <w:rPr>
          <w:b/>
        </w:rPr>
      </w:pPr>
      <w:r w:rsidRPr="003C2BC2">
        <w:rPr>
          <w:b/>
        </w:rPr>
        <w:t>Section 10 (Appointment of authorised representatives or third parties)</w:t>
      </w:r>
    </w:p>
    <w:p w14:paraId="7450D230" w14:textId="77777777" w:rsidR="008E7E90" w:rsidRPr="003C2BC2" w:rsidRDefault="008E7E90" w:rsidP="008E7E90">
      <w:r w:rsidRPr="003C2BC2">
        <w:t>The provision lays down the obligation to appoint an authorised representative. The purpose of the provision is, in particular, to transpose Article 8(6) and (7) of Directive (EU) 2019/904.</w:t>
      </w:r>
    </w:p>
    <w:p w14:paraId="5B9C6F0D" w14:textId="7CC1DF38" w:rsidR="008E7E90" w:rsidRPr="003C2BC2" w:rsidRDefault="008E7E90" w:rsidP="008E7E90">
      <w:r w:rsidRPr="003C2BC2">
        <w:rPr>
          <w:b/>
        </w:rPr>
        <w:t>Paragraph (1)</w:t>
      </w:r>
      <w:r w:rsidRPr="003C2BC2">
        <w:t xml:space="preserve">, first sentence transposes Article 8(6) of Directive (EU) 2019/904 and obligates producers who do not have an establishment in the territory where this Act applied to appoint an authorised representative. In principle, the authorised representative assumes the producer obligations, in particular the obligation to pay the single-use plastics levy. However, this does not include registration according to Section 7 and annual notification according to Section 11(1). The intention here is to make producers aware of the importance of the obligation and to prevent incorrect information being provided. The authorised representative itself must have an establishment in the territory where the Act applies and perform the tasks in its own name. The provision is intended to ensure the effective implementation of the producer obligations under this Act. The fourth and fifth sentences lay down </w:t>
      </w:r>
      <w:r w:rsidRPr="003C2BC2">
        <w:lastRenderedPageBreak/>
        <w:t>the way in which such appointment must be carried out. The appointment must be made in writing. The signature of both parties is required for legal certainty. The appointment regulates the internal relationship between producers and authorised representatives.</w:t>
      </w:r>
    </w:p>
    <w:p w14:paraId="1B5D2A0E" w14:textId="77777777" w:rsidR="008E7E90" w:rsidRPr="003C2BC2" w:rsidRDefault="008E7E90" w:rsidP="008E7E90">
      <w:r w:rsidRPr="003C2BC2">
        <w:rPr>
          <w:b/>
        </w:rPr>
        <w:t>Paragraph (2)</w:t>
      </w:r>
      <w:r w:rsidRPr="003C2BC2">
        <w:t xml:space="preserve"> lays down the way in which the appointment of the authorised representative is to be notified. The Federal Environment Agency is to be notified. The appointment only becomes effective with confirmation from the Federal Environment Agency. To ensure the information available to the Federal Environment Agency is up to date, changes to the appointment must be notified without delay.</w:t>
      </w:r>
    </w:p>
    <w:p w14:paraId="602316E1" w14:textId="349D6CDF" w:rsidR="008E7E90" w:rsidRPr="003C2BC2" w:rsidRDefault="008E7E90" w:rsidP="008E7E90">
      <w:r w:rsidRPr="003C2BC2">
        <w:rPr>
          <w:b/>
        </w:rPr>
        <w:t xml:space="preserve">Paragraph (3) </w:t>
      </w:r>
      <w:r w:rsidRPr="003C2BC2">
        <w:t>lays down how an appointment is to be ended. It must be notified to the Federal Environment Agency and will only be effective by confirmation. However, even after the appointment has ended, the authorised representative will remain responsible for fulfilling the obligations which have arisen during the period of its appointment. Since the end of the appointment may result in obligations for producers, fillers, sellers or importers supplied by the producer, they must be informed without delay by the producer.</w:t>
      </w:r>
    </w:p>
    <w:p w14:paraId="3D318DA1" w14:textId="77777777" w:rsidR="00DC2649" w:rsidRPr="003C2BC2" w:rsidRDefault="008E7E90" w:rsidP="008D5BDD">
      <w:r w:rsidRPr="003C2BC2">
        <w:rPr>
          <w:b/>
        </w:rPr>
        <w:t xml:space="preserve">Paragraph (4) </w:t>
      </w:r>
      <w:r w:rsidRPr="003C2BC2">
        <w:t xml:space="preserve"> transposes Article 8(7) of Directive (EU) 2019/904 and obligates producers, who have an establishment in the territory where this Act applies and supply single-use plastic products to other EU Member States or Contracting States to the Agreement on the European Economic Area without being established there, to designate an authorised representative in those states. The way in which the authorised representative is to be designated is then governed by the law of the respective country.</w:t>
      </w:r>
    </w:p>
    <w:p w14:paraId="311335CD" w14:textId="0F6B65B9" w:rsidR="00FB0FAC" w:rsidRPr="003C2BC2" w:rsidRDefault="00FB0FAC" w:rsidP="008E7E90">
      <w:r w:rsidRPr="003C2BC2">
        <w:rPr>
          <w:b/>
        </w:rPr>
        <w:t>Paragraph (5)</w:t>
      </w:r>
      <w:r w:rsidRPr="003C2BC2">
        <w:t>, first sentence clarifies that producers can generally use third parties in order to fulfil their obligations. However, according to the second clause, the provisions of Section 22(2), first and third sentences of the Circular Economy Act must be observed. Accordingly, responsibility for fulfilling the obligations arising from the Act remains unaffected if a third party is appointed, i.e. the responsibility remains with the client. Under the third sentence of Section 22 of the Circular Economy Act, the appointed third parties must also have the necessary reliability. In accordance with the second sentence, the obligations to register according to Section 7 and provide annual notification according to Section 11(1) cannot be passed on to a third party. This is intended to highlight the importance of registration for obligated entities and to prevent incorrect information being provided by third parties during the annual notification.</w:t>
      </w:r>
    </w:p>
    <w:p w14:paraId="4903CAEB" w14:textId="354BF29C" w:rsidR="008E7E90" w:rsidRPr="003C2BC2" w:rsidRDefault="008E7E90" w:rsidP="008E7E90">
      <w:pPr>
        <w:rPr>
          <w:b/>
        </w:rPr>
      </w:pPr>
      <w:r w:rsidRPr="003C2BC2">
        <w:rPr>
          <w:b/>
        </w:rPr>
        <w:t>Section 11 (Annual notification by producers)</w:t>
      </w:r>
    </w:p>
    <w:p w14:paraId="318C8438" w14:textId="3B2018F5" w:rsidR="008E7E90" w:rsidRPr="003C2BC2" w:rsidRDefault="008E7E90" w:rsidP="008E7E90">
      <w:r w:rsidRPr="003C2BC2">
        <w:t>The provision</w:t>
      </w:r>
      <w:r w:rsidRPr="003C2BC2">
        <w:rPr>
          <w:b/>
        </w:rPr>
        <w:t xml:space="preserve"> </w:t>
      </w:r>
      <w:r w:rsidRPr="003C2BC2">
        <w:t>obligates producers to provide annual notification of single-use plastic products made available on the market for the first time or sold. This notification serves as the basis for calculating the special levy pursuant to Section 13(1). It is thus intended to transpose Article 8(2) and (3) of Directive (EU) 2019/904 and to create an appropriate monitoring and enforcement framework in accordance with the first and second sentences of Article 8(5) of Directive 2008/98/EC. The provision is modelled on Section 12 of the Packaging Act.</w:t>
      </w:r>
    </w:p>
    <w:p w14:paraId="086E846B" w14:textId="2AE0CC92" w:rsidR="009E77EB" w:rsidRPr="003C2BC2" w:rsidRDefault="008E7E90" w:rsidP="008E7E90">
      <w:pPr>
        <w:rPr>
          <w:sz w:val="24"/>
          <w:szCs w:val="24"/>
        </w:rPr>
      </w:pPr>
      <w:r w:rsidRPr="003C2BC2">
        <w:rPr>
          <w:b/>
        </w:rPr>
        <w:t>Paragraph (1)</w:t>
      </w:r>
      <w:r w:rsidRPr="003C2BC2">
        <w:t>, first sentence specifies the content of the data notification. The type and mass of single-use plastic products made available on the market for the first time or sold are to be provided. The weight of the plastic content of a product listed in Annex 1 is not relevant here, rather the total weight of the product. However, it is important that, for filters contained in tobacco products, only the filters count, as they constitute the single-use plastic product within the meaning of Directive (EU) 2019/904.</w:t>
      </w:r>
    </w:p>
    <w:p w14:paraId="7D59D6E5" w14:textId="2699766E" w:rsidR="009E77EB" w:rsidRPr="003C2BC2" w:rsidRDefault="008E7E90" w:rsidP="008E7E90">
      <w:r w:rsidRPr="003C2BC2">
        <w:t xml:space="preserve">Based on experience gained from implementation of the Packaging Act, the cut-off date for the obligation to notify is set as 15 May of each calendar year. The second and third sentences lay down specific requirements for the notification. The second sentence stipulates verification of the information by an independent third party. This may be an expert, auditor, tax consultant or sworn accountant registered under the Packaging Act. By incorporating </w:t>
      </w:r>
      <w:r w:rsidRPr="003C2BC2">
        <w:lastRenderedPageBreak/>
        <w:t>the external inspectors authorised under the Packaging Act, synergy effects can be exploited. Producers who are required to submit a data notification or a declaration of completeness under both this Act and the Packaging Act may have the verification of these notifications carried out in a uniform manner.</w:t>
      </w:r>
    </w:p>
    <w:p w14:paraId="76B932EE" w14:textId="70137EEC" w:rsidR="008E7E90" w:rsidRPr="003C2BC2" w:rsidRDefault="008D5BDD" w:rsidP="008E7E90">
      <w:r w:rsidRPr="003C2BC2">
        <w:t>The third sentence specifies that the notification and the verification report, including the verification result, must be submitted electronically to the Federal Environment Agency and accompanied by a qualified electronic signature in accordance with point 12 of Article 3 of Regulation (EU) No 910/2014 of the European Parliament and of the Council of 23 July 2014 on electronic identification and trust services for electronic transactions in the internal market and repealing Directive 1999/93/EC. The signature requirement stems from the high importance of the declaration with respect to the further course of the procedure for determining the levy.</w:t>
      </w:r>
    </w:p>
    <w:p w14:paraId="39E3C574" w14:textId="32A2E107" w:rsidR="008E7E90" w:rsidRPr="003C2BC2" w:rsidRDefault="008E7E90" w:rsidP="008E7E90">
      <w:r w:rsidRPr="003C2BC2">
        <w:rPr>
          <w:b/>
        </w:rPr>
        <w:t>Paragraph (2)</w:t>
      </w:r>
      <w:r w:rsidRPr="003C2BC2">
        <w:t>, first sentence obligates the Federal Environment Agency to provide uniform forms for data notification. In this respect, the provision leaves sufficient scope for the Federal Environment Agency to provide more detailed instructions on the electronic procedure, as well as to stipulate, for other communication, the use of certain electronic forms and input masks, certain encryption and the provision of access for the transmission of electronic documents. The second sentence obligates the Federal Environment Agency to publish aggregated data on the notifications received, on its website each year by the end of 31 December.</w:t>
      </w:r>
    </w:p>
    <w:p w14:paraId="721AC9AE" w14:textId="0EFB7EE7" w:rsidR="008E7E90" w:rsidRPr="003C2BC2" w:rsidRDefault="008E7E90" w:rsidP="008E7E90">
      <w:r w:rsidRPr="003C2BC2">
        <w:rPr>
          <w:b/>
        </w:rPr>
        <w:t>Paragraph (3)</w:t>
      </w:r>
      <w:r w:rsidRPr="003C2BC2">
        <w:t xml:space="preserve"> also enables the Federal Environment Agency </w:t>
      </w:r>
      <w:r w:rsidRPr="003C2BC2">
        <w:rPr>
          <w:b/>
        </w:rPr>
        <w:t xml:space="preserve"> </w:t>
      </w:r>
      <w:r w:rsidRPr="003C2BC2">
        <w:t>to obtain from the producer further documents necessary for verification in individual cases if there are indications that the data notification is incorrect or incomplete. This power to request further documentation allows the Federal Environment Agency to investigate any irregularities and where they occur to resolve them. The second sentence governs the situation where the producer submits further documentation, but this is insufficient to completely refute the alleged inaccuracy or incompleteness. It is therefore at the discretion of the Federal Environment Agency to decide whether the documents submitted are sufficient to refute the indications of inaccuracy or incompleteness. The documents are then deemed not to have been submitted, with the effect that the Federal Environment Agency can estimate the mass of single-use plastic products placed on the market in accordance with Section 13(2).</w:t>
      </w:r>
    </w:p>
    <w:p w14:paraId="7A4F2515" w14:textId="48597557" w:rsidR="00BE420B" w:rsidRPr="003C2BC2" w:rsidRDefault="008E7E90" w:rsidP="00BE420B">
      <w:r w:rsidRPr="003C2BC2">
        <w:rPr>
          <w:b/>
        </w:rPr>
        <w:t>Paragraph (4)</w:t>
      </w:r>
      <w:r w:rsidRPr="003C2BC2">
        <w:t xml:space="preserve"> lays down a threshold for small undertakings, below which the obligation to have the data notification verified by an expert, auditor or tax consultant in accordance with the second sentence of paragraph (1) automatically ceases to apply. The relevant threshold is linked in this respect to the total mass of single-use plastic products, listed in Annex 1, made available on the market for the first time or sold in the previous calendar year. This will significantly ease the burden for small businesses and also transposes Article 8(1)(d) of Directive 2008/98/EC. Although, under said Article, all producers must be treated equally, regardless of their country of origin and size, the ‘regulatory burden’ may, in particular, be taken into account when designing extended producer responsibility, especially for companies producing only a small quantity of products. However, in order to ensure efficient checking, the Federal Environment Agency may also in this case, in accordance with the second sentence, require verification by a neutral third party. This is likely to occur in particular if the notified data indicates irregularities or does not appear plausible.</w:t>
      </w:r>
    </w:p>
    <w:p w14:paraId="5C10CF96" w14:textId="41BA238F" w:rsidR="00FD2FAE" w:rsidRPr="003C2BC2" w:rsidRDefault="0033204F" w:rsidP="00473FC0">
      <w:r w:rsidRPr="003C2BC2">
        <w:rPr>
          <w:b/>
        </w:rPr>
        <w:t xml:space="preserve">Paragraph (5) </w:t>
      </w:r>
      <w:r w:rsidRPr="003C2BC2">
        <w:t>has the purpose of monitoring the registered experts, auditors, tax consultants and sworn accountants who carry out the verification of producer data in accordance with paragraph (1). To this end, the Federal Environment Agency, in agreement with the Federal Cartel Office, will develop verification guidelines to be followed by these persons when carrying out their activities under this Act. The provision is modelled on the provision in Section 26(1), subparagraph 28 of the Packaging Act. For the area covered by the Packaging Act, the Central Agency has already developed such verification guidelines. These can serve as a model for the Federal Environment Agency.</w:t>
      </w:r>
    </w:p>
    <w:p w14:paraId="0F4F9E25" w14:textId="2155225A" w:rsidR="0033204F" w:rsidRPr="003C2BC2" w:rsidRDefault="003D482F" w:rsidP="00473FC0">
      <w:r w:rsidRPr="003C2BC2">
        <w:lastRenderedPageBreak/>
        <w:t>In order to ensure uniform implementation of the registration of experts, auditors, tax consultants and sworn accountants, the provision also stipulates that the Federal Environment Agency must notify the Central Agency without delay of infringements of these verification guidelines by the inspectors, accompanied by available evidence. The aim is for the Central Agency to take measures pursuant to Section 27(4) of the Packaging Act and, if necessary, remove the inspector concerned from the list of approved inspectors. The provision is therefore also related to the amendment laid down in Article 2 subparagraph 2 of the Act. Accordingly, the Central Agency must, in future, also take into account compliance with the provisions of this Act when supervising the experts in accordance with Section 27(4) of the Packaging Act. This additional substantive examination function of the Central Agency also serves to ensure smooth implementation of the Packaging Act. Due to the identity of the inspectors and the similarity of the verification or the underlying methodology, it is justified to assume that, in the event of non-compliance with the verification guidelines under the Single-Use Plastics Fund Act, the inspector will also be unfit under the Packaging Act. Since an inspector who repeatedly and grossly infringes the verification guidelines of the Single-Use Plastics Fund Act can also no longer guarantee proper performance of tasks under the Packaging Act, the removal of the inspector from the list by the Central Agency is also in the interest of all the producers registered under the Packaging Act. The wording ‘accompanied by available evidence’ ensures that the factual investigation, in so far as it concerns the Single-Use Plastics Fund Act, is carried out by the Federal Environment Agency and therefore the Central Agency has no further input in this regard.</w:t>
      </w:r>
    </w:p>
    <w:p w14:paraId="185F99E9" w14:textId="77777777" w:rsidR="0075119D" w:rsidRPr="003C2BC2" w:rsidRDefault="00FE623C" w:rsidP="00473FC0">
      <w:pPr>
        <w:rPr>
          <w:b/>
        </w:rPr>
      </w:pPr>
      <w:r w:rsidRPr="003C2BC2">
        <w:rPr>
          <w:b/>
        </w:rPr>
        <w:t>Part 4 (Single-use plastics levy)</w:t>
      </w:r>
    </w:p>
    <w:p w14:paraId="26A04B53" w14:textId="77777777" w:rsidR="00FE623C" w:rsidRPr="003C2BC2" w:rsidRDefault="00FE623C" w:rsidP="00473FC0">
      <w:r w:rsidRPr="003C2BC2">
        <w:t>This Part lays down the details of the single-use plastics levy to be paid by producers.</w:t>
      </w:r>
    </w:p>
    <w:p w14:paraId="6E767429" w14:textId="5FDB8EB3" w:rsidR="0075119D" w:rsidRPr="003C2BC2" w:rsidRDefault="0075119D" w:rsidP="0075119D">
      <w:pPr>
        <w:rPr>
          <w:b/>
        </w:rPr>
      </w:pPr>
      <w:r w:rsidRPr="003C2BC2">
        <w:rPr>
          <w:b/>
        </w:rPr>
        <w:t>Section 12 (Obligation to pay the levy)</w:t>
      </w:r>
    </w:p>
    <w:p w14:paraId="755ABF30" w14:textId="045F1A9A" w:rsidR="001642C0" w:rsidRPr="003C2BC2" w:rsidRDefault="001642C0" w:rsidP="001642C0">
      <w:pPr>
        <w:rPr>
          <w:rFonts w:eastAsia="Calibri"/>
          <w:color w:val="000000"/>
        </w:rPr>
      </w:pPr>
      <w:r w:rsidRPr="003C2BC2">
        <w:t>The provision lays down the obligation on producers of the single-use plastic products listed in Annex 1 to pay a special levy. The special levy is called the ‘single-use plastics levy’ and is intended to transpose the obligation to reimburse costs under Article 8(2) and (3) of Directive (EU) 2019/904. The reimbursement of costs referred to therein as part of extended producer responsibility under Article 8(1) of Directive (EU) 2019/904 requires monetary amounts to be collected from producers. How this is implemented is left to the Member States</w:t>
      </w:r>
      <w:r w:rsidRPr="003C2BC2">
        <w:rPr>
          <w:i/>
          <w:color w:val="000000"/>
        </w:rPr>
        <w:t>.</w:t>
      </w:r>
    </w:p>
    <w:p w14:paraId="356597B6" w14:textId="77777777" w:rsidR="001642C0" w:rsidRPr="003C2BC2" w:rsidRDefault="001642C0" w:rsidP="001642C0">
      <w:pPr>
        <w:rPr>
          <w:rFonts w:eastAsia="Calibri"/>
        </w:rPr>
      </w:pPr>
      <w:r w:rsidRPr="003C2BC2">
        <w:rPr>
          <w:color w:val="000000"/>
        </w:rPr>
        <w:t>Classification of the charge under public finance law as a tax, contribution or fee is not feasible for various reasons (</w:t>
      </w:r>
      <w:proofErr w:type="spellStart"/>
      <w:r w:rsidRPr="003C2BC2">
        <w:rPr>
          <w:color w:val="000000"/>
        </w:rPr>
        <w:t>see</w:t>
      </w:r>
      <w:r w:rsidRPr="003C2BC2">
        <w:t>·A.III</w:t>
      </w:r>
      <w:proofErr w:type="spellEnd"/>
      <w:r w:rsidRPr="003C2BC2">
        <w:t>.)</w:t>
      </w:r>
      <w:r w:rsidRPr="003C2BC2">
        <w:rPr>
          <w:color w:val="000000"/>
        </w:rPr>
        <w:t>, so implementation by introducing a special levy is the only</w:t>
      </w:r>
      <w:r w:rsidRPr="003C2BC2">
        <w:t xml:space="preserve"> way to achieve legally certain, efficient and equally unbureaucratic transposition of EU law. In addition, by linking the single-use plastics levy to the levy rates to be established by Ordinance and the mass of single-use plastic products made available on the market for the first time or sold, the financial burden on producers is highly predictable. The requirements and framework conditions developed by the Federal Constitutional Court (cf. only </w:t>
      </w:r>
      <w:proofErr w:type="spellStart"/>
      <w:r w:rsidRPr="003C2BC2">
        <w:t>BVerfGE</w:t>
      </w:r>
      <w:proofErr w:type="spellEnd"/>
      <w:r w:rsidRPr="003C2BC2">
        <w:t xml:space="preserve"> 113, 128; 122, 316 and 123, 132) for the imposition of a special levy with financing function are met, or are created by this Act:</w:t>
      </w:r>
    </w:p>
    <w:p w14:paraId="157A03F3" w14:textId="4F8C29AF" w:rsidR="001642C0" w:rsidRPr="003C2BC2" w:rsidRDefault="001642C0" w:rsidP="001642C0">
      <w:pPr>
        <w:numPr>
          <w:ilvl w:val="0"/>
          <w:numId w:val="1"/>
        </w:numPr>
        <w:ind w:left="284" w:hanging="284"/>
        <w:rPr>
          <w:rFonts w:eastAsia="Calibri"/>
        </w:rPr>
      </w:pPr>
      <w:r w:rsidRPr="003C2BC2">
        <w:t>Substantive purpose</w:t>
      </w:r>
    </w:p>
    <w:p w14:paraId="04F64B29" w14:textId="4F2381A1" w:rsidR="001642C0" w:rsidRPr="003C2BC2" w:rsidRDefault="001642C0" w:rsidP="001642C0">
      <w:pPr>
        <w:ind w:left="284"/>
        <w:rPr>
          <w:rFonts w:eastAsia="Calibri"/>
        </w:rPr>
      </w:pPr>
      <w:r w:rsidRPr="003C2BC2">
        <w:t xml:space="preserve">The substantive purpose required by the case-law of the Federal Constitutional Court (cf. </w:t>
      </w:r>
      <w:proofErr w:type="spellStart"/>
      <w:r w:rsidRPr="003C2BC2">
        <w:t>BVerfGE</w:t>
      </w:r>
      <w:proofErr w:type="spellEnd"/>
      <w:r w:rsidRPr="003C2BC2">
        <w:t xml:space="preserve"> 124, 235 (245)), which goes beyond the mere procurement of resources, exists. While the single-use plastics fund finances the management of waste from single-use plastic products, as well as clean-up activities and awareness-raising activities related to single-use plastic products, the underlying substantive purpose concerns the reduction of litter in the environment and the promotion of the development of sustainable products.</w:t>
      </w:r>
    </w:p>
    <w:p w14:paraId="77AE1B1D" w14:textId="154D5D6B" w:rsidR="001642C0" w:rsidRPr="003C2BC2" w:rsidRDefault="001642C0" w:rsidP="001642C0">
      <w:pPr>
        <w:ind w:left="284"/>
        <w:rPr>
          <w:rFonts w:eastAsia="Calibri"/>
        </w:rPr>
      </w:pPr>
      <w:r w:rsidRPr="003C2BC2">
        <w:lastRenderedPageBreak/>
        <w:t>On ‘substantive purpose’, the Federal Constitutional Court states that, in the Act introducing the levy, ‘in addition to the burden of the levy and the use of its revenue, the shaping influence on the regulated substantive area must also be expressed’ (</w:t>
      </w:r>
      <w:proofErr w:type="spellStart"/>
      <w:r w:rsidRPr="003C2BC2">
        <w:t>BVerfGE</w:t>
      </w:r>
      <w:proofErr w:type="spellEnd"/>
      <w:r w:rsidRPr="003C2BC2">
        <w:t xml:space="preserve"> 82, 159 (179), 124, 235 (245)) 110, 370 (389).</w:t>
      </w:r>
    </w:p>
    <w:p w14:paraId="6D5322B7" w14:textId="7204C292" w:rsidR="001642C0" w:rsidRPr="003C2BC2" w:rsidRDefault="001642C0" w:rsidP="001642C0">
      <w:pPr>
        <w:ind w:left="284"/>
        <w:rPr>
          <w:rFonts w:eastAsia="Calibri"/>
        </w:rPr>
      </w:pPr>
      <w:r w:rsidRPr="003C2BC2">
        <w:t>The purpose set out in Section 1, which is laid down in accordance with Article 1 of Directive (EU) 2019/904 (cf. recitals 1 to 7), already specifies the objectives of this Act, which go beyond the mere regulation of the obligation to pay the levy, namely to avoid and reduce the impact of the single-use plastic products listed in Annex 1 on the environment, in particular the marine environment, and on human health, and to promote innovative and sustainable business models, products and materials. The substantive purpose is therefore not the mere raising of funds for the reimbursement of the costs incurred by the beneficiaries; it has a direct shaping effect on the circular economy. This is also particularly evident from the evaluation requirement laid down in Section 28, according to which the purpose of reviewing the Act is to ensure the development of sustainable products, improvement in the cleanliness of cities and landscapes and relieving the general public of the costs of collection, cleaning and awareness-raising that they have borne to date.</w:t>
      </w:r>
    </w:p>
    <w:p w14:paraId="2967B800" w14:textId="709AD736" w:rsidR="001642C0" w:rsidRPr="003C2BC2" w:rsidRDefault="001642C0" w:rsidP="001642C0">
      <w:pPr>
        <w:ind w:left="284"/>
        <w:rPr>
          <w:rFonts w:eastAsia="Calibri"/>
        </w:rPr>
      </w:pPr>
      <w:r w:rsidRPr="003C2BC2">
        <w:t>In addition, the provisions of this Act are not merely to legislate on a special levy, but, in transposing Article 8(1) of Directive (EU) 2019/904 and in accordance with Section 2(1) of the Act, primarily to order product responsibility within the meaning of Section 23 of the Circular Economy Act for the single-use plastic products in question. In this respect, the latent fundamental obligation laid down in the Circular Economy Act is being applied and, in the light of the polluter pays principle, a responsibility of producers for the disposal of the products that they have placed on the market and that have become waste is being legally established.</w:t>
      </w:r>
    </w:p>
    <w:p w14:paraId="0B0A92AC" w14:textId="77777777" w:rsidR="001642C0" w:rsidRPr="003C2BC2" w:rsidRDefault="001642C0" w:rsidP="001642C0">
      <w:pPr>
        <w:numPr>
          <w:ilvl w:val="0"/>
          <w:numId w:val="1"/>
        </w:numPr>
        <w:ind w:left="284" w:hanging="284"/>
        <w:rPr>
          <w:rFonts w:eastAsia="Calibri"/>
        </w:rPr>
      </w:pPr>
      <w:r w:rsidRPr="003C2BC2">
        <w:t>Homogeneous group:</w:t>
      </w:r>
    </w:p>
    <w:p w14:paraId="2FA98C94" w14:textId="265658BD" w:rsidR="001642C0" w:rsidRPr="003C2BC2" w:rsidRDefault="001642C0" w:rsidP="001642C0">
      <w:pPr>
        <w:ind w:left="284"/>
        <w:rPr>
          <w:rFonts w:eastAsia="Calibri"/>
        </w:rPr>
      </w:pPr>
      <w:r w:rsidRPr="003C2BC2">
        <w:t xml:space="preserve">With the producers of the single-use plastic products listed in Annex 1, this Act addresses a homogeneous group. Group homogeneity requires the entities that are obligated to pay the levy to be </w:t>
      </w:r>
      <w:proofErr w:type="spellStart"/>
      <w:r w:rsidRPr="003C2BC2">
        <w:t>delimitable</w:t>
      </w:r>
      <w:proofErr w:type="spellEnd"/>
      <w:r w:rsidRPr="003C2BC2">
        <w:t xml:space="preserve"> from the general public and other groups in terms of common or approximately common interests and circumstances characterised by the law and social reality (German Federal Constitutional Court (</w:t>
      </w:r>
      <w:proofErr w:type="spellStart"/>
      <w:r w:rsidRPr="003C2BC2">
        <w:t>BVerfGE</w:t>
      </w:r>
      <w:proofErr w:type="spellEnd"/>
      <w:r w:rsidRPr="003C2BC2">
        <w:t>) 124, 235 (255)). The Federal Constitutional Court recognises a pre-structuring of the group by rules other than those in question under tax law, in particular by European rules (</w:t>
      </w:r>
      <w:proofErr w:type="spellStart"/>
      <w:r w:rsidRPr="003C2BC2">
        <w:t>BVerfGE</w:t>
      </w:r>
      <w:proofErr w:type="spellEnd"/>
      <w:r w:rsidRPr="003C2BC2">
        <w:t xml:space="preserve"> 122, 316 (336); 124. 235 (255)).</w:t>
      </w:r>
    </w:p>
    <w:p w14:paraId="1682D72B" w14:textId="5BFC64F8" w:rsidR="001642C0" w:rsidRPr="003C2BC2" w:rsidRDefault="001642C0" w:rsidP="001642C0">
      <w:pPr>
        <w:ind w:left="284"/>
        <w:rPr>
          <w:rFonts w:eastAsia="Calibri"/>
        </w:rPr>
      </w:pPr>
      <w:r w:rsidRPr="003C2BC2">
        <w:t>Accordingly, the producers of the single-use plastic products listed in Annex 1 form a homogeneous group with the necessary special proximity to the services whose costs are to be borne. This special proximity arises from the extended producer responsibility laid down by EU law and the underlying polluter pays principle. The required group homogeneity is predetermined in sufficiently concrete terms in EU law by the definition of producer laid down in Article 3 point 11 of Directive (EU) 2019/904, the ordering of extended producer responsibility pursuant to Article 8(1) of Directive (EU) 2019/904, the catalogue of single-use plastic products set out in Part E of the Annex to Directive (EU) 2019/904 and the nature of the costs to be borne pursuant to Article 8(2) and (3) of Directive (EU) 2019/904. The definition of producer laid down in Section 3 subparagraph 4, the list of single-use plastic products concerned in Annex 1 and the allocation of the costs to be borne in Annex 2 transfer the above-mentioned EU law into national law.</w:t>
      </w:r>
    </w:p>
    <w:p w14:paraId="34855873" w14:textId="77777777" w:rsidR="001642C0" w:rsidRPr="003C2BC2" w:rsidRDefault="001642C0" w:rsidP="001642C0">
      <w:pPr>
        <w:ind w:left="284"/>
        <w:rPr>
          <w:rFonts w:eastAsia="Calibri"/>
        </w:rPr>
      </w:pPr>
      <w:r w:rsidRPr="003C2BC2">
        <w:t>The fact that the definition of producer encompasses different actors is irrelevant. The linking element is the placing on the market or sale of single-use plastic products, which, firstly, are among the most common waste found on European beaches (see recitals 5 and 7 of Directive (EU) 2019/904) and, secondly, for which suitable and more sustainable alternatives are not (yet) readily available (see recital 21 of Directive (EU) 2019/904).</w:t>
      </w:r>
    </w:p>
    <w:p w14:paraId="7A9F06B8" w14:textId="77777777" w:rsidR="001642C0" w:rsidRPr="003C2BC2" w:rsidRDefault="001642C0" w:rsidP="001642C0">
      <w:pPr>
        <w:ind w:left="284"/>
        <w:rPr>
          <w:rFonts w:eastAsia="Calibri"/>
        </w:rPr>
      </w:pPr>
      <w:r w:rsidRPr="003C2BC2">
        <w:lastRenderedPageBreak/>
        <w:t>Furthermore, the fact that producers of wet wipes and balloons do not have to participate in the costs of collecting and disposing of waste in public collection systems does not exclude them from the group of producers. The connecting elements of extended producer responsibility and the associated obligation to cover costs, in particular cleaning costs, remain. This special case of assumption of costs for balloons and wet wipes must, instead, be taken into account when setting the cost rates.</w:t>
      </w:r>
    </w:p>
    <w:p w14:paraId="41D1C3F8" w14:textId="77777777" w:rsidR="001642C0" w:rsidRPr="003C2BC2" w:rsidRDefault="001642C0" w:rsidP="001642C0">
      <w:pPr>
        <w:numPr>
          <w:ilvl w:val="0"/>
          <w:numId w:val="1"/>
        </w:numPr>
        <w:ind w:left="284" w:hanging="284"/>
        <w:contextualSpacing/>
        <w:rPr>
          <w:rFonts w:eastAsia="Calibri"/>
        </w:rPr>
      </w:pPr>
      <w:r w:rsidRPr="003C2BC2">
        <w:t>Responsibility for financing:</w:t>
      </w:r>
    </w:p>
    <w:p w14:paraId="2757D624" w14:textId="140A2F13" w:rsidR="001642C0" w:rsidRPr="003C2BC2" w:rsidRDefault="001642C0" w:rsidP="001642C0">
      <w:pPr>
        <w:ind w:left="284"/>
        <w:rPr>
          <w:rFonts w:eastAsia="Calibri"/>
        </w:rPr>
      </w:pPr>
      <w:r w:rsidRPr="003C2BC2">
        <w:t>The special financing responsibility of the producers as the entities required to pay the levy is also present. The condition derived by the Federal Constitutional Court from the specific relationship or proximity of the obligated entities to the purpose for which the levy is imposed, is met if the group on which the levy is imposed is evidently closer to the purpose pursued by the levy than any other group or the general public of taxpayers (</w:t>
      </w:r>
      <w:proofErr w:type="spellStart"/>
      <w:r w:rsidRPr="003C2BC2">
        <w:t>BVerfGE</w:t>
      </w:r>
      <w:proofErr w:type="spellEnd"/>
      <w:r w:rsidRPr="003C2BC2">
        <w:t xml:space="preserve"> 135, 155 (206f.); 124, 348 (366); 124, 235 (244); 123, 132 (142). 122, 316, (335); 113, 128 (150).</w:t>
      </w:r>
    </w:p>
    <w:p w14:paraId="6FBEDCC5" w14:textId="77777777" w:rsidR="001642C0" w:rsidRPr="003C2BC2" w:rsidRDefault="001642C0" w:rsidP="001642C0">
      <w:pPr>
        <w:ind w:left="284"/>
        <w:rPr>
          <w:rFonts w:eastAsia="Calibri"/>
        </w:rPr>
      </w:pPr>
      <w:r w:rsidRPr="003C2BC2">
        <w:t>In the case of the single-use plastics levy, this special proximity of producers results from the fact that they place on the market short-lived single-use plastic products which, due to their intended use, are very often disposed of in public spaces either properly or improperly.</w:t>
      </w:r>
    </w:p>
    <w:p w14:paraId="08286C87" w14:textId="2ADAD8B7" w:rsidR="001642C0" w:rsidRPr="003C2BC2" w:rsidRDefault="001642C0" w:rsidP="001642C0">
      <w:pPr>
        <w:ind w:left="284"/>
        <w:rPr>
          <w:rFonts w:eastAsia="Calibri"/>
        </w:rPr>
      </w:pPr>
      <w:r w:rsidRPr="003C2BC2">
        <w:t>In relation to the costs for cleaning referred to in point c of Article 8(2) and point b of the first sentence of Article 8(3) of Directive (EU) 2019/904, the proximity is also not called into question by the fact that they are caused by illegal waste disposal by consumers. The extended producer responsibility (in German law: product responsibility under Section 23 of the Circular Economy Act) is specifically designed to shift these cleaning costs previously borne by the general public on to producers. This constitutes a substantial extension of Article 8 of Directive (EU) 2019/904 compared to the general requirements laid down in Articles 8 and 8a of Directive 2008/98/EC. Thus, recital 22 of Directive (EU) 2019/904 expressly states that, in addition to the requirements set out in Directive 2008/98/EC, the obligation is being laid down for producers to also bear the costs of cleaning operations under extended producer responsibility.</w:t>
      </w:r>
    </w:p>
    <w:p w14:paraId="11D82D5E" w14:textId="5A139E40" w:rsidR="001642C0" w:rsidRPr="003C2BC2" w:rsidRDefault="001642C0" w:rsidP="001642C0">
      <w:pPr>
        <w:ind w:left="284"/>
        <w:rPr>
          <w:rFonts w:eastAsia="Calibri"/>
        </w:rPr>
      </w:pPr>
      <w:r w:rsidRPr="003C2BC2">
        <w:t>This also applies in particular against the background of the principles developed by the Federal Constitutional Court in the context of the ‘Solidarity fund for the return of waste’ judgment (</w:t>
      </w:r>
      <w:proofErr w:type="spellStart"/>
      <w:r w:rsidRPr="003C2BC2">
        <w:t>BVerfGE</w:t>
      </w:r>
      <w:proofErr w:type="spellEnd"/>
      <w:r w:rsidRPr="003C2BC2">
        <w:t xml:space="preserve"> 113, 128) for the attribution of responsibility for financing in the event of third-party misconduct. The solidarity fund for the return of waste was used to finance the return of waste from abroad, only in the event that ‘an entity liable for return could not be identified or could not be identified in a timely manner’. All waste exporters had to pay into the solidarity fund, in addition to the guarantees to be provided for shipments of their own waste.</w:t>
      </w:r>
    </w:p>
    <w:p w14:paraId="2D513D13" w14:textId="490062F7" w:rsidR="001642C0" w:rsidRPr="003C2BC2" w:rsidRDefault="001642C0" w:rsidP="001642C0">
      <w:pPr>
        <w:ind w:left="284"/>
        <w:rPr>
          <w:rFonts w:eastAsia="Calibri"/>
        </w:rPr>
      </w:pPr>
      <w:r w:rsidRPr="003C2BC2">
        <w:t>The Federal Constitutional Court found in this particular case that the financial obligation of the notifying entities in this case meant the ‘attribution of responsibility for financing for the consequences of third-party misconduct’ because the risks of own waste shipments were already covered by the guarantees provided. The remaining residual risks (meaning the above-mentioned cases covered by the solidarity fund for the return of waste) for which the State has to stand as a contracting party to the Basel Convention are precisely not the consequence of a common risk of all users of the export market, but a result of individual misconduct in cases of illegal use.</w:t>
      </w:r>
    </w:p>
    <w:p w14:paraId="20A0D826" w14:textId="77777777" w:rsidR="001642C0" w:rsidRPr="003C2BC2" w:rsidRDefault="001642C0" w:rsidP="001642C0">
      <w:pPr>
        <w:ind w:left="284"/>
        <w:rPr>
          <w:rFonts w:eastAsia="Calibri"/>
        </w:rPr>
      </w:pPr>
      <w:r w:rsidRPr="003C2BC2">
        <w:t>The crucial difference to the cleaning costs financed under the single-use plastics levy lies precisely here, in this attribution to the sphere of responsibility of the producers. Although cleaning costs first arise from third-party misconduct – namely the improper disposal of the waste by consumers – producers initiate, by placing the products on the market, exactly the causal chain which ultimately leads to the fact that the waste generated after the use of the products enters the environment.</w:t>
      </w:r>
    </w:p>
    <w:p w14:paraId="5590DFE7" w14:textId="37F200BA" w:rsidR="001642C0" w:rsidRPr="003C2BC2" w:rsidRDefault="001642C0" w:rsidP="001642C0">
      <w:pPr>
        <w:ind w:left="284"/>
        <w:rPr>
          <w:rFonts w:eastAsia="Calibri"/>
        </w:rPr>
      </w:pPr>
      <w:r w:rsidRPr="003C2BC2">
        <w:lastRenderedPageBreak/>
        <w:t>In contrast to the solidarity fund for the return of waste, the attribution link required by the Federal Constitutional Court for responsibility for failure in the case of the single-use plastics levy lies precisely in the placing on the market by producers of short-lived single-use plastic products. The case of the single-use plastics levy is therefore only partially comparable to that of the return of waste levy, since extended producer responsibility under the Single-Use Plastics Fund Act concerns the responsibility of producers for their ‘own’ actions, through which the ‘third-party’ action of consumers is made possible. The attribution of the third-party action is ultimately inherent in the expression of the polluter pays principle and extended producer responsibility. The legal reality is that for the single-use plastic products in question, it is more or less a matter of chance whether they are disposed of lawfully or unlawfully. Ultimately, littering realises a risk that producers have created by putting the single-use plastic products on the market and on which the business model they operate is based.</w:t>
      </w:r>
    </w:p>
    <w:p w14:paraId="31EA804E" w14:textId="77777777" w:rsidR="001642C0" w:rsidRPr="003C2BC2" w:rsidRDefault="001642C0" w:rsidP="001642C0">
      <w:pPr>
        <w:numPr>
          <w:ilvl w:val="0"/>
          <w:numId w:val="1"/>
        </w:numPr>
        <w:ind w:left="284" w:hanging="284"/>
        <w:rPr>
          <w:rFonts w:eastAsia="Calibri"/>
        </w:rPr>
      </w:pPr>
      <w:r w:rsidRPr="003C2BC2">
        <w:t>Group-beneficial use:</w:t>
      </w:r>
    </w:p>
    <w:p w14:paraId="0C48EC95" w14:textId="716A096C" w:rsidR="001642C0" w:rsidRPr="003C2BC2" w:rsidRDefault="001642C0" w:rsidP="001642C0">
      <w:pPr>
        <w:ind w:left="284"/>
        <w:rPr>
          <w:rFonts w:eastAsia="Calibri"/>
        </w:rPr>
      </w:pPr>
      <w:r w:rsidRPr="003C2BC2">
        <w:t>Furthermore, the single-use plastics levy is also used in a way that is beneficial to the group under the provisions of the Act. Group benefit requires the entire group of levy payers to be relieved of a task attributable to their area of responsibility. On this, the Federal Constitutional Court states in several decisions that, where there is proximity to the purpose of the levy and a responsibility for financing, the appropriate use of the levy revenue is always beneficial to the group (</w:t>
      </w:r>
      <w:proofErr w:type="spellStart"/>
      <w:r w:rsidRPr="003C2BC2">
        <w:t>BVerfGE</w:t>
      </w:r>
      <w:proofErr w:type="spellEnd"/>
      <w:r w:rsidRPr="003C2BC2">
        <w:t xml:space="preserve"> 122, 316 (335); 124, 235 (255); 124, 348 (366)). Group benefit therefore lies in the fulfilment of product responsibility pursuant to Section 23 of the Circular Economy Act and thus acts as a relief to the overall group of producers.</w:t>
      </w:r>
    </w:p>
    <w:p w14:paraId="64A8C51A" w14:textId="77777777" w:rsidR="001642C0" w:rsidRPr="003C2BC2" w:rsidRDefault="001642C0" w:rsidP="001642C0">
      <w:pPr>
        <w:ind w:left="284"/>
        <w:rPr>
          <w:rFonts w:eastAsia="Calibri"/>
        </w:rPr>
      </w:pPr>
      <w:r w:rsidRPr="003C2BC2">
        <w:t>The appropriate use of the levy revenue is extensively secured. Firstly, the reimbursement of costs is expressly limited to the costs referred to in Annex 2 and when calculating the levy rate under Section 13, the cost recovery requirement, the prohibition on exceeding costs and the principle of cost efficiency must be observed. This precludes the possibility of taking into account costs for which the producers concerned are not responsible. Furthermore, the specific purpose of the single-use plastics fund prevents the money collected from being used for purposes other than the reimbursement of the eligible costs and the administration of the fund. In addition, the fundamental eligibility of the beneficiaries is examined in the context of the registration procedure pursuant to Section 14. Costs are to be reimbursed retrospectively on the basis of the services actually provided. This precludes the use of funds paid out in advance for other purposes.</w:t>
      </w:r>
    </w:p>
    <w:p w14:paraId="399E6065" w14:textId="0BF869A7" w:rsidR="001642C0" w:rsidRPr="003C2BC2" w:rsidRDefault="001642C0" w:rsidP="001642C0">
      <w:pPr>
        <w:numPr>
          <w:ilvl w:val="0"/>
          <w:numId w:val="1"/>
        </w:numPr>
        <w:ind w:left="284" w:hanging="284"/>
        <w:contextualSpacing/>
        <w:rPr>
          <w:rFonts w:eastAsia="Calibri"/>
        </w:rPr>
      </w:pPr>
      <w:r w:rsidRPr="003C2BC2">
        <w:t>Budget transparency:</w:t>
      </w:r>
    </w:p>
    <w:p w14:paraId="0BE4D664" w14:textId="3DAAE8FF" w:rsidR="001642C0" w:rsidRPr="003C2BC2" w:rsidRDefault="001642C0" w:rsidP="001642C0">
      <w:pPr>
        <w:ind w:left="284"/>
        <w:rPr>
          <w:rFonts w:eastAsia="Calibri"/>
        </w:rPr>
      </w:pPr>
      <w:r w:rsidRPr="003C2BC2">
        <w:t>The budget transparency required by established case law (</w:t>
      </w:r>
      <w:proofErr w:type="spellStart"/>
      <w:r w:rsidRPr="003C2BC2">
        <w:t>BVerfGE</w:t>
      </w:r>
      <w:proofErr w:type="spellEnd"/>
      <w:r w:rsidRPr="003C2BC2">
        <w:t xml:space="preserve"> 136, 194 (261); 135, 155 (206f.); 124, 348 (366); 108, 186 (218f.) i.e. enabling parliamentary scrutiny of the special levy imposed, is ensured by the regulatory design of the single-use plastics fund (cf. the explanatory notes on Sections 4 to 6). The fund is part of the budget and therefore sufficiently transparent. In addition, there is the annual statement to be prepared by the Federal Environment Agency, which is to set out revenue to and expenditure from the fund so as to be comprehensible for everyone.</w:t>
      </w:r>
    </w:p>
    <w:p w14:paraId="650169AE" w14:textId="77777777" w:rsidR="001642C0" w:rsidRPr="003C2BC2" w:rsidRDefault="001642C0" w:rsidP="001642C0">
      <w:pPr>
        <w:numPr>
          <w:ilvl w:val="0"/>
          <w:numId w:val="1"/>
        </w:numPr>
        <w:ind w:left="284" w:hanging="284"/>
        <w:contextualSpacing/>
        <w:rPr>
          <w:rFonts w:eastAsia="Calibri"/>
        </w:rPr>
      </w:pPr>
      <w:r w:rsidRPr="003C2BC2">
        <w:t>Periodic review:</w:t>
      </w:r>
    </w:p>
    <w:p w14:paraId="024030A0" w14:textId="009B93ED" w:rsidR="001642C0" w:rsidRPr="003C2BC2" w:rsidRDefault="001642C0" w:rsidP="001642C0">
      <w:pPr>
        <w:ind w:left="284"/>
        <w:rPr>
          <w:rFonts w:eastAsia="Calibri"/>
          <w:b/>
        </w:rPr>
      </w:pPr>
      <w:r w:rsidRPr="003C2BC2">
        <w:t xml:space="preserve">For a special levy to be permissible, the legislature also needs to review, at reasonable intervals, whether the grounds for and the level of the special levy are objectively justified (cf. </w:t>
      </w:r>
      <w:proofErr w:type="spellStart"/>
      <w:r w:rsidRPr="003C2BC2">
        <w:t>BVerfGE</w:t>
      </w:r>
      <w:proofErr w:type="spellEnd"/>
      <w:r w:rsidRPr="003C2BC2">
        <w:t xml:space="preserve"> 136, 194 (261); 135, 155 (206f.); 124, 348 (366); 108, 186, (218f.)). The justification for the single-use plastics levy derives from Article 8(2) to (4) of Directive (EU) 2019/904. As long as this obligation to recover costs exists under EU law, there is no need to separately review at intervals the grounds for the special levy. However, the level of the special levy must be checked regularly. This is ensured by reviewing the determination of levy rates laid down by Ordinance in accordance with Section 13. In </w:t>
      </w:r>
      <w:r w:rsidRPr="003C2BC2">
        <w:lastRenderedPageBreak/>
        <w:t>addition, the Federal Government evaluates the achievement of the objectives of the Act as a whole in accordance with Section</w:t>
      </w:r>
      <w:r w:rsidRPr="003C2BC2">
        <w:rPr>
          <w:color w:val="C00000"/>
        </w:rPr>
        <w:t xml:space="preserve"> </w:t>
      </w:r>
      <w:r w:rsidRPr="003C2BC2">
        <w:t>28.</w:t>
      </w:r>
    </w:p>
    <w:p w14:paraId="5150ADA6" w14:textId="6B86A5B0" w:rsidR="0075119D" w:rsidRPr="003C2BC2" w:rsidRDefault="0075119D" w:rsidP="0075119D">
      <w:pPr>
        <w:rPr>
          <w:b/>
        </w:rPr>
      </w:pPr>
      <w:r w:rsidRPr="003C2BC2">
        <w:rPr>
          <w:b/>
        </w:rPr>
        <w:t>Section 13 (Determination, due date and default)</w:t>
      </w:r>
    </w:p>
    <w:p w14:paraId="1F22897B" w14:textId="278F52CB" w:rsidR="0075119D" w:rsidRPr="003C2BC2" w:rsidRDefault="0075119D" w:rsidP="0075119D">
      <w:r w:rsidRPr="003C2BC2">
        <w:t>The provision lays down the requirements for determining the special levy. The provision thus serves, firstly, to transpose the obligation to bear costs under Article 8(2) and (3) of Directive (EU) 2019/904. Secondly, the first subparagraph of Article 8a(5) of Directive 2008/98/EC is transposed. This requires Member States to establish an appropriate monitoring and enforcement framework to ensure compliance with producer financial obligations. The provision is based on the usual provisions for imposing special levies (e.g. Section 5 of the Sewage Compensation Fund Ordinance, Sections 147 and 148 of the Film Support Act and Section 1 of the Wine Fund Ordinance).</w:t>
      </w:r>
    </w:p>
    <w:p w14:paraId="0B00F4CD" w14:textId="3D821AB6" w:rsidR="0075119D" w:rsidRPr="003C2BC2" w:rsidRDefault="0075119D" w:rsidP="0075119D">
      <w:r w:rsidRPr="003C2BC2">
        <w:rPr>
          <w:b/>
        </w:rPr>
        <w:t>Paragraph (1)</w:t>
      </w:r>
      <w:r w:rsidRPr="003C2BC2">
        <w:t>, first sentence stipulates that</w:t>
      </w:r>
      <w:r w:rsidRPr="003C2BC2">
        <w:rPr>
          <w:b/>
        </w:rPr>
        <w:t xml:space="preserve"> </w:t>
      </w:r>
      <w:r w:rsidRPr="003C2BC2">
        <w:t>the single-use plastics levy will be determined by means of a levy notice from the Federal Environment Agency. The levy notice is an administrative act. The general procedural rules laid down in Section 35 et seq. of the Administrative Procedure Act therefore apply. The second sentence governs calculation of the special levy. It is calculated from the mass of single-use plastic products made available on the market for the first time or sold multiplied by the respective levy rate established by Ordinance pursuant to Section 14(1). The mass of single-use plastic products made available on the market for the first time or sold is notified by producers through the online portal in accordance with Section 11. The simple method of calculation makes it possible for the producers concerned to readily plan and also provides for a largely automated decision-making process.</w:t>
      </w:r>
    </w:p>
    <w:p w14:paraId="3EBC0A08" w14:textId="72C14782" w:rsidR="0075119D" w:rsidRPr="003C2BC2" w:rsidRDefault="0075119D" w:rsidP="0075119D">
      <w:r w:rsidRPr="003C2BC2">
        <w:rPr>
          <w:b/>
        </w:rPr>
        <w:t>Paragraph (2)</w:t>
      </w:r>
      <w:r w:rsidRPr="003C2BC2">
        <w:t xml:space="preserve"> concerns the case where a producer does not provide any quantity data in accordance with Section 11. In these cases, the Federal Environment Agency will estimate the quantity of single-use plastic products made available on the market for the first time or sold. The estimate will be based on previous notifications and data otherwise available. This data mainly includes readily available data, such as data published by the companies themselves on their website. Grounds for the estimate must be provided in the levy notice. The provision is modelled on many other levy provisions (see Section 12(1) of the Waste Water Levy Act, Section 1(3), second sentence of the Wine Fund Ordinance, Section 8(3) of the Sewage Compensation Fund Ordinance).</w:t>
      </w:r>
    </w:p>
    <w:p w14:paraId="4ED9992A" w14:textId="77777777" w:rsidR="0075119D" w:rsidRPr="003C2BC2" w:rsidRDefault="0075119D" w:rsidP="0075119D">
      <w:r w:rsidRPr="003C2BC2">
        <w:rPr>
          <w:b/>
        </w:rPr>
        <w:t>Paragraph (3)</w:t>
      </w:r>
      <w:r w:rsidRPr="003C2BC2">
        <w:t xml:space="preserve"> lays down when the single-use plastics levy is due. This is generally to be set out in the levy notice. Only if no due date is specified in the levy notice, a deadline for payment of one month after receipt of the notice applies.</w:t>
      </w:r>
    </w:p>
    <w:p w14:paraId="0CD5CC4F" w14:textId="77777777" w:rsidR="00A90C1D" w:rsidRPr="003C2BC2" w:rsidRDefault="0075119D" w:rsidP="0075119D">
      <w:r w:rsidRPr="003C2BC2">
        <w:rPr>
          <w:b/>
        </w:rPr>
        <w:t>Paragraph (4)</w:t>
      </w:r>
      <w:r w:rsidRPr="003C2BC2">
        <w:rPr>
          <w:i/>
        </w:rPr>
        <w:t xml:space="preserve"> </w:t>
      </w:r>
      <w:r w:rsidRPr="003C2BC2">
        <w:t>lays down a default surcharge if the single-use plastics levy is not paid on time. The provisions comply with Section 16(1) and (2) of the Federal Fees Act. The simplified calculation serves to ease the administrative burden. Finally, any default surcharges collected are to be properly allocated as revenue to the single-use plastics fund.</w:t>
      </w:r>
    </w:p>
    <w:p w14:paraId="010BA355" w14:textId="77777777" w:rsidR="009372F2" w:rsidRPr="003C2BC2" w:rsidRDefault="009372F2" w:rsidP="0075119D">
      <w:r w:rsidRPr="003C2BC2">
        <w:rPr>
          <w:b/>
        </w:rPr>
        <w:t>Paragraph (5)</w:t>
      </w:r>
      <w:r w:rsidRPr="003C2BC2">
        <w:t xml:space="preserve"> waives the suspensory effect for objections to the levy notice. Although this might already be apparent from Section 80(2), subparagraph 1 of the Code of Administrative Court Procedure, the application of the provision to special levies is disputed, even though the vastly predominant view assumes applicability. The provision has a clarifying effect in this regard and lays down in law the conditions for Section 80(2), subparagraph 3 of the Code of Administrative Court Procedure.</w:t>
      </w:r>
    </w:p>
    <w:p w14:paraId="3685A2EF" w14:textId="5E417611" w:rsidR="0075119D" w:rsidRPr="003C2BC2" w:rsidRDefault="009372F2" w:rsidP="0075119D">
      <w:r w:rsidRPr="003C2BC2">
        <w:rPr>
          <w:b/>
        </w:rPr>
        <w:t xml:space="preserve">Paragraph (6) </w:t>
      </w:r>
      <w:r w:rsidRPr="003C2BC2">
        <w:t>sets the period of limitation for the single-use plastics levy. The provision complies with Section 18 of the Federal Fees Act. The second sentence also orders corresponding application of Section 19 of the Federal Fees Act, which sets out the circumstances for interruption of the limitation period.</w:t>
      </w:r>
    </w:p>
    <w:p w14:paraId="3FC8875D" w14:textId="4868EDE6" w:rsidR="0075119D" w:rsidRPr="003C2BC2" w:rsidRDefault="0075119D" w:rsidP="003D62F7">
      <w:pPr>
        <w:keepNext/>
        <w:rPr>
          <w:b/>
        </w:rPr>
      </w:pPr>
      <w:r w:rsidRPr="003C2BC2">
        <w:rPr>
          <w:b/>
        </w:rPr>
        <w:lastRenderedPageBreak/>
        <w:t>Section 14 (Establishment of levy rates, enabling authorisation)</w:t>
      </w:r>
    </w:p>
    <w:p w14:paraId="0AFDC63E" w14:textId="77777777" w:rsidR="0075119D" w:rsidRPr="003C2BC2" w:rsidRDefault="0075119D" w:rsidP="0075119D">
      <w:r w:rsidRPr="003C2BC2">
        <w:t>The provision governs the establishment of levy rates.</w:t>
      </w:r>
    </w:p>
    <w:p w14:paraId="44AAE8A1" w14:textId="2FC58D1B" w:rsidR="0075119D" w:rsidRPr="003C2BC2" w:rsidRDefault="005256A5" w:rsidP="0075119D">
      <w:r w:rsidRPr="003C2BC2">
        <w:rPr>
          <w:b/>
        </w:rPr>
        <w:t>Paragraph (1)</w:t>
      </w:r>
      <w:r w:rsidRPr="003C2BC2">
        <w:t>, first sentence stipulates that the levy rates are to be established by means of Ordinance issued by the Federal Ministry for the Environment, Nature Conservation, Nuclear Safety and Consumer Protection. The above-mentioned Ordinance is to be enacted by the end of the 31 December 2023, so that the basis for calculating the levy amount is in place by the time the obligation to pay the levy enters into force on 1 January 2024. In order to transpose the transparency requirement and the rights of participation referred to in the first sentence of Article 8(4) of Directive (EU) 2019/904, the parties concerned must be consulted before the Ordinance is adopted. In addition, after the single-use plastics commission has been established in the course of 2023, it will also be involved in preparations for setting the levy rates by providing a corresponding recommendation. The Ordinance does not require the assent of the Bundesrat, since the circumstances under Article 80(2) of the Basic Law are not present.</w:t>
      </w:r>
    </w:p>
    <w:p w14:paraId="6BAB337D" w14:textId="23B98BF3" w:rsidR="0075119D" w:rsidRPr="003C2BC2" w:rsidRDefault="0075119D" w:rsidP="0075119D">
      <w:r w:rsidRPr="003C2BC2">
        <w:t>For each single-use plastic product listed in Annex 1, a separate levy rate will be established. This will be based on the cost structure specified by Annex 2. The type of levy rate is also defined. In order to avoid unnecessary administration and to make the calculation of the single-use plastics levy as clear and comprehensible as possible, the levy rate will be given in euros per kilogram. This means that the levy rate must be indicated depending on the total weight of the single-use plastic product. However, this does not preclude other factors such as volume or quantity from being taken into account when deriving the levy rates for individual cost types, e.g. for collection or cleaning costs.</w:t>
      </w:r>
    </w:p>
    <w:p w14:paraId="268B7284" w14:textId="71A83900" w:rsidR="005256A5" w:rsidRPr="003C2BC2" w:rsidRDefault="005256A5" w:rsidP="0075119D">
      <w:r w:rsidRPr="003C2BC2">
        <w:t>The second sentence stipulates that Section 68 of the Circular Economy Act shall apply, mutatis mutandis. This lays down the obligation to consult the parties concerned.</w:t>
      </w:r>
    </w:p>
    <w:p w14:paraId="21E33BCC" w14:textId="69B4C1E7" w:rsidR="0075119D" w:rsidRPr="003C2BC2" w:rsidRDefault="005256A5" w:rsidP="0075119D">
      <w:r w:rsidRPr="003C2BC2">
        <w:rPr>
          <w:b/>
        </w:rPr>
        <w:t xml:space="preserve">Paragraph (2) </w:t>
      </w:r>
      <w:r w:rsidRPr="003C2BC2">
        <w:t>imposes the requirement to recover costs, the prohibition on exceeding costs and the principle of cost efficiency on the legislator when transposing Article 8(2) and (3) and (4) first sentence of Directive (EU) 2019/904. The requirements laid down in European law correspond to the principles developed in national law when setting fees, which must also be used as a benchmark when calculating special levies with financing function.</w:t>
      </w:r>
    </w:p>
    <w:p w14:paraId="2579BE7A" w14:textId="6D908461" w:rsidR="0075119D" w:rsidRPr="003C2BC2" w:rsidRDefault="0075119D" w:rsidP="0075119D">
      <w:r w:rsidRPr="003C2BC2">
        <w:t>The cost recovery requirement arises firstly from the obligation to bear costs laid down in Articles 8(2) and (3) of Directive (EU) 2019/904, but it becomes particularly clear if, in addition, the relevant recital 21 of Directive (EU) 2019/904 is used for interpretation. This states that, in line with the polluter pays principle for single-use plastic products for which there are currently no readily available suitable and sustainable alternatives, Member States should introduce extended producer responsibility schemes to ‘cover’ the necessary costs of waste management, clean-up activities and awareness-raising measures. This means that, when establishing the levy rates, the legislator must base this on full recovery of the total costs for the costs referred to in Annex 2.</w:t>
      </w:r>
    </w:p>
    <w:p w14:paraId="4A8D1F18" w14:textId="6FF396EA" w:rsidR="0075119D" w:rsidRPr="003C2BC2" w:rsidRDefault="0075119D" w:rsidP="0075119D">
      <w:r w:rsidRPr="003C2BC2">
        <w:t>The prohibition on exceeding costs is derived from the first sentence of Article 8(4) of Directive (EU) 2019/904. Accordingly, the costs to be borne by producers may ‘not exceed’ the costs that are necessary to provide the services in a cost-efficient way. The costs incurred for the extended producer responsibility measures referred to in Article 8(2) and (3) of Directive (EU) 2019/904 thus constitute the limit on the cost burden for producers. This limit must not be exceeded overall when imposing the single-use plastics levy as a special levy with financing function. Firstly this means that the legislator must link the levy rate being established to the costs to be reimbursed in accordance with Annex 2. Further costs may not be taken into account when establishing the levy rate. For this reason, for example, it is not permissible to levy a coordination surcharge. Secondly, within the cost framework set out in Annex 2, costs must not be exceeded in the long term.</w:t>
      </w:r>
    </w:p>
    <w:p w14:paraId="22EEAE38" w14:textId="4C76B613" w:rsidR="0075119D" w:rsidRPr="003C2BC2" w:rsidRDefault="0075119D" w:rsidP="0075119D">
      <w:r w:rsidRPr="003C2BC2">
        <w:lastRenderedPageBreak/>
        <w:t>The principle of cost efficiency also follows from the first sentence of Article 8(4) of Directive (EU) 2019/904. Accordingly, the costs to be borne must not exceed the costs that are necessary to provide the services referred to in Article 8(2) and (3) of Directive (EU) 2019/904 ‘in a cost-efficient way’. This is not a feature unique to the cost calculation for single-use plastic products. Rather, extended producer responsibility is based on the principle of cost efficiency as a whole (Article 8a(4)(c) of Directive 2008/98/EC). However, neither of the two Directives defines ‘cost efficiency’. The guidelines on the costs of clean-up activities to be adopted by the European Commission in accordance with the fifth sentence of Article 8(4) of Directive (EU) 2019/904 are also not yet available. However, both when imposing fees and imposing special levies with financing function, the level of the non-tax levy is restricted by the payer’s responsibility for financing. This suggests that, in terms of restricting the cost burden to costs that are ‘required’ or ‘necessary’ and when interpreting the requirement for ‘services to be provided in a cost efficient way’, the principle of necessity from the law governing fees should be applied. This principle concerns not only the adequacy of the costs incurred, which is also referred to as ‘cost-related necessity’, but also the necessity of the public institution itself that is able to charge fees and the manner in which it operates. The latter is referred to as ‘institutional necessity’.</w:t>
      </w:r>
    </w:p>
    <w:p w14:paraId="399E4D4C" w14:textId="77777777" w:rsidR="0075119D" w:rsidRPr="003C2BC2" w:rsidRDefault="0075119D" w:rsidP="0075119D">
      <w:r w:rsidRPr="003C2BC2">
        <w:t>Finally, the requirement of transparency also stems from the first sentence of Article 8(4) of Directive (EU) 2019/904. Accordingly, the costs to be borne must be ‘established in a transparent way between the actors concerned’. Firstly, it is necessary to transparently and comprehensibly establish which cost types are to be applied to which single-use plastic products. This is ensured by the definitions in conjunction with Annex 2. Secondly, the cost for each single-use plastic product must also be derived in a transparent way within the framework of the Ordinance. When drafting the Ordinance, in particular when setting out the statement of reasons, it will be necessary to make sure that the respective levy rate is presented comprehensibly for all parties involved. Finally, the transparency requirement also includes the beneficiaries, i.e. those providing the services referred to in Article 8(2) and (3) of Directive (EU) 2019/904. Therefore, the transparency requirement must also be taken into account when determining the disbursement criteria.</w:t>
      </w:r>
    </w:p>
    <w:p w14:paraId="718F6847" w14:textId="0133C3B5" w:rsidR="00094693" w:rsidRPr="003C2BC2" w:rsidRDefault="0075119D" w:rsidP="00641614">
      <w:r w:rsidRPr="003C2BC2">
        <w:t>In order to ensure that levy rates are derived in compliance with the principles outlined above, the Federal Environment Agency awarded a department research project in July 2021 (funding ref 3721333010). The aim of the project is to develop a cost model for implementation of Article 8(2) and (3) of Directive (EU) 2019/904. This concerns both the development of product-specific cost rates (revenue side) and the criteria for reimbursement of collection, cleaning and disposal costs and data collection and transmission costs (expenditure side). Based on this objective, work package 1 of the project will identify all the necessary data that is of fundamental importance for further use in work packages 2 and 3. This is mainly data on the quantities of single-use plastic products made available on the market for the first time or sold, the number of producers concerned and the quantity and composition of waste generated in public spaces. Work package 2 will develop a cost model on the basis of the data collected, both in terms of the method for determining product-related cost contributions and the development of a method of appropriate disbursements. The cost model developed in this way will then be subjected to an example practical test in work package 3 of the project, in order to draw up a proposal for the product-related levy rates as well as for the points system for disbursing funds.</w:t>
      </w:r>
    </w:p>
    <w:p w14:paraId="090823DF" w14:textId="39E7B133" w:rsidR="0075119D" w:rsidRPr="003C2BC2" w:rsidRDefault="0075119D" w:rsidP="00641614">
      <w:r w:rsidRPr="003C2BC2">
        <w:t xml:space="preserve">The research project is being supported by a broad-based project advisory board, which involves the actors concerned in the examination in order to ensure the necessary specialist input from all sides and to ensure the highest possible transparency in this regard. The share of single-use plastic products in the respective total waste as well as the costs arising from them are factored into determination of the levy rates. Determining the shares of weight, volume and quantity of all groups of materials or products is the first fundamental step. In a second step, the costs for the different services are determined in inner-city and out-of-town areas. A differentiation into the individual cost components specified by EU law </w:t>
      </w:r>
      <w:r w:rsidRPr="003C2BC2">
        <w:lastRenderedPageBreak/>
        <w:t>is provided for here. In addition, quantities and costs differ depending on the collection system, which is why all collection systems are considered in a differentiated way, not only in the sorting analyses, but also in the cost model. In a third step, the determined costs are combined with the determined waste composition of the corresponding collection system.</w:t>
      </w:r>
    </w:p>
    <w:p w14:paraId="1854CB86" w14:textId="59578C74" w:rsidR="0075119D" w:rsidRPr="003C2BC2" w:rsidRDefault="005256A5" w:rsidP="0075119D">
      <w:r w:rsidRPr="003C2BC2">
        <w:rPr>
          <w:b/>
        </w:rPr>
        <w:t xml:space="preserve">Paragraph (3) </w:t>
      </w:r>
      <w:r w:rsidRPr="003C2BC2">
        <w:t>stipulates that the levy rates established by means of Ordinance in accordance with the first sentence will be subject to regular review. The legislator shall review the level of the levy rates and, where appropriate, adjust them, at the latest every three years after the entry into force of the respective Ordinance. The principles laid down in the second sentence will apply to the review and any adjustment.</w:t>
      </w:r>
    </w:p>
    <w:p w14:paraId="08109F49" w14:textId="045708B6" w:rsidR="0075119D" w:rsidRPr="003C2BC2" w:rsidRDefault="0075119D" w:rsidP="0075119D">
      <w:r w:rsidRPr="003C2BC2">
        <w:t>With regard to the review period, any change in the market situation and, consequently, the composition of the waste, must be taken into account. In addition, the costs of waste management and other services to be reimbursed are also subject to changes which may necessitate an adjustment of cost rates. It should be borne in mind that exceeding costs on a long-term basis or failing to recover costs on a long-term basis is not permitted. On the other hand, the third sentence of Article 8(4) of Directive (EU) 2019/904 requires that ‘the calculation methodology shall be developed in a way that allows for the costs of cleaning up litter to be established in a proportionate way’. This means that the effort for determining the cost rates must be within an appropriate framework. It should be borne in mind that the review of the levy rates entails a great deal of effort. Both the advice of the single-use plastics commission and preparation for advice by one or more studies to be awarded by the Federal Environment Agency requires financial and human resources as well as a certain timeframe, so that a shorter interval is not practicable. The costs are financed by the single-use plastics fund and are therefore ultimately to be borne by the producers. In addition, the establishment of multi-annual contributions is expressly authorised for cleaning costs by the fourth sentence of Article 8(4) of Directive (EU) 2019/904. The provision laid down in the third sentence therefore serves as a whole to implement the complex requirements of EU law in an unbureaucratic and efficient manner.</w:t>
      </w:r>
    </w:p>
    <w:p w14:paraId="00BB7190" w14:textId="77777777" w:rsidR="0075119D" w:rsidRPr="003C2BC2" w:rsidRDefault="00772E4B" w:rsidP="0075119D">
      <w:pPr>
        <w:rPr>
          <w:b/>
        </w:rPr>
      </w:pPr>
      <w:r w:rsidRPr="003C2BC2">
        <w:rPr>
          <w:b/>
        </w:rPr>
        <w:t>Part 5 (Obligations of beneficiaries)</w:t>
      </w:r>
    </w:p>
    <w:p w14:paraId="32006413" w14:textId="77777777" w:rsidR="00772E4B" w:rsidRPr="003C2BC2" w:rsidRDefault="00772E4B" w:rsidP="0075119D">
      <w:r w:rsidRPr="003C2BC2">
        <w:t>This Part lays down the requirements imposed on beneficiaries, such as registration and annual notification, in order to allow the disbursement of resources from the single-use plastics fund.</w:t>
      </w:r>
    </w:p>
    <w:p w14:paraId="540C00AC" w14:textId="56430F66" w:rsidR="0075119D" w:rsidRPr="003C2BC2" w:rsidRDefault="0075119D" w:rsidP="0075119D">
      <w:pPr>
        <w:rPr>
          <w:b/>
        </w:rPr>
      </w:pPr>
      <w:r w:rsidRPr="003C2BC2">
        <w:rPr>
          <w:b/>
        </w:rPr>
        <w:t>Section 15 (Registration of beneficiaries)</w:t>
      </w:r>
    </w:p>
    <w:p w14:paraId="6B82AEAB" w14:textId="2F141DD4" w:rsidR="0075119D" w:rsidRPr="003C2BC2" w:rsidRDefault="0075119D" w:rsidP="0075119D">
      <w:r w:rsidRPr="003C2BC2">
        <w:t>Section 15 concerns the registration of the eligible public waste management providers and other legal entities under public law. The provision is thus intended to implement the reimbursement of costs referred to in Article 8(2) and (3) of Directive (EU) 2019/904 and to create an appropriate monitoring and enforcement framework in accordance with the first and second sentences of Article 8a(5) of Directive 2008/98/EC. It also serves to transpose Article 8(5) of Directive (EU) 2019/904 in conjunction with Article 8a(1)(a) of Directive 2008/98/EC. Accordingly, the roles and responsibilities of all actors involved must be clearly defined. The provision is modelled on Section 9 of the Packaging Act and corresponds to the registration obligation of producers under Section 7 of this Act.</w:t>
      </w:r>
    </w:p>
    <w:p w14:paraId="0F73D919" w14:textId="0DCF1D8A" w:rsidR="002C04B3" w:rsidRPr="003C2BC2" w:rsidRDefault="0075119D" w:rsidP="002C04B3">
      <w:r w:rsidRPr="003C2BC2">
        <w:rPr>
          <w:b/>
        </w:rPr>
        <w:t xml:space="preserve">Paragraph (1) </w:t>
      </w:r>
      <w:r w:rsidRPr="003C2BC2">
        <w:t>stipulates that all public waste management providers and other legal entities under public law who wish to claim reimbursement of costs must register with the Federal Environment Agency beforehand. Registration is thus constitutive for notification of the services provided and thus for the receipt of resources from the single-use plastics fund. In order to ensure this is a smooth and efficient procedure, changes to registration data as well as the permanent cessation of activities giving rise to entitlement must be notified to the Federal Environment Agency.</w:t>
      </w:r>
    </w:p>
    <w:p w14:paraId="6A5C5B09" w14:textId="174E6BD9" w:rsidR="0075119D" w:rsidRPr="003C2BC2" w:rsidRDefault="002C04B3" w:rsidP="002C04B3">
      <w:r w:rsidRPr="003C2BC2">
        <w:t xml:space="preserve">Public waste management providers are the legal entities obligated to provide waste disposal under Land law in accordance with the first sentence of Section 17(1) of the Circular </w:t>
      </w:r>
      <w:r w:rsidRPr="003C2BC2">
        <w:lastRenderedPageBreak/>
        <w:t>Economy Act. The broader concept of legal entities under public law also includes other authorities and public bodies, such as local authorities, in the group of potential beneficiaries, insofar as they are authorised by federal or Land law to carry out one or more of the services leading to reimbursement of costs.</w:t>
      </w:r>
    </w:p>
    <w:p w14:paraId="741D68FE" w14:textId="368C1C7B" w:rsidR="0075119D" w:rsidRPr="003C2BC2" w:rsidRDefault="0075119D" w:rsidP="0075119D">
      <w:r w:rsidRPr="003C2BC2">
        <w:rPr>
          <w:b/>
        </w:rPr>
        <w:t>Paragraph (2)</w:t>
      </w:r>
      <w:r w:rsidRPr="003C2BC2">
        <w:t xml:space="preserve"> outlines the information to be provided during registration. The master data referred to in subparagraphs 1 to 3 is necessary in order to be able to disburse resources from the single-use plastics fund on the basis of this data and the services provided as per the annual notification. The confirmation of basic eligibility referred to in subparagraph 4 provides legal certainty and facilitates the Federal Environment Agency in its decision on registration confirmation. The background to this is that both the status as a public waste management provider (cf. the first sentence of Section 17(1) of the Circular Economy Act on this) and that of the majority of the other eligible legal entities under public law derives from Land law. The involvement of a competent authority in examining eligibility is therefore logical. Subparagraph 5 stipulates that the local area of responsibility must be indicated. This information enables, among other things, data to be compared within the scope of the checking pursuant to Section 18.</w:t>
      </w:r>
    </w:p>
    <w:p w14:paraId="297D30C6" w14:textId="561A38CD" w:rsidR="009A2077" w:rsidRPr="003C2BC2" w:rsidRDefault="00B236F0" w:rsidP="0075119D">
      <w:r w:rsidRPr="003C2BC2">
        <w:rPr>
          <w:b/>
        </w:rPr>
        <w:t>Paragraph (3)</w:t>
      </w:r>
      <w:r w:rsidRPr="003C2BC2">
        <w:t xml:space="preserve"> enables a beneficiary to appoint another beneficiary to exercise their rights and obligations under this Act. The group of representatives is deliberately limited to beneficiaries. The background to this is practical need; registration and notification of various beneficiaries from one area can be bundled. This reduces administration for both the beneficiaries and the Federal Environment Agency. In terms of practical implementation, it is important in this respect that the data notifications by the appointed beneficiary are made separately for each individual beneficiary, so that the services provided can be unambiguously assigned to a beneficiary and the amounts in the payment notice can be calculated individually. The appointed beneficiary will be responsible for distributing the disbursed sums.</w:t>
      </w:r>
    </w:p>
    <w:p w14:paraId="2751DABA" w14:textId="382D5A73" w:rsidR="0075119D" w:rsidRPr="003C2BC2" w:rsidRDefault="0075119D" w:rsidP="0075119D">
      <w:r w:rsidRPr="003C2BC2">
        <w:rPr>
          <w:b/>
        </w:rPr>
        <w:t>Paragraph (4)</w:t>
      </w:r>
      <w:r w:rsidRPr="003C2BC2">
        <w:t>, first sentence refers to the technical design of the registration. Registration must be done through the electronic portal provided by the Federal Environment Agency. This is the only way to ensure a smooth administrative procedure, without any interruption in media, and the information from the registration can be used for the further process of preparing payment notices and disbursement of resources.</w:t>
      </w:r>
    </w:p>
    <w:p w14:paraId="0A40CE31" w14:textId="26CE0623" w:rsidR="0075119D" w:rsidRPr="003C2BC2" w:rsidRDefault="007D01E4" w:rsidP="0075119D">
      <w:r w:rsidRPr="003C2BC2">
        <w:rPr>
          <w:b/>
        </w:rPr>
        <w:t>Paragraph (5)</w:t>
      </w:r>
      <w:r w:rsidRPr="003C2BC2">
        <w:t xml:space="preserve"> lays down the further procedure. On the basis of the information provided during registration and, if applicable, the opinion of the Land authority, the Federal Environment Agency will examine whether eligibility exists. It will therefore be checked whether there is a legal authorisation to carry out services that are relevant for cost reimbursement purposes. Whether such services are actually provided and to what extent, will be queried and verified only in the context of the annual notification pursuant to Section 17. If the outcome of the check is positive, the Federal Environment Agency will confirm registration in accordance with subparagraph 2 and inform the public waste management provider or the legal entity under public law of the registration number in accordance with subparagraph 3. According to the fourth sentence, this also applies, mutatis mutandis, to change notifications; a change in the registration number is generally not required in this respect. Confirmation of registration is an administrative act pursuant to Section 35 of the Administrative Procedure Act.</w:t>
      </w:r>
    </w:p>
    <w:p w14:paraId="7332DF40" w14:textId="76535BBF" w:rsidR="0075119D" w:rsidRPr="003C2BC2" w:rsidRDefault="0075119D" w:rsidP="0075119D">
      <w:r w:rsidRPr="003C2BC2">
        <w:rPr>
          <w:b/>
        </w:rPr>
        <w:t>Paragraph (6)</w:t>
      </w:r>
      <w:r w:rsidRPr="003C2BC2">
        <w:t>serves to ensure the transparent design of the reimbursement procedure in accordance with the first sentence of Article 8(4) of Directive (EU) 2019/904. Like the information on obligated producers, the information on eligible public waste management providers and other legal entities under public law must also be publicly available. This is the only way to ensure the necessary transparency in terms of equal treatment of all actors. The restriction to the data referred to in subparagraphs 1,</w:t>
      </w:r>
      <w:bookmarkStart w:id="25" w:name="DQPErrorScope34BAA374140ABF3F38C7DDC54EB"/>
      <w:r w:rsidRPr="003C2BC2">
        <w:t xml:space="preserve"> </w:t>
      </w:r>
      <w:bookmarkEnd w:id="25"/>
      <w:r w:rsidRPr="003C2BC2">
        <w:t xml:space="preserve">4 and 5 protects sensitive personal data or bank details from unauthorised use. The other provisions on the cessation of </w:t>
      </w:r>
      <w:r w:rsidRPr="003C2BC2">
        <w:lastRenderedPageBreak/>
        <w:t>eligible activities as well as the deletion of data correspond to those for the register of producers. The deletion period of one year is required, as the single-use plastics fund is settled retroactively for the services provided in the previous year.</w:t>
      </w:r>
    </w:p>
    <w:p w14:paraId="01AB95F6" w14:textId="6B83E6EC" w:rsidR="0075119D" w:rsidRPr="003C2BC2" w:rsidRDefault="0075119D" w:rsidP="0075119D">
      <w:pPr>
        <w:rPr>
          <w:b/>
        </w:rPr>
      </w:pPr>
      <w:r w:rsidRPr="003C2BC2">
        <w:rPr>
          <w:b/>
        </w:rPr>
        <w:t>Section 16 (Register of beneficiaries)</w:t>
      </w:r>
    </w:p>
    <w:p w14:paraId="2EA4ADA6" w14:textId="77777777" w:rsidR="0075119D" w:rsidRPr="003C2BC2" w:rsidRDefault="0075119D" w:rsidP="0075119D">
      <w:r w:rsidRPr="003C2BC2">
        <w:t>The provision obligates the Federal Environment Agency to establish the electronic register for beneficiaries. It is thus intended to implement the reimbursement of costs referred to in Article 8(2) and (3) of Directive (EU) 2019/904 and to create an appropriate monitoring and enforcement framework in accordance with the first and second sentences of Article 8a(5) of Directive 2008/98/EC.</w:t>
      </w:r>
    </w:p>
    <w:p w14:paraId="2680B974" w14:textId="2C510529" w:rsidR="00DC0857" w:rsidRPr="003C2BC2" w:rsidRDefault="0075119D" w:rsidP="0075119D">
      <w:r w:rsidRPr="003C2BC2">
        <w:t>To the extent necessary, the Federal Environment Agency may lay down further instructions on the electronic registration procedure and other electronic communications. It is important, in this respect, that these must be necessary for the efficient implementation of the procedure, without any interruption in media. In addition, the data protection powers as well as the deletion of the data are laid down. The deletion period of one year is required, as the single-use plastics fund is settled retroactively for the services provided in the previous year.</w:t>
      </w:r>
    </w:p>
    <w:p w14:paraId="55319498" w14:textId="629BC977" w:rsidR="0075119D" w:rsidRPr="003C2BC2" w:rsidRDefault="0075119D" w:rsidP="0075119D">
      <w:pPr>
        <w:rPr>
          <w:b/>
        </w:rPr>
      </w:pPr>
      <w:r w:rsidRPr="003C2BC2">
        <w:rPr>
          <w:b/>
        </w:rPr>
        <w:t>Section 17 (Annual notification by beneficiaries)</w:t>
      </w:r>
    </w:p>
    <w:p w14:paraId="6A1E61C2" w14:textId="77777777" w:rsidR="0075119D" w:rsidRPr="003C2BC2" w:rsidRDefault="0075119D" w:rsidP="0075119D">
      <w:r w:rsidRPr="003C2BC2">
        <w:t>The provision lays down the rules on annual notification by the beneficiaries of services giving rise to reimbursement. It is thus intended to transpose Article 8(2) and (3) of Directive (EU) 2019/904 and to create an appropriate monitoring and enforcement framework in accordance with the first and second sentences of Article 8a(5) of Directive 2008/98/EC.</w:t>
      </w:r>
    </w:p>
    <w:p w14:paraId="2A9947D0" w14:textId="7D73F3B5" w:rsidR="0075119D" w:rsidRPr="003C2BC2" w:rsidRDefault="0075119D" w:rsidP="0075119D">
      <w:r w:rsidRPr="003C2BC2">
        <w:rPr>
          <w:b/>
        </w:rPr>
        <w:t>Paragraph (1)</w:t>
      </w:r>
      <w:r w:rsidRPr="003C2BC2">
        <w:t xml:space="preserve"> lays down the data to be transmitted annually by the end of 15 May. The information is intended to cover the services provided in the previous calendar year for which reimbursement of costs is being sought. The cost types (collection costs as defined in Section 3 subparagraph 12, cleaning costs as defined in Section 3 subparagraph 13, awareness-raising costs as defined in Section 3 subparagraph 14, and data collection and transmission costs as defined in Section 3 subparagraph 15) are exhaustively listed. The cost types comply on a one-to-one basis with the cost types referred to in Article 8(2) and (3) of Directive (EU) 2019/904.</w:t>
      </w:r>
    </w:p>
    <w:p w14:paraId="5564C576" w14:textId="6EC076E8" w:rsidR="0075119D" w:rsidRPr="003C2BC2" w:rsidRDefault="0075119D" w:rsidP="0075119D">
      <w:r w:rsidRPr="003C2BC2">
        <w:rPr>
          <w:b/>
        </w:rPr>
        <w:t>Paragraph (2)</w:t>
      </w:r>
      <w:r w:rsidRPr="003C2BC2">
        <w:t xml:space="preserve"> clarifies that 15 May is a cut-off date. Notifications made after that date can no longer be included in the cost reimbursement. The background to this provision is the rapid settlement of annual disbursements, which requires a predictability of resource outflows by the Federal Environment Agency managing the single-use plastics fund. Rapid settlement is in the interest of all beneficiaries.</w:t>
      </w:r>
    </w:p>
    <w:p w14:paraId="15F823F9" w14:textId="16F7D4AA" w:rsidR="0075119D" w:rsidRPr="003C2BC2" w:rsidRDefault="0075119D" w:rsidP="0075119D">
      <w:r w:rsidRPr="003C2BC2">
        <w:rPr>
          <w:b/>
        </w:rPr>
        <w:t>Paragraph (3)</w:t>
      </w:r>
      <w:r w:rsidRPr="003C2BC2">
        <w:t>, first sentence lays down the procedural rules for the data notification referred to in paragraph (1). Accordingly, the Federal Environment Agency lays down the type of information to be notified. The key figures (e.g. cleaning kilometres) by means of which the services provided and thus the costs incurred are to be specified depends on the points system established by means of Ordinance pursuant to Section 19(2) and can therefore only be specified after the Ordinance has been adopted. It is important that the information is as simple as it is meaningful, in order to represent the services provided and the costs incurred as accurately as possible. The Federal Environment Agency will provide uniform electronic forms for data notification and specify further details concerning the procedure. The detailed procedure for electronic settlement will only be determined once the IT solutions are in place.</w:t>
      </w:r>
    </w:p>
    <w:p w14:paraId="6B88D4B5" w14:textId="2D8860B5" w:rsidR="0075119D" w:rsidRPr="003C2BC2" w:rsidRDefault="0075119D" w:rsidP="0075119D">
      <w:r w:rsidRPr="003C2BC2">
        <w:t>In order to ensure the necessary transparency, transposing the first sentence of Article 8(4) of Directive (EU) 2019/904, the Federal Environment Agency will publish each year, by 31 December, data on all services provided by the beneficiaries in the previous year, in accordance with the second sentence. The data will be published in an appropriate aggregated form.</w:t>
      </w:r>
    </w:p>
    <w:p w14:paraId="7B550801" w14:textId="2B60E111" w:rsidR="0075119D" w:rsidRPr="003C2BC2" w:rsidRDefault="0075119D" w:rsidP="0075119D">
      <w:pPr>
        <w:rPr>
          <w:b/>
        </w:rPr>
      </w:pPr>
      <w:r w:rsidRPr="003C2BC2">
        <w:rPr>
          <w:b/>
        </w:rPr>
        <w:lastRenderedPageBreak/>
        <w:t>Section 18 (Checking of information)</w:t>
      </w:r>
    </w:p>
    <w:p w14:paraId="08211011" w14:textId="3CA649A9" w:rsidR="0075119D" w:rsidRPr="003C2BC2" w:rsidRDefault="0075119D" w:rsidP="0075119D">
      <w:r w:rsidRPr="003C2BC2">
        <w:t>The provision concerns the checking of information provided by beneficiaries. The aim is to ensure efficient and legally certain implementation of the reimbursement of costs referred to in Article 8(2) and (3) and the first sentence of paragraph (4) of Directive (EU) 2019/904 and to ensure the data quality referred to in Article 8a(1)(c) and (3)(d)(ii) of Directive 2008/98/EC.</w:t>
      </w:r>
    </w:p>
    <w:p w14:paraId="77721FD5" w14:textId="74668CDD" w:rsidR="0075119D" w:rsidRPr="003C2BC2" w:rsidRDefault="0075119D" w:rsidP="0075119D">
      <w:r w:rsidRPr="003C2BC2">
        <w:rPr>
          <w:b/>
        </w:rPr>
        <w:t>Paragraph (1)</w:t>
      </w:r>
      <w:r w:rsidRPr="003C2BC2">
        <w:t>, first sentence lays down the power of the Federal Environment Agency, if there are indications of inaccuracies, to require a beneficiary to have the information provided in a data notification under Section 17 verified by an expert and to submit the verification report, at the expense of the beneficiary. The expert verification may be ordered only if the beneficiary concerned has been requested within a reasonable period of time to clarify the indications of inaccuracies and has failed to do so. The order is an administrative act pursuant to Section 35 of the Administrative Procedure Act and is at the due discretion of the Federal Environment Agency. The order to engage an independent expert thus constitutes a less severe means compared to final rejection of the reimbursement of costs. The second sentence clarifies that the notification of a beneficiary who does not comply with the order of the Federal Environment Agency within the prescribed period is deemed not to have been made. This ultimately results in being excluded from reimbursement for the year in question. The aim of this provision is also to ensure swift settlement of the reimbursement of costs and is therefore in the interest of all beneficiaries.</w:t>
      </w:r>
    </w:p>
    <w:p w14:paraId="703C2F67" w14:textId="510B9D8B" w:rsidR="0075119D" w:rsidRPr="003C2BC2" w:rsidRDefault="0075119D" w:rsidP="0075119D">
      <w:r w:rsidRPr="003C2BC2">
        <w:rPr>
          <w:b/>
        </w:rPr>
        <w:t>Paragraph (2)</w:t>
      </w:r>
      <w:r w:rsidRPr="003C2BC2">
        <w:t xml:space="preserve"> lays down the experts authorised to conduct verification in accordance with paragraph (1) and thus ensures a uniform level of quality when verifying the information in accordance with Section 18. The provision complies with Section 4(6) of the Commercial Waste Ordinance and, in many parts, Section 21(2), second sentence, of the Electrical and Electronic Equipment Act and Section 3(5) of the Packaging Act. The registration of experts under this provision with the Central Agency is not mandatory. This is because, unlike data notifications from producers, no synergy effects can arise from other verification. In addition, the type of data to be verified for the beneficiaries differs significantly from the data which is to be verified under the Packaging Act and is the basis for the registration of experts with the Central Agency.</w:t>
      </w:r>
    </w:p>
    <w:p w14:paraId="4FF37A87" w14:textId="6198FAB4" w:rsidR="0075119D" w:rsidRPr="003C2BC2" w:rsidRDefault="00AB4EDB" w:rsidP="0075119D">
      <w:pPr>
        <w:rPr>
          <w:b/>
        </w:rPr>
      </w:pPr>
      <w:r w:rsidRPr="003C2BC2">
        <w:rPr>
          <w:b/>
        </w:rPr>
        <w:t>Part 6 (Disbursement)</w:t>
      </w:r>
    </w:p>
    <w:p w14:paraId="453FC066" w14:textId="44D6BBEF" w:rsidR="00395358" w:rsidRPr="003C2BC2" w:rsidRDefault="00395358" w:rsidP="00395358">
      <w:pPr>
        <w:pStyle w:val="Text"/>
      </w:pPr>
      <w:r w:rsidRPr="003C2BC2">
        <w:t>The provisions in this Part concern the disbursement of resources from the single-use plastic fund to the beneficiaries by the Federal Environment Agency. With regard to the disbursement of resources to municipalities, there is no breach of the principle of concomitant financing under Article 104a(1) of the Basic Law, since the expenditure is not ‘financed’ by the Federal Government. Interpretation of the concept of ‘financing expenditures’ shows that the transit of the single-use plastics levy as a special levy with financing function, guaranteed by this Act, does not constitute financing of expenditures within the meaning of Article 104a(1) of the Basic Law. The single-use plastics levy is collected by the Federal Environment Agency from producers, received into the federal budget as an earmarked item and, after deduction of administration costs, distributed completely and without any substantive discretion to the eligible public bodies of the Länder. The Federal Government finances no expenditure and assumes no responsibility for financing by collecting and forwarding earmarked levy revenue to the Länder or municipalities.</w:t>
      </w:r>
    </w:p>
    <w:p w14:paraId="6D64B264" w14:textId="33CD1FBB" w:rsidR="0075119D" w:rsidRPr="003C2BC2" w:rsidRDefault="0075119D" w:rsidP="0075119D">
      <w:pPr>
        <w:rPr>
          <w:b/>
        </w:rPr>
      </w:pPr>
      <w:r w:rsidRPr="003C2BC2">
        <w:rPr>
          <w:b/>
        </w:rPr>
        <w:t>Section 19 (Points system)</w:t>
      </w:r>
    </w:p>
    <w:p w14:paraId="4B1C94B2" w14:textId="5F756534" w:rsidR="0075119D" w:rsidRPr="003C2BC2" w:rsidRDefault="0075119D" w:rsidP="0075119D">
      <w:r w:rsidRPr="003C2BC2">
        <w:t xml:space="preserve">The provision outlines the development of a points system necessary for the disbursement of fund resources, by means of which the services provided by the beneficiaries are converted into points. The provision is intended to transpose Article 8(2) to (3) and (4) first sentence of Directive (EU) 2019/904. Based on this, Section 21 stipulates, depending on </w:t>
      </w:r>
      <w:r w:rsidRPr="003C2BC2">
        <w:lastRenderedPageBreak/>
        <w:t>the services actually provided, the determination and disbursement of the resources in relation to the individual case.</w:t>
      </w:r>
    </w:p>
    <w:p w14:paraId="22815FEF" w14:textId="2348D31C" w:rsidR="0075119D" w:rsidRPr="003C2BC2" w:rsidRDefault="0075119D" w:rsidP="0075119D">
      <w:r w:rsidRPr="003C2BC2">
        <w:rPr>
          <w:b/>
        </w:rPr>
        <w:t>Paragraph (1)</w:t>
      </w:r>
      <w:r w:rsidRPr="003C2BC2">
        <w:t xml:space="preserve"> specifies that the points system to be established by Ordinance will assign a certain number of points to services provided by beneficiaries each year. Since the revenue from the single-use plastics levy, which underpins the fund, will change each year depending on the single-use plastic products made available on the market for the first time or sold by producers, as does the expenditure to be paid from the fund, depending on the services provided by the beneficiaries, it is not possible to derive a specific disbursement amount directly from the service provided. Instead, the abstraction of services is necessary by means of a points system which applies equally for each year, which together with the points value established each year (Section 20) makes it possible to determine the specific amount of disbursement (Section 21).</w:t>
      </w:r>
    </w:p>
    <w:p w14:paraId="12801671" w14:textId="1D2BEAA2" w:rsidR="00A01CDA" w:rsidRPr="003C2BC2" w:rsidRDefault="0075119D" w:rsidP="0075119D">
      <w:r w:rsidRPr="003C2BC2">
        <w:rPr>
          <w:b/>
        </w:rPr>
        <w:t>Paragraph (2)</w:t>
      </w:r>
      <w:r w:rsidRPr="003C2BC2">
        <w:t xml:space="preserve"> confers authorisation to establish the points system described in paragraph (1). The provision is structured in parallel with the authorisation to establish levy rates in accordance with Section 14, so the reader can be referred to the comments on said section. A single Ordinance is planned, which brings together in one piece of legislation both the levy rates required for the revenue side and the points system necessary for the expenditure side.</w:t>
      </w:r>
    </w:p>
    <w:p w14:paraId="2F4295E4" w14:textId="5AF0F05E" w:rsidR="0075119D" w:rsidRPr="003C2BC2" w:rsidRDefault="004B68C1" w:rsidP="0075119D">
      <w:r w:rsidRPr="003C2BC2">
        <w:t>The first sentence stipulates that the points system will be established by an Ordinance issued by the Federal Ministry for the Environment, Nature Conservation, Nuclear Safety and Consumer Protection. The Ordinance will be adopted by 31 December 2023 in order to provide the basis for classification of the services provided in time for the start of reimbursement from 2024 onwards. The second sentence stipulates that Section 68 of the Circular Economy Act shall apply, mutatis mutandis. This regulates the consultation of the parties concerned.</w:t>
      </w:r>
    </w:p>
    <w:p w14:paraId="287D121D" w14:textId="76F3AB97" w:rsidR="0075119D" w:rsidRPr="003C2BC2" w:rsidRDefault="004B68C1" w:rsidP="0075119D">
      <w:r w:rsidRPr="003C2BC2">
        <w:rPr>
          <w:b/>
        </w:rPr>
        <w:t xml:space="preserve">Paragraph (3) </w:t>
      </w:r>
      <w:r w:rsidRPr="003C2BC2">
        <w:t>imposes the requirement to recover costs, the prohibition on exceeding costs and the principle of cost efficiency on the legislator when transposing Article 8(2) and (3) and the first sentence of paragraph (4) of Directive (EU) 2019/904. The above-mentioned research project on the cost model is also to include a proposal for the establishment of the points model (see the comments on Section</w:t>
      </w:r>
      <w:bookmarkStart w:id="26" w:name="DQPErrorScope4F9AA28416A98CE23609E075892"/>
      <w:r w:rsidRPr="003C2BC2">
        <w:t xml:space="preserve"> </w:t>
      </w:r>
      <w:bookmarkEnd w:id="26"/>
      <w:r w:rsidRPr="003C2BC2">
        <w:t>14).</w:t>
      </w:r>
    </w:p>
    <w:p w14:paraId="612CA48C" w14:textId="4B4DC488" w:rsidR="0075119D" w:rsidRPr="003C2BC2" w:rsidRDefault="004B68C1" w:rsidP="0075119D">
      <w:r w:rsidRPr="003C2BC2">
        <w:rPr>
          <w:b/>
        </w:rPr>
        <w:t>Paragraph (4)</w:t>
      </w:r>
      <w:r w:rsidRPr="003C2BC2">
        <w:t xml:space="preserve"> requires the points system established by Ordinance to be subject to regular review. The legislator shall review the points system and, where appropriate, adjust it, at the latest every three years after the entry into force of the respective Ordinance. The time frame is in line with the review for levy rates in order to allow for a joint review in order to avoid unnecessary bureaucracy.</w:t>
      </w:r>
    </w:p>
    <w:p w14:paraId="08B169AD" w14:textId="3B14F3A3" w:rsidR="0075119D" w:rsidRPr="003C2BC2" w:rsidRDefault="0075119D" w:rsidP="0075119D">
      <w:pPr>
        <w:rPr>
          <w:b/>
        </w:rPr>
      </w:pPr>
      <w:r w:rsidRPr="003C2BC2">
        <w:rPr>
          <w:b/>
        </w:rPr>
        <w:t>Section 20 (Announcement and calculation of the points value)</w:t>
      </w:r>
    </w:p>
    <w:p w14:paraId="192FCB05" w14:textId="77777777" w:rsidR="0075119D" w:rsidRPr="003C2BC2" w:rsidRDefault="0075119D" w:rsidP="0075119D">
      <w:r w:rsidRPr="003C2BC2">
        <w:t>The provision lays down the rules on the annual determination of the points value. The provision is intended to transpose Article 8(2) to (3) and (4) first sentence of Directive (EU) 2019/904.</w:t>
      </w:r>
    </w:p>
    <w:p w14:paraId="6CF71E17" w14:textId="01796C8D" w:rsidR="00C97F47" w:rsidRPr="003C2BC2" w:rsidRDefault="0075119D" w:rsidP="00C97F47">
      <w:pPr>
        <w:tabs>
          <w:tab w:val="center" w:pos="4536"/>
        </w:tabs>
      </w:pPr>
      <w:r w:rsidRPr="003C2BC2">
        <w:rPr>
          <w:b/>
        </w:rPr>
        <w:t>Paragraph (1)</w:t>
      </w:r>
      <w:r w:rsidRPr="003C2BC2">
        <w:t xml:space="preserve"> specifies that the Federal Environment Agency will calculate the points value annually and announce it by the end of 30 September.</w:t>
      </w:r>
    </w:p>
    <w:p w14:paraId="5DD70D1E" w14:textId="0A9FF879" w:rsidR="00C97F47" w:rsidRPr="003C2BC2" w:rsidRDefault="0075119D" w:rsidP="0075119D">
      <w:r w:rsidRPr="003C2BC2">
        <w:t>The provision setting the cut-off date is important in so far as subsequent changes in the factors relevant to the calculation no longer play a role and, if necessary, have to be taken into account in the following year. This is the only way to ensure that resources can be disbursed in a timely manner every year.</w:t>
      </w:r>
    </w:p>
    <w:p w14:paraId="598C48FF" w14:textId="7521DBFA" w:rsidR="0075119D" w:rsidRPr="003C2BC2" w:rsidRDefault="00C97F47" w:rsidP="0075119D">
      <w:r w:rsidRPr="003C2BC2">
        <w:t>The points value is calculated by dividing the total disbursement amount by the total points. The composition of the total disbursement amount is detailed in paragraph (2). Total points is explained in paragraph (3).</w:t>
      </w:r>
    </w:p>
    <w:p w14:paraId="2855BDA2" w14:textId="3A9C30E9" w:rsidR="0075119D" w:rsidRPr="003C2BC2" w:rsidRDefault="0075119D" w:rsidP="001D6D6E">
      <w:r w:rsidRPr="003C2BC2">
        <w:lastRenderedPageBreak/>
        <w:t>The nature of the announcement of the point value is not laid down in the Act so as to avoid unnecessary bureaucratic hurdles. However, it must be ensured that the information is generally accessible. Publication on the website of the Federal Environment Agency would therefore be advisable. Finally, pursuant to Section 23(1) subparagraph 2 point a, the single-use plastics commission must be consulted in determining the points value.</w:t>
      </w:r>
    </w:p>
    <w:p w14:paraId="7C58BC80" w14:textId="05CE0867" w:rsidR="0075119D" w:rsidRPr="003C2BC2" w:rsidRDefault="0075119D" w:rsidP="00C97F47">
      <w:pPr>
        <w:tabs>
          <w:tab w:val="center" w:pos="4536"/>
        </w:tabs>
      </w:pPr>
      <w:r w:rsidRPr="003C2BC2">
        <w:rPr>
          <w:b/>
        </w:rPr>
        <w:t>Paragraph (2)</w:t>
      </w:r>
      <w:r w:rsidRPr="003C2BC2">
        <w:t xml:space="preserve"> lays down further details on the calculation of the total disbursement amount. This is the monetary value from the single-use plastics fund to be paid out to the beneficiaries in the year concerned. In order to determine the total disbursement amount, the revenue to the single-use plastics fund from the respective year is determined first. For this purpose, a cut-off date for receipt of revenue to the single-use plastics fund is also set here. Revenue received after that date is carried over to the next year and is taken into account when calculating the total disbursement amount to be determined for that year. Next, the administration costs incurred in the previous calendar year (Section 3 subparagraph 16) are deducted as well as the resources envisaged for the future to secure the administration costs still to be paid (Section 5(2), first sentence, subparagraph 1), to safeguard claims under this Act (Section 5(2), first sentence, subparagraph 2) and for ensuring the stability of the points value (Section 5(2), first sentence, subparagraph 3). In the first five years of revenue to and expenditure from the single-use plastics fund, i.e. between 2025 and 2029, 1/5 of the administration costs from 2023 are to be deducted each year. A sample calculation is then to be carried out to determine the level of the points value based on this total disbursement amount. If the points value differs significantly from the points values of the previous years and if resources are available in accordance with Section 5(2), first sentence, subparagraph 3, an increase in the total disbursement amount is permitted. Revenue for the respective year includes both the single-use plastic levies paid for that year and, where applicable, levies collected in the year in question for past years, and resources no longer required for the purposes of Section 5(2), first sentence, subparagraphs 1 and 2.</w:t>
      </w:r>
    </w:p>
    <w:p w14:paraId="49944833" w14:textId="39D4B219" w:rsidR="00832B6E" w:rsidRPr="003C2BC2" w:rsidRDefault="00832B6E" w:rsidP="00832B6E">
      <w:pPr>
        <w:tabs>
          <w:tab w:val="center" w:pos="4536"/>
        </w:tabs>
      </w:pPr>
      <w:r w:rsidRPr="003C2BC2">
        <w:rPr>
          <w:b/>
        </w:rPr>
        <w:t>Paragraph (3)</w:t>
      </w:r>
      <w:r w:rsidRPr="003C2BC2">
        <w:t xml:space="preserve"> lays down the total points as the sum of the points that all beneficiaries have achieved in that year. This must be based on notifications from the beneficiaries in accordance with Section 17. This also explains the need for the cut-off date laid down in Section 17(2) for the notification of services provided.</w:t>
      </w:r>
    </w:p>
    <w:p w14:paraId="734473BB" w14:textId="484FB9A6" w:rsidR="0075119D" w:rsidRPr="003C2BC2" w:rsidRDefault="0075119D" w:rsidP="0075119D">
      <w:pPr>
        <w:tabs>
          <w:tab w:val="center" w:pos="4536"/>
        </w:tabs>
      </w:pPr>
      <w:r w:rsidRPr="003C2BC2">
        <w:rPr>
          <w:b/>
        </w:rPr>
        <w:t>Section 21 (Determination and disbursement of resources)</w:t>
      </w:r>
    </w:p>
    <w:p w14:paraId="2418C93E" w14:textId="24B86F15" w:rsidR="0075119D" w:rsidRPr="003C2BC2" w:rsidRDefault="0075119D" w:rsidP="0075119D">
      <w:pPr>
        <w:tabs>
          <w:tab w:val="center" w:pos="4536"/>
        </w:tabs>
      </w:pPr>
      <w:r w:rsidRPr="003C2BC2">
        <w:t>The provision concerns the determination and disbursement of resources from the fund to the individual beneficiaries. The provision is thus intended to transpose Article 8(2) to (3) and (4) first sentence of Directive (EU) 2019/904.</w:t>
      </w:r>
    </w:p>
    <w:p w14:paraId="65ED102F" w14:textId="4C24FB15" w:rsidR="0075119D" w:rsidRPr="003C2BC2" w:rsidRDefault="0075119D" w:rsidP="0075119D">
      <w:pPr>
        <w:tabs>
          <w:tab w:val="center" w:pos="4536"/>
        </w:tabs>
      </w:pPr>
      <w:r w:rsidRPr="003C2BC2">
        <w:rPr>
          <w:b/>
        </w:rPr>
        <w:t>The first sentence</w:t>
      </w:r>
      <w:r w:rsidRPr="003C2BC2">
        <w:t xml:space="preserve"> clarifies that determination of the amount from the single-use plastics fund is made by means of a payment notice issued by the Federal Environment Agency. The payment notice is an administrative act, and therefore the general requirements pursuant to Section 35 et seq. of the Administrative Procedure Act apply. The administrative procedure is open to appeals.</w:t>
      </w:r>
    </w:p>
    <w:p w14:paraId="5292D1E9" w14:textId="6C7B0FE8" w:rsidR="0075119D" w:rsidRPr="003C2BC2" w:rsidRDefault="0075119D" w:rsidP="0075119D">
      <w:pPr>
        <w:tabs>
          <w:tab w:val="center" w:pos="4536"/>
        </w:tabs>
      </w:pPr>
      <w:r w:rsidRPr="003C2BC2">
        <w:rPr>
          <w:b/>
        </w:rPr>
        <w:t>The second sentence</w:t>
      </w:r>
      <w:r w:rsidRPr="003C2BC2">
        <w:t xml:space="preserve"> lays down the basis of determining the amounts specified in the payment notice. The amount is the number of points calculated for the services provided in accordance with the points system multiplied by the points value. The points system is established by Ordinance (cf. Section 19) and the annual points value is announced by the Federal Environment Agency (cf. Section 20). Determination is therefore transparent and comprehensible for the beneficiaries concerned.</w:t>
      </w:r>
    </w:p>
    <w:p w14:paraId="658BB4A1" w14:textId="77777777" w:rsidR="0075119D" w:rsidRPr="003C2BC2" w:rsidRDefault="0075119D" w:rsidP="0075119D">
      <w:pPr>
        <w:tabs>
          <w:tab w:val="center" w:pos="4536"/>
        </w:tabs>
      </w:pPr>
      <w:r w:rsidRPr="003C2BC2">
        <w:rPr>
          <w:b/>
        </w:rPr>
        <w:t>The third sentence</w:t>
      </w:r>
      <w:r w:rsidRPr="003C2BC2">
        <w:t xml:space="preserve"> serves to speed up the process. Thus, payments from the single-use plastics fund should be made no later than one month after the date on which the notice has legal validity.</w:t>
      </w:r>
    </w:p>
    <w:p w14:paraId="3B9D6E4A" w14:textId="77777777" w:rsidR="006B3705" w:rsidRPr="003C2BC2" w:rsidRDefault="006B3705" w:rsidP="00BD40FC">
      <w:pPr>
        <w:keepNext/>
        <w:rPr>
          <w:b/>
        </w:rPr>
      </w:pPr>
      <w:r w:rsidRPr="003C2BC2">
        <w:rPr>
          <w:b/>
        </w:rPr>
        <w:lastRenderedPageBreak/>
        <w:t>Part 7 (Powers of designation)</w:t>
      </w:r>
    </w:p>
    <w:p w14:paraId="219CD2A5" w14:textId="708D3622" w:rsidR="006B3705" w:rsidRPr="003C2BC2" w:rsidRDefault="006B3705" w:rsidP="006B3705">
      <w:r w:rsidRPr="003C2BC2">
        <w:t>This Part enables a product to be designated as a single-use plastic product or a producer to be designated as such in accordance with the legal definitions of this Act, by means of an administrative act.</w:t>
      </w:r>
    </w:p>
    <w:p w14:paraId="1849BB8A" w14:textId="746C5DD7" w:rsidR="00E47D4C" w:rsidRPr="003C2BC2" w:rsidRDefault="00E47D4C" w:rsidP="00B819AC">
      <w:pPr>
        <w:rPr>
          <w:b/>
        </w:rPr>
      </w:pPr>
      <w:r w:rsidRPr="003C2BC2">
        <w:rPr>
          <w:b/>
        </w:rPr>
        <w:t>Section 22 (Designation as a single-use plastic product or producer)</w:t>
      </w:r>
    </w:p>
    <w:p w14:paraId="5FAC6E6E" w14:textId="7C7C6B16" w:rsidR="00E47D4C" w:rsidRPr="003C2BC2" w:rsidRDefault="00E47D4C" w:rsidP="00E47D4C">
      <w:r w:rsidRPr="003C2BC2">
        <w:rPr>
          <w:b/>
        </w:rPr>
        <w:t>Paragraph (1)</w:t>
      </w:r>
      <w:r w:rsidRPr="003C2BC2">
        <w:t>, first sentence enables the Federal Environment Agency to eliminate uncertainties in the classification of single-use plastic products and the status of producer by means of a statement of determination. The corresponding examination is carried out either at the request of a producer or authorised representative concerned or by the Federal Environment Agency itself, if it considers this necessary after exercising its official discretion, in particular for the purpose of legal certainty. Based on previous experience from implementing Directive (EU) 2019/904, it can be assumed that, initially, the designation of a product as a single-use plastic product and the designation of a natural or legal person or partnership may be arguable in individual cases. The ability to issue such a statement of determination has already proven itself in administrative practice in the procedures referred to in Section 26(1) subparagraphs 24 to 26 of the Packaging Act.</w:t>
      </w:r>
    </w:p>
    <w:p w14:paraId="600296C9" w14:textId="22F0D01F" w:rsidR="00E47D4C" w:rsidRPr="003C2BC2" w:rsidRDefault="008561D7" w:rsidP="0002077E">
      <w:r w:rsidRPr="003C2BC2">
        <w:t>In the case referred to in subparagraph 1, it can therefore be determined whether the material used constitutes plastic and the product constitutes a single-use product (see the definitions in Section 3(1) and (2)). In the case referred to in subparagraph 2, it can be determined whether the product constitutes a product type as referred to in Annex 1; this is relevant, for example, for food containers or packets and wrappers based on the criteria set out in points 1 and 2 of Annex 1. In the case referred to in subparagraph 3, it can be determined whether a natural or legal person or partnership with legal capacity constitutes a producer within the meaning of Section 3, subparagraph 3, point a or b. This makes sense, inter alia, because of the separate definition of producer, which is not the same as in the Packaging Act (see comments on Section 3(3)). The second sentence makes it clear that designation can also be made in the form of a general order pursuant to the second sentence of Section 35 of the Administrative Procedure Act. If the Federal Environment Agency makes use of this option, the general order should be published and made available on the website of the Federal Environment Agency. Pursuant to Section 73(1) subparagraph 2 of the Code of Administrative Court Procedure, the Federal Environment Agency is also the authority with which objections may be lodged.</w:t>
      </w:r>
    </w:p>
    <w:p w14:paraId="057C9753" w14:textId="27A4C57D" w:rsidR="00B40399" w:rsidRPr="003C2BC2" w:rsidRDefault="00E47D4C" w:rsidP="00E47D4C">
      <w:r w:rsidRPr="003C2BC2">
        <w:rPr>
          <w:b/>
        </w:rPr>
        <w:t>Paragraph (2)</w:t>
      </w:r>
      <w:r w:rsidRPr="003C2BC2">
        <w:t xml:space="preserve"> clarifies that the Federal Environment Agency may adopt administrative provisions. Administrative provisions bind the authority and may facilitate designation as a single-use plastic product.</w:t>
      </w:r>
    </w:p>
    <w:p w14:paraId="7739238C" w14:textId="250BA938" w:rsidR="00861C47" w:rsidRPr="003C2BC2" w:rsidRDefault="00861C47" w:rsidP="00E47D4C">
      <w:r w:rsidRPr="003C2BC2">
        <w:rPr>
          <w:b/>
        </w:rPr>
        <w:t>Paragraph (3)</w:t>
      </w:r>
      <w:r w:rsidRPr="003C2BC2">
        <w:t xml:space="preserve"> lays down that the Federal Environment Agency may specify further instructions for communication with applicants for the simplification and acceleration of procedures.</w:t>
      </w:r>
    </w:p>
    <w:p w14:paraId="5E5F9414" w14:textId="41C14027" w:rsidR="006B3705" w:rsidRPr="003C2BC2" w:rsidRDefault="00B40399" w:rsidP="00E47D4C">
      <w:r w:rsidRPr="003C2BC2">
        <w:rPr>
          <w:b/>
        </w:rPr>
        <w:t>Paragraph (4)</w:t>
      </w:r>
      <w:r w:rsidRPr="003C2BC2">
        <w:t xml:space="preserve"> lays down that objection to the statement of determination has no suspensory effect. This is in line with the statutory order laid down in Section 13(5), according to which objection to the levy notice itself has no suspensory effect. Although the designation referred to in paragraph (1) is not required for the cost notice to be effective or lawful, it is important to avoid contradictory assessments in the same procedure.</w:t>
      </w:r>
    </w:p>
    <w:p w14:paraId="13C0B529" w14:textId="77777777" w:rsidR="006B3705" w:rsidRPr="003C2BC2" w:rsidRDefault="006B3705" w:rsidP="006B3705">
      <w:pPr>
        <w:rPr>
          <w:b/>
        </w:rPr>
      </w:pPr>
      <w:r w:rsidRPr="003C2BC2">
        <w:rPr>
          <w:b/>
        </w:rPr>
        <w:t>Part 8 (Single-use plastics commission)</w:t>
      </w:r>
    </w:p>
    <w:p w14:paraId="62F29CF7" w14:textId="7224A232" w:rsidR="006B3705" w:rsidRPr="003C2BC2" w:rsidRDefault="006B3705" w:rsidP="006B3705">
      <w:r w:rsidRPr="003C2BC2">
        <w:t>This Part deals with the single-use plastics commission, which participates in the establishment by Ordinance of the levy rates and the points system, as well as in the annual establishment of the points value and the designation of products as single-use plastic products.</w:t>
      </w:r>
    </w:p>
    <w:p w14:paraId="107C9CFB" w14:textId="15C41B56" w:rsidR="00E47D4C" w:rsidRPr="003C2BC2" w:rsidRDefault="006C7F22" w:rsidP="00BD40FC">
      <w:pPr>
        <w:keepNext/>
        <w:rPr>
          <w:b/>
        </w:rPr>
      </w:pPr>
      <w:r w:rsidRPr="003C2BC2">
        <w:rPr>
          <w:b/>
        </w:rPr>
        <w:lastRenderedPageBreak/>
        <w:t>Section 23 (Establishment, tasks and procedures)</w:t>
      </w:r>
    </w:p>
    <w:p w14:paraId="40995F7E" w14:textId="2DC6E4BF" w:rsidR="005D096A" w:rsidRPr="003C2BC2" w:rsidRDefault="00E47D4C" w:rsidP="00E47D4C">
      <w:r w:rsidRPr="003C2BC2">
        <w:rPr>
          <w:b/>
        </w:rPr>
        <w:t>Paragraph (1)</w:t>
      </w:r>
      <w:r w:rsidRPr="003C2BC2">
        <w:t>, first sentence stipulates the establishment of a single-use plastics commission, and its function as an advisory body is specified in the second sentence. The Federal Environment Agency is responsible for the initial and ongoing convening of the single-use plastics commission and its organisational management. The costs incurred by the Federal Environment Agency for such convening and organisational management are to be reimbursed as administration costs from the single-use plastics fund. After members have been appointed and the rules of procedure in accordance with paragraph (4) have been approved by the Federal Environment Agency, the commission may commence the advisory activities. In particular, the advice to be given to the Federal Ministry for the Environment, Nature Conservation, Nuclear Safety and Consumer Protection as referred to in the second sentence, subparagraph 1 when establishing the levy rates referred to in Section 14(1) and the points system referred to in Section 19(2) can only be given from then on. Due to the time-limit for the adoption of the Ordinance, the commission’s participation is ensured only if it is constituted swiftly after the Act enters into force.</w:t>
      </w:r>
    </w:p>
    <w:p w14:paraId="6F7D2B7E" w14:textId="41F2CA41" w:rsidR="0002077E" w:rsidRPr="003C2BC2" w:rsidRDefault="00E47D4C" w:rsidP="00E47D4C">
      <w:r w:rsidRPr="003C2BC2">
        <w:rPr>
          <w:b/>
        </w:rPr>
        <w:t>Paragraph (2)</w:t>
      </w:r>
      <w:r w:rsidRPr="003C2BC2">
        <w:t xml:space="preserve"> stipulates that the advisory decisions of the single-use plastics commission will be made as recommendations adopted by majority. It is clarified that more detailed rules, in particular on voting, are to be laid down in the rules of procedure in accordance with paragraph (4). A written or electronic circulation procedure is permitted as well as consultation in person. Further details on convening and organisation can be specified in the rules of procedure.</w:t>
      </w:r>
    </w:p>
    <w:p w14:paraId="48587C30" w14:textId="42423F4A" w:rsidR="00E47D4C" w:rsidRPr="003C2BC2" w:rsidRDefault="00E47D4C" w:rsidP="00E47D4C">
      <w:r w:rsidRPr="003C2BC2">
        <w:t>The advice of the single-use plastics commission on levy rates and the points system will be based on the results of the scientific findings referred to in the first sentence. This refers in particular to studies commissioned by the Federal Environment Agency. By means of the wording ‘third-party services used’, such studies fall under the definition of administration costs in Section 3 subparagraph 16 and are to be financed from revenue to the single-use plastics fund pursuant to Section 5(1).</w:t>
      </w:r>
    </w:p>
    <w:p w14:paraId="05A11FF9" w14:textId="244A31D0" w:rsidR="00E47D4C" w:rsidRPr="003C2BC2" w:rsidRDefault="00E47D4C" w:rsidP="00E47D4C">
      <w:r w:rsidRPr="003C2BC2">
        <w:rPr>
          <w:b/>
        </w:rPr>
        <w:t>Paragraph (3)</w:t>
      </w:r>
      <w:r w:rsidRPr="003C2BC2">
        <w:t xml:space="preserve"> allows the Federal Environment Agency to make a decision without taking a recommendation into account, if the single-use plastics commission submits no recommendation by the deadline set. This deadline is set by the Federal Environment Agency, exercising its organisational management role for the single-use plastics commission. The Federal Environment Agency may determine this deadline for all the advisory activities referred to in paragraph (1).</w:t>
      </w:r>
    </w:p>
    <w:p w14:paraId="06A94F1A" w14:textId="2EAD7295" w:rsidR="00F14D03" w:rsidRPr="003C2BC2" w:rsidRDefault="00E47D4C" w:rsidP="00E47D4C">
      <w:r w:rsidRPr="003C2BC2">
        <w:rPr>
          <w:b/>
        </w:rPr>
        <w:t>Paragraph (4)</w:t>
      </w:r>
      <w:r w:rsidRPr="003C2BC2">
        <w:t xml:space="preserve"> stipulates that the single-use plastics commission will perform its tasks on the basis of rules of procedure. The rules of procedure will be drawn up by the single-use plastics commission and require the approval of the Federal Environment Agency as the commission office. The rules of procedure and amendments thereto will also be adopted by majority of the votes cast.</w:t>
      </w:r>
    </w:p>
    <w:p w14:paraId="6847FE68" w14:textId="0282D3CD" w:rsidR="0010563D" w:rsidRPr="003C2BC2" w:rsidRDefault="00CF52D6" w:rsidP="00E47D4C">
      <w:r w:rsidRPr="003C2BC2">
        <w:t xml:space="preserve">Approval of the Federal Environment Agency of the rules of procedure has the effect of constituting the single-use plastic commission in accordance with the third sentence and therefore the work of the commission can be commenced upon approval. The provisions on the single-use plastics commission will enter into force in accordance with Article paragraph (1) on the day following promulgation. This is intended to enable the members to be appointed quickly in accordance with Section 24 and the rules of procedure to be adopted as the constituting act. This is required to ensure the single-use plastics commission is able to provide advice on the Ordinance to be adopted by 31 December 2023 pursuant to Section 14(1) and Section 19(2). Against this background, the fourth and fifth sentences govern the case where the commission meets, but does not submit any rules of procedure to the Federal Environment Agency for approval. The Federal Environment Agency may, firstly, request the commission to submit its rules of procedure by a deadline. If this deadline passes without rules of procedure being submitted, the above-mentioned procedures may also be </w:t>
      </w:r>
      <w:r w:rsidRPr="003C2BC2">
        <w:lastRenderedPageBreak/>
        <w:t>carried out without the involvement of the commission. This will ensure implementation of the Act.</w:t>
      </w:r>
    </w:p>
    <w:p w14:paraId="686039EF" w14:textId="35FAD522" w:rsidR="00E47D4C" w:rsidRPr="003C2BC2" w:rsidRDefault="00084A02" w:rsidP="00E47D4C">
      <w:pPr>
        <w:rPr>
          <w:b/>
        </w:rPr>
      </w:pPr>
      <w:r w:rsidRPr="003C2BC2">
        <w:rPr>
          <w:b/>
        </w:rPr>
        <w:t>Section 24 (Composition and nomination)</w:t>
      </w:r>
    </w:p>
    <w:p w14:paraId="1981FAA8" w14:textId="2B4F8AB8" w:rsidR="009B04D1" w:rsidRPr="003C2BC2" w:rsidRDefault="00E47D4C" w:rsidP="00E47D4C">
      <w:r w:rsidRPr="003C2BC2">
        <w:rPr>
          <w:b/>
        </w:rPr>
        <w:t>Paragraph (1)</w:t>
      </w:r>
      <w:r w:rsidRPr="003C2BC2">
        <w:t xml:space="preserve"> stipulates the number of members of the single-use plastics commission. The distribution of seats covers producers (subparagraph 1), the private waste management sector (subparagraph 2), the municipal operators (subparagraph 3 and 4), another representative of the beneficiaries, e.g. from the group of road construction authorities, the state forest industry or the federal authorities concerned (subparagraph 5) and the environmental and consumer associations (subparagraph 6 and 7). The entities referred to in the first sentence should seek to ensure that the seats in the single-use plastics commission are filled equally by men and women.</w:t>
      </w:r>
    </w:p>
    <w:p w14:paraId="2CE5F639" w14:textId="2C750799" w:rsidR="00F14D03" w:rsidRPr="003C2BC2" w:rsidRDefault="00FA2599" w:rsidP="00E47D4C">
      <w:r w:rsidRPr="003C2BC2">
        <w:t>The establishment of and appointment of members to the single-use plastics commission is intended to transpose the second clause of the first sentence of Article 8(4) of Directive (EU) 2019/904, which states that the costs to be reimbursed ‘shall be established in a transparent way between the actors concerned’. It should therefore be noted, first of all, that the costs are to be determined ‘between’ actors concerned and not ‘by’ them. This means that Member States are required to allow for appropriate exchanges between actors or to establish the organisational framework for this. Who precisely are ‘actors concerned’ in this sense is not defined in EU law. This depends, instead, on national implementation. In view of the objective of the Act (Section 1) and the diverse cooperation models with civil society organisations for combating littering, it seems justified to also use the expertise of environmental and consumer associations within the framework of the single-use plastics commission.</w:t>
      </w:r>
    </w:p>
    <w:p w14:paraId="4E9B7F82" w14:textId="6C8219F0" w:rsidR="00E47D4C" w:rsidRPr="003C2BC2" w:rsidRDefault="00E47D4C" w:rsidP="00E47D4C">
      <w:r w:rsidRPr="003C2BC2">
        <w:t>All members of the single-use plastics commission are entitled to vote; all votes count equally. The third and fourth sentences clarify that the members of the single-use plastics commission are volunteers and do not receive any remuneration or reimbursement of expenses.</w:t>
      </w:r>
    </w:p>
    <w:p w14:paraId="7112C63E" w14:textId="7AF38857" w:rsidR="003B6C90" w:rsidRPr="003C2BC2" w:rsidRDefault="00E47D4C" w:rsidP="00E47D4C">
      <w:r w:rsidRPr="003C2BC2">
        <w:rPr>
          <w:b/>
        </w:rPr>
        <w:t>Paragraph (2)</w:t>
      </w:r>
      <w:r w:rsidRPr="003C2BC2">
        <w:t xml:space="preserve"> specifies how the respective members are to be nominated. In this respect, the Federal Environment Agency will call on relevant stakeholders and associations to nominate their representatives. For this purpose, the Federal Environment Agency should first compile a list of the relevant institutions and associations and publish this for comments. This should also give non-listed associations or stakeholders an opportunity to be included in the list where they are sufficiently relevant. The Federal Environment Agency will then call on the listed institutions, in writing or electronically, to nominate their representatives within a period of time. It is then incumbent upon the respective associations and stakeholders to reach a consensus. This procedure applies to the initial seats to be filled and all subsequent seats, and thus to any seat vacated by a current member being dismissed. Further details, in particular the duration, the appointment and the dismissal or stepping down of members for other reasons, are be laid down in the rules of procedure.</w:t>
      </w:r>
    </w:p>
    <w:p w14:paraId="082EF6E3" w14:textId="4479E708" w:rsidR="00E47D4C" w:rsidRPr="003C2BC2" w:rsidRDefault="00E47D4C" w:rsidP="00B819AC">
      <w:r w:rsidRPr="003C2BC2">
        <w:t>If no consensus is reached between the associations and stakeholders by the deadline set by the Federal Environment Agency, the Federal Environment Agency will appoint the relevant members of the single-use plastics commission. This is intended to ensure implementation of the Act (see the comments on Section 23(4)). With respect to the establishment of the list and, where appropriate, the nomination of the members by the Federal Environment Agency, the associations referred to in Sections 10 and 12 of the foundation statutes of the Central Agency Packaging Register should be taken into account, supplemented by representatives for the product areas wet wipes, balloons and tobacco filters (products). When drawing up the list and, where appropriate, when representatives are being nominated by the Federal Environment Agency, particular attention must be paid to ensuring that the main industries are represented.</w:t>
      </w:r>
    </w:p>
    <w:p w14:paraId="0CC2101A" w14:textId="77777777" w:rsidR="006B3705" w:rsidRPr="003C2BC2" w:rsidRDefault="006B3705" w:rsidP="00BD40FC">
      <w:pPr>
        <w:keepNext/>
        <w:rPr>
          <w:b/>
        </w:rPr>
      </w:pPr>
      <w:r w:rsidRPr="003C2BC2">
        <w:rPr>
          <w:b/>
        </w:rPr>
        <w:lastRenderedPageBreak/>
        <w:t>Part 9 (Final provisions)</w:t>
      </w:r>
    </w:p>
    <w:p w14:paraId="0BF05A50" w14:textId="77777777" w:rsidR="006B3705" w:rsidRPr="003C2BC2" w:rsidRDefault="006B3705" w:rsidP="00B819AC">
      <w:r w:rsidRPr="003C2BC2">
        <w:t>This Part lays down, as is customary in Acts, the final provisions, in particular on legal and technical supervision, on regulatory offences and on evaluation.</w:t>
      </w:r>
    </w:p>
    <w:p w14:paraId="1EC570A1" w14:textId="78C20A9F" w:rsidR="00B819AC" w:rsidRPr="003C2BC2" w:rsidRDefault="00B819AC" w:rsidP="00B819AC">
      <w:pPr>
        <w:rPr>
          <w:b/>
        </w:rPr>
      </w:pPr>
      <w:r w:rsidRPr="003C2BC2">
        <w:rPr>
          <w:b/>
        </w:rPr>
        <w:t>Section 25 (Supervision)</w:t>
      </w:r>
    </w:p>
    <w:p w14:paraId="177E817F" w14:textId="356CC660" w:rsidR="00C14E7F" w:rsidRPr="003C2BC2" w:rsidRDefault="00B819AC" w:rsidP="00B819AC">
      <w:r w:rsidRPr="003C2BC2">
        <w:t>The provision lays down the rules on legal and technical supervision. Since the Federal Environment Agency is an authority subordinate to the Federal Ministry for the Environment, Nature Conservation, Nuclear Safety and Consumer Protection, said Ministry is responsible for both legal and technical supervision.</w:t>
      </w:r>
    </w:p>
    <w:p w14:paraId="6B3A90AB" w14:textId="3DAF4120" w:rsidR="00B819AC" w:rsidRPr="003C2BC2" w:rsidRDefault="00B819AC" w:rsidP="00B819AC">
      <w:pPr>
        <w:rPr>
          <w:b/>
        </w:rPr>
      </w:pPr>
      <w:r w:rsidRPr="003C2BC2">
        <w:rPr>
          <w:b/>
        </w:rPr>
        <w:t>Section 26 (Provisions on regulatory fines)</w:t>
      </w:r>
    </w:p>
    <w:p w14:paraId="40CCDE6A" w14:textId="429289F1" w:rsidR="00B819AC" w:rsidRPr="003C2BC2" w:rsidRDefault="00B819AC" w:rsidP="00B819AC">
      <w:r w:rsidRPr="003C2BC2">
        <w:t>The provision concerns the commission of regulatory offences and their prosecution. The provision is intended to transpose Article 14 of Directive (EU) 2019/904. Accordingly, Member States are required to lay down rules on penalties that apply to infringements of the national provisions adopted pursuant to this Directive. This includes infringements of the obligations arising from extended producer responsibility under Article 8 of Directive (EU) 2019/904.</w:t>
      </w:r>
    </w:p>
    <w:p w14:paraId="0E7D70BD" w14:textId="290314C3" w:rsidR="00B819AC" w:rsidRPr="003C2BC2" w:rsidRDefault="00B819AC" w:rsidP="00B819AC">
      <w:r w:rsidRPr="003C2BC2">
        <w:rPr>
          <w:b/>
        </w:rPr>
        <w:t>Paragraph (1)</w:t>
      </w:r>
      <w:r w:rsidRPr="003C2BC2">
        <w:t xml:space="preserve"> lays down the regulatory offences. These concern misconduct on the part of producers or authorised representatives as well as third parties in the supply chain.</w:t>
      </w:r>
    </w:p>
    <w:p w14:paraId="7D5AA92B" w14:textId="5626270C" w:rsidR="00B819AC" w:rsidRPr="003C2BC2" w:rsidRDefault="00B819AC" w:rsidP="00B819AC">
      <w:r w:rsidRPr="003C2BC2">
        <w:rPr>
          <w:b/>
        </w:rPr>
        <w:t>Paragraph (2)</w:t>
      </w:r>
      <w:r w:rsidRPr="003C2BC2">
        <w:t xml:space="preserve"> lays down the scope of possible fines. Infringements referred to in paragraph (1) subparagraph 1, subparagraph 2 point a, and subparagraphs 3 to 6 will be punishable by a fine of up to one hundred thousand euros and infringements referred to in the other subparagraphs by a fine of up to ten thousand euros. The background to this is that the former provisions on fines involve infringements of material obligations and the latter provisions on fines are only infringements of formal obligations.</w:t>
      </w:r>
    </w:p>
    <w:p w14:paraId="1A18E4C3" w14:textId="33FEE67C" w:rsidR="00B819AC" w:rsidRPr="003C2BC2" w:rsidRDefault="00B819AC" w:rsidP="00B819AC">
      <w:r w:rsidRPr="003C2BC2">
        <w:rPr>
          <w:b/>
        </w:rPr>
        <w:t>Paragraph (3)</w:t>
      </w:r>
      <w:r w:rsidRPr="003C2BC2">
        <w:t xml:space="preserve"> stipulates that prosecution of the regulatory offences is the responsibility of the Federal Environment Agency. Such responsibility corresponds to the other assignment of tasks with regard to the implementation of the Act. In order to carry out administrative procedures, the provisions of Sections 8a to 8e of the Administrative Procedure Act on cooperation with other authorities must also be observed.</w:t>
      </w:r>
    </w:p>
    <w:p w14:paraId="480CD658" w14:textId="6729C805" w:rsidR="00F11A47" w:rsidRPr="003C2BC2" w:rsidRDefault="00801E0F" w:rsidP="00B819AC">
      <w:pPr>
        <w:rPr>
          <w:b/>
        </w:rPr>
      </w:pPr>
      <w:r w:rsidRPr="003C2BC2">
        <w:rPr>
          <w:b/>
        </w:rPr>
        <w:t xml:space="preserve">Paragraph (4) </w:t>
      </w:r>
      <w:r w:rsidRPr="003C2BC2">
        <w:t xml:space="preserve">stipulates that fines and other amounts arising from a court order in connection with the prosecution of regulatory offences will accrue to the Federal Environment Agency. The prosecution by the Federal Environment Agency of regulatory offences under the Single-Use Plastics Fund Act requires the continuous provision of above-average expert knowledge; in addition, particularly intensive and time-consuming preliminary investigations by the Federal Environment Agency are regularly to be carried out. This means that the Federal Environment Agency will incur particularly high personnel and material costs. In the case of judicial review of fines, the special expertise of the Federal Environment Agency will be consulted regularly by the court or prosecutor’s office. In accordance with this burden on the Federal Environment Agency, it is appropriate to allocate the fines and other amounts to the federal treasury in all cases, irrespective of an administrative or judicial determination. Since the costs of the Federal Environment Agency regularly far exceed the enforcement costs of the Länder, this allocation also corresponds to the ratio of burdens and benefits. In addition, the federal treasury also bears the costs imposed by the court on the authorities. In this respect, the Single-Use Plastics Fund Act is modelled on the provisions of Section 45(4) of the Electrical and Electronic Equipment Act (cf. for reasoning </w:t>
      </w:r>
      <w:hyperlink r:id="rId13" w:history="1">
        <w:r w:rsidRPr="003C2BC2">
          <w:rPr>
            <w:rStyle w:val="Hyperlink"/>
            <w:color w:val="auto"/>
            <w:u w:val="none"/>
          </w:rPr>
          <w:t>Bundestag document 17/6052, page 109</w:t>
        </w:r>
      </w:hyperlink>
      <w:r w:rsidRPr="003C2BC2">
        <w:rPr>
          <w:sz w:val="24"/>
        </w:rPr>
        <w:t xml:space="preserve">) </w:t>
      </w:r>
      <w:r w:rsidRPr="003C2BC2">
        <w:t xml:space="preserve">and Section 29(4) of the Battery Act (cf. for </w:t>
      </w:r>
      <w:hyperlink r:id="rId14" w:history="1">
        <w:r w:rsidRPr="003C2BC2">
          <w:rPr>
            <w:rStyle w:val="Hyperlink"/>
            <w:color w:val="auto"/>
            <w:u w:val="none"/>
          </w:rPr>
          <w:t>reasoning Bundestag document 16/12227, page 32</w:t>
        </w:r>
      </w:hyperlink>
      <w:r w:rsidRPr="003C2BC2">
        <w:t>) with respect to the fines also enforced in said provisions by the Federal Environment Agency.</w:t>
      </w:r>
    </w:p>
    <w:p w14:paraId="2F87CF14" w14:textId="0AA7CB39" w:rsidR="00B819AC" w:rsidRPr="003C2BC2" w:rsidRDefault="00084A02" w:rsidP="00BD40FC">
      <w:pPr>
        <w:keepNext/>
        <w:rPr>
          <w:b/>
        </w:rPr>
      </w:pPr>
      <w:r w:rsidRPr="003C2BC2">
        <w:rPr>
          <w:b/>
        </w:rPr>
        <w:lastRenderedPageBreak/>
        <w:t>Section 27 (Confiscation)</w:t>
      </w:r>
    </w:p>
    <w:p w14:paraId="081FF555" w14:textId="30146D28" w:rsidR="00B819AC" w:rsidRPr="003C2BC2" w:rsidRDefault="00B819AC" w:rsidP="00B819AC">
      <w:r w:rsidRPr="003C2BC2">
        <w:t>The provision governs the confiscation of goods in association with regulatory offence proceedings. Like Section 26, it serves to transpose Article 14 of Directive (EU) 2019/904. Pursuant to Section 22 of the Act on Regulatory Offences, the confiscation of goods as a secondary consequence of a regulatory offence is permissible only if this is expressly permitted by an Act. The order is made by this provision; the further procedure for confiscation is governed by the Act on Regulatory Offences.</w:t>
      </w:r>
    </w:p>
    <w:p w14:paraId="4D1360CC" w14:textId="775F1D25" w:rsidR="00B819AC" w:rsidRPr="003C2BC2" w:rsidRDefault="00084A02" w:rsidP="00B819AC">
      <w:pPr>
        <w:rPr>
          <w:b/>
        </w:rPr>
      </w:pPr>
      <w:r w:rsidRPr="003C2BC2">
        <w:rPr>
          <w:b/>
        </w:rPr>
        <w:t>Section 28 (Evaluation)</w:t>
      </w:r>
    </w:p>
    <w:p w14:paraId="7B753E4F" w14:textId="7F824D44" w:rsidR="00B819AC" w:rsidRPr="003C2BC2" w:rsidRDefault="00B819AC" w:rsidP="00B819AC">
      <w:r w:rsidRPr="003C2BC2">
        <w:t>The provision obligates the Federal Government to evaluate achievement of the objectives of this Act five years after its entry into force. The background to this is that, firstly, the definition of product types under Directive (EU) 2019/904 being transposed by this Act is based on status quo ante. For example, the single-use plastic products most often carelessly discarded at that time were taken as a reference point for the scope (see recitals 5 and 7 of Directive (EU) 2019/904). In addition, products for which there were no readily available alternatives and therefore could not be prohibited were included under extended producer responsibility (see recital 21 of Directive (EU) 2019/904).</w:t>
      </w:r>
    </w:p>
    <w:p w14:paraId="5BE4527C" w14:textId="1AAC68C2" w:rsidR="00B819AC" w:rsidRPr="003C2BC2" w:rsidRDefault="00B819AC" w:rsidP="00B819AC">
      <w:r w:rsidRPr="003C2BC2">
        <w:t>In accordance with Article 15 of Directive (EU) 2019/904, the European Commission will submit an assessment of the Directive by 3 July 2027, including, for the first time, an assessment of the impact of extended producer responsibility for single-use plastic products as set out in Part E of the Annex to that Directive. Building on this report and the experience gained so far at the national level, the Federal Government will, by 31 December 2028, evaluate the Act. The evaluation date corresponds to the evaluations already laid down in the Single-Use Plastics Prohibition Ordinance (Bundestag document 19/20349), the Single-Use Plastics Labelling Ordinance (Bundestag document 19/26554) and the Act transposing provisions of the Single-Use Plastic Directive and the Waste Framework Directive in the Packaging Act and in other laws (Bundestag document 19/27634). For example, the acts transposing Directive (EU) 2019/904 can be evaluated jointly.</w:t>
      </w:r>
    </w:p>
    <w:p w14:paraId="613D4D90" w14:textId="007329DD" w:rsidR="00B819AC" w:rsidRPr="003C2BC2" w:rsidRDefault="00B819AC" w:rsidP="00B819AC">
      <w:r w:rsidRPr="003C2BC2">
        <w:t>The aim of the evaluation is to examine the impact of the provisions of this Act on the market situation of the above-mentioned single-use plastic products, to review changes in cleaning and disposal services as well as environmental cleanliness, and to examine relief of the general public by the reduction of fees. The impact of the awareness-raising measures can also be examined in this respect. Statistical data and studies may be used for the evaluation. However, further scientific findings may be necessary.</w:t>
      </w:r>
    </w:p>
    <w:p w14:paraId="07D58A72" w14:textId="243C7C4A" w:rsidR="00B819AC" w:rsidRPr="003C2BC2" w:rsidRDefault="00B819AC" w:rsidP="00B819AC">
      <w:pPr>
        <w:rPr>
          <w:b/>
        </w:rPr>
      </w:pPr>
      <w:r w:rsidRPr="003C2BC2">
        <w:rPr>
          <w:b/>
        </w:rPr>
        <w:t>Section 29 (Transitional provisions)</w:t>
      </w:r>
    </w:p>
    <w:p w14:paraId="0E27C09F" w14:textId="77777777" w:rsidR="009F05C4" w:rsidRPr="003C2BC2" w:rsidRDefault="00B819AC" w:rsidP="00B819AC">
      <w:r w:rsidRPr="003C2BC2">
        <w:t>This provision establishes all the transitional arrangements necessary to ensure the legally certain application of the provisions contained in this Act.</w:t>
      </w:r>
    </w:p>
    <w:p w14:paraId="669C8A76" w14:textId="633B8A0E" w:rsidR="007B6BD6" w:rsidRPr="003C2BC2" w:rsidRDefault="009F05C4" w:rsidP="00B819AC">
      <w:r w:rsidRPr="003C2BC2">
        <w:rPr>
          <w:b/>
        </w:rPr>
        <w:t>Paragraph (1)</w:t>
      </w:r>
      <w:r w:rsidRPr="003C2BC2">
        <w:t xml:space="preserve"> concerns the annual statement to be published by the Federal Environment Agency on revenue to and expenditure from the single-use plastics fund pursuant to Section 6. In accordance with Article 2(1), this provision will enter into force on 1 January 2024 in order to establish the necessary budgetary conditions in time. However, the first revenue and expenditure will not be accounted for until 2025, on the basis of the producer and beneficiary data notified in calendar year 2024. Against this background, it is stipulated that the first annual statement will be prepared and published for the 2025 financial year.</w:t>
      </w:r>
    </w:p>
    <w:p w14:paraId="575B0031" w14:textId="7E2C2209" w:rsidR="007B6BD6" w:rsidRPr="003C2BC2" w:rsidRDefault="007B6BD6" w:rsidP="00B819AC">
      <w:r w:rsidRPr="003C2BC2">
        <w:rPr>
          <w:b/>
        </w:rPr>
        <w:t>Paragraph (2)</w:t>
      </w:r>
      <w:r w:rsidRPr="003C2BC2">
        <w:t xml:space="preserve"> concerns the registration obligation for producers, which is to be complied with in accordance with Section 7(1) prior to the commencement of the activity. The registration obligation will enter into force on 1 January 2024 in accordance with Article 3(2). For producers who have already commenced their activities at that time, it is laid down that they must register with the Federal Environment Agency by the end of 31 December 2024. As a </w:t>
      </w:r>
      <w:r w:rsidRPr="003C2BC2">
        <w:lastRenderedPageBreak/>
        <w:t>result, producers already operating have a year to register. However, the first annual notification does not have to be made until 15 May 2025.</w:t>
      </w:r>
    </w:p>
    <w:p w14:paraId="262CF7EE" w14:textId="4D803870" w:rsidR="00B819AC" w:rsidRPr="003C2BC2" w:rsidRDefault="007B6BD6" w:rsidP="00B819AC">
      <w:r w:rsidRPr="003C2BC2">
        <w:rPr>
          <w:b/>
        </w:rPr>
        <w:t>Paragraph (3)</w:t>
      </w:r>
      <w:r w:rsidRPr="003C2BC2">
        <w:t xml:space="preserve"> concerns the appointment of an authorised representative by a producer not established in the territory where this Act applies. In accordance with Section 10(1), this appointment obligation is also linked to the date of commencing activities as a producer. Like paragraph (2), this provision also provides that producers who have already commenced their activities before the entry into force of the appointment obligation on 1 January 2024 must appoint an authorised representative by 31 December 2024. For the first annual notification, the above applies accordingly.</w:t>
      </w:r>
    </w:p>
    <w:p w14:paraId="26302800" w14:textId="2AB7A1E3" w:rsidR="00B819AC" w:rsidRPr="003C2BC2" w:rsidRDefault="00B819AC" w:rsidP="00B819AC">
      <w:pPr>
        <w:rPr>
          <w:b/>
        </w:rPr>
      </w:pPr>
      <w:r w:rsidRPr="003C2BC2">
        <w:rPr>
          <w:b/>
        </w:rPr>
        <w:t>Annex 1 (List of single-use plastic products)</w:t>
      </w:r>
    </w:p>
    <w:p w14:paraId="207B46DE" w14:textId="77777777" w:rsidR="00B819AC" w:rsidRPr="003C2BC2" w:rsidRDefault="00B819AC" w:rsidP="00B819AC">
      <w:r w:rsidRPr="003C2BC2">
        <w:t>The Annex lists the products affected by the Act and is intended to transpose Part E of the Annex to Directive (EU) 2019/904. The products listed here are subject to the provisions of the Act only if they are single-use plastic products. The concepts are defined for the purposes of the Act in Section 3 subparagraphs 1 and 2. The products listed in points 1 to 5 may be both packaging and non-packaging.</w:t>
      </w:r>
    </w:p>
    <w:p w14:paraId="345A7556" w14:textId="5B9B10EC" w:rsidR="00B819AC" w:rsidRPr="003C2BC2" w:rsidRDefault="00B819AC" w:rsidP="00B819AC">
      <w:r w:rsidRPr="003C2BC2">
        <w:t>The ‘European Commission guidelines on single-use plastic products in accordance with Directive (EU) 2019/904 of the European Parliament and of the Council on the reduction of the impact of certain plastic products on the environment’ may be used to interpret the list. In addition, pursuant to Section 22, a legally binding decision by the Federal Environment Agency in the form of a statement of determination can be obtained.</w:t>
      </w:r>
    </w:p>
    <w:p w14:paraId="0D54310C" w14:textId="77777777" w:rsidR="00B819AC" w:rsidRPr="003C2BC2" w:rsidRDefault="00B819AC" w:rsidP="00B819AC">
      <w:r w:rsidRPr="003C2BC2">
        <w:t>Although the Annex is exhaustive, it is designed in such a way that it can be expanded accordingly by adding new single-use plastic products.</w:t>
      </w:r>
    </w:p>
    <w:p w14:paraId="71EA53CD" w14:textId="77777777" w:rsidR="00B819AC" w:rsidRPr="003C2BC2" w:rsidRDefault="00B819AC" w:rsidP="00B819AC">
      <w:r w:rsidRPr="003C2BC2">
        <w:rPr>
          <w:b/>
        </w:rPr>
        <w:t>Point 1</w:t>
      </w:r>
      <w:r w:rsidRPr="003C2BC2">
        <w:t xml:space="preserve"> sets out the ‘to-go’ food containers, transposing point 1 of Section I of Part E of the Annex to Directive (EU) 2019/904. The provision is editorially aligned with the wording in Section 3(1) subparagraph 7 of the Single-Use Plastics Prohibition Ordinance. It should be noted that, under said provision, the placing on the market of to-go food containers made of expanded polystyrene has been prohibited since 3 July 2021, so that the reimbursement of costs under this Act can only apply to corresponding products made from other types of plastic.</w:t>
      </w:r>
    </w:p>
    <w:p w14:paraId="459DD363" w14:textId="77777777" w:rsidR="00B819AC" w:rsidRPr="003C2BC2" w:rsidRDefault="00B819AC" w:rsidP="00B819AC">
      <w:r w:rsidRPr="003C2BC2">
        <w:rPr>
          <w:b/>
        </w:rPr>
        <w:t xml:space="preserve">Point 2 </w:t>
      </w:r>
      <w:r w:rsidRPr="003C2BC2">
        <w:t>sets out the ‘to-go’ packets and wrappers, transposing point 2 of Section I of Part E of the Annex to Directive (EU) 2019/904. The division by letter, which is not used in EU law, is for the purposes of clarity only.</w:t>
      </w:r>
    </w:p>
    <w:p w14:paraId="52C356CE" w14:textId="30522959" w:rsidR="00B819AC" w:rsidRPr="003C2BC2" w:rsidRDefault="00B819AC" w:rsidP="00B819AC">
      <w:r w:rsidRPr="003C2BC2">
        <w:rPr>
          <w:b/>
        </w:rPr>
        <w:t>Point 3</w:t>
      </w:r>
      <w:r w:rsidRPr="003C2BC2">
        <w:t xml:space="preserve"> sets out the beverage containers, transposing point 3 of Section I of Part E of the Annex to Directive (EU) 2019/904. The provision is editorially aligned with the wording in Section 3 of the Single-Use Plastics Labelling Ordinance. It should be noted that the placing on the market of beverage containers made of expanded polystyrene has been prohibited since 3 July 2021 under Section 3(1) subparagraph 8 of the Single-Use Plastics Prohibition Ordinance, so that the reimbursement of costs under this Act can only apply to corresponding products made from other types of plastic. </w:t>
      </w:r>
    </w:p>
    <w:p w14:paraId="2AE5EE82" w14:textId="77777777" w:rsidR="00B819AC" w:rsidRPr="003C2BC2" w:rsidRDefault="00B819AC" w:rsidP="00B819AC">
      <w:r w:rsidRPr="003C2BC2">
        <w:rPr>
          <w:b/>
        </w:rPr>
        <w:t>Point 4</w:t>
      </w:r>
      <w:r w:rsidRPr="003C2BC2">
        <w:t xml:space="preserve"> sets out the beverage cups, transposing point 4 of Section I of Part E of the Annex to Directive (EU) 2019/904. It should be noted that the placing on the market of beverage cups made of expanded polystyrene has been prohibited since 3 July 2021 under Section 3(1) subparagraph 8 of the Single-Use Plastics Prohibition Ordinance, so that the reimbursement of costs under this Act can only apply to corresponding products made from other types of plastic.</w:t>
      </w:r>
    </w:p>
    <w:p w14:paraId="51FBCA9E" w14:textId="7E22A322" w:rsidR="00B819AC" w:rsidRPr="003C2BC2" w:rsidRDefault="00B819AC" w:rsidP="00B819AC">
      <w:r w:rsidRPr="003C2BC2">
        <w:rPr>
          <w:b/>
        </w:rPr>
        <w:t>Point 5</w:t>
      </w:r>
      <w:r w:rsidRPr="003C2BC2">
        <w:t xml:space="preserve"> sets out the lightweight plastic carrier bags, transposing point 5 of Section I of Part E of the Annex to Directive (EU) 2019/904. The references contained in the Directive have </w:t>
      </w:r>
      <w:r w:rsidRPr="003C2BC2">
        <w:lastRenderedPageBreak/>
        <w:t>been removed and the definitions of plastic carrier bag laid down in Article 3(1)(b) of Directive 94/62/EC and lightweight plastic carrier bag laid down in Article 3(1)(b) of Directive 94/62/EC have been incorporated into the provision.</w:t>
      </w:r>
    </w:p>
    <w:p w14:paraId="4398DDA0" w14:textId="77777777" w:rsidR="00B819AC" w:rsidRPr="003C2BC2" w:rsidRDefault="00B819AC" w:rsidP="00B819AC">
      <w:pPr>
        <w:rPr>
          <w:b/>
        </w:rPr>
      </w:pPr>
      <w:r w:rsidRPr="003C2BC2">
        <w:rPr>
          <w:b/>
        </w:rPr>
        <w:t>Point 6</w:t>
      </w:r>
      <w:r w:rsidRPr="003C2BC2">
        <w:t xml:space="preserve"> sets out wet wipes, transposing point 1 of Section II of Part E of the Annex to Directive (EU) 2019/904. The provision is editorially aligned with the wording in Section 4(1) subparagraph 3 of the Single-Use Plastics Labelling Ordinance.</w:t>
      </w:r>
    </w:p>
    <w:p w14:paraId="5A7B0EE0" w14:textId="1D1E4A39" w:rsidR="00B819AC" w:rsidRPr="003C2BC2" w:rsidRDefault="00B819AC" w:rsidP="00B819AC">
      <w:r w:rsidRPr="003C2BC2">
        <w:rPr>
          <w:b/>
        </w:rPr>
        <w:t>Point 7</w:t>
      </w:r>
      <w:r w:rsidRPr="003C2BC2">
        <w:t xml:space="preserve"> sets out balloons, transposing point 2 of Section II of Part E of the Annex to Directive (EU) 2019/904. It is irrelevant in this respect whether balloons are filled with the gas mixture of the Earth’s atmosphere (air) or are filled with another gas (e.g. helium). The provision corresponds to the prohibition on the placing on the market of balloon sticks pursuant to Section 3(1) subparagraph 6 of the Single-Use Plastics Prohibition Ordinance. The definition of balloon and the exception are identical.</w:t>
      </w:r>
    </w:p>
    <w:p w14:paraId="3DF699B7" w14:textId="11D956E6" w:rsidR="00B819AC" w:rsidRPr="003C2BC2" w:rsidRDefault="00B819AC" w:rsidP="00B819AC">
      <w:r w:rsidRPr="003C2BC2">
        <w:rPr>
          <w:b/>
        </w:rPr>
        <w:t>Point 8</w:t>
      </w:r>
      <w:r w:rsidRPr="003C2BC2">
        <w:t xml:space="preserve"> sets out tobacco products with plastic filters and plastic filters for use in tobacco products, transposing Section III of Part E of the Annex to Directive (EU) 2019/904. The provision is editorially adapted to the wording in Section 4(1) subparagraphs 4 and 2 of the Single-Use Plastics Labelling Ordinance. The term ‘tobacco product’ corresponds to the specification in point 18 of Article 3 of Directive (EU) 2019/904 and is identical to the concept of tobacco product referred to in point 4 of Article 2 of Directive (EU) 2014/40.</w:t>
      </w:r>
    </w:p>
    <w:p w14:paraId="3873E25D" w14:textId="77777777" w:rsidR="00B819AC" w:rsidRPr="003C2BC2" w:rsidRDefault="00B819AC" w:rsidP="00B819AC">
      <w:pPr>
        <w:rPr>
          <w:b/>
        </w:rPr>
      </w:pPr>
      <w:r w:rsidRPr="003C2BC2">
        <w:rPr>
          <w:b/>
        </w:rPr>
        <w:t>Annex 2 (Recovery of costs by product type)</w:t>
      </w:r>
    </w:p>
    <w:p w14:paraId="4B563141" w14:textId="71644EFB" w:rsidR="00F96606" w:rsidRPr="003C2BC2" w:rsidRDefault="00B819AC" w:rsidP="00C14E7F">
      <w:r w:rsidRPr="003C2BC2">
        <w:t>The annex sets out the allocation of costs to be borne by producers to the individual single-use plastic products. The annex is intended to transpose Articles 8(2) and (3) in conjunction with Part E of the Annex to Directive (EU) 2019/904. The background to the allocation is that the costs to be borne vary depending on the single-use plastic product. The annex is therefore directly related to Annex 1, which defines the single-use plastic products concerned and to the cost types defined in Section 3 subparagraphs 12 to 16. The annex is exhaustive, but it is designed in such a way that it can be expanded accordingly by the legislator adding new single-use plastic products or costs to be covered.</w:t>
      </w:r>
    </w:p>
    <w:p w14:paraId="50BFDE4E" w14:textId="4421E53E" w:rsidR="008E7E90" w:rsidRPr="003C2BC2" w:rsidRDefault="00F96606" w:rsidP="00C14E7F">
      <w:r w:rsidRPr="003C2BC2">
        <w:t>The differentiation made between beverage containers in general and single-use beverage bottles on which a deposit has been charged in accordance with Section 31 of the Packaging Act – a differentiation which is not made in the EU Directive – firstly makes it clear that single-use plastic beverage bottles on which a deposit has been charged fall within the scope of the Act, since EU law does not provide for such an exception. Secondly, however, a differentiation within the product group ‘beverage containers’ is possible due to the circumstances that prevail in Germany. The background to this is that, for single-use beverage bottles on which a deposit is charged under Section 31 of the Packaging Act, different levy rates are to be indicated. The levy rates are determined by means of Ordinance on the basis of the results of the sorting analyses (see Section 14(1)). Single-use beverage bottles on which a deposit is charged under Section 31 of the Packaging Act are much less likely to be found in public spaces than single-use beverage containers in general, and therefore the differentiation is appropriate and even necessary with a view to fair allocation of costs. As a result, the levy rate for single-use beverage bottles on which a deposit is charged, which is to be established by Ordinance in accordance with Section 14(2), will be significantly lower than the rate for other single-use beverage containers.</w:t>
      </w:r>
    </w:p>
    <w:p w14:paraId="6BC02BFA" w14:textId="3E2D65E0" w:rsidR="002F2A60" w:rsidRPr="003C2BC2" w:rsidRDefault="002F2A60" w:rsidP="00C14E7F">
      <w:pPr>
        <w:rPr>
          <w:b/>
        </w:rPr>
      </w:pPr>
      <w:r w:rsidRPr="003C2BC2">
        <w:rPr>
          <w:b/>
        </w:rPr>
        <w:t>Article 2 (Amendment to the Packaging Act)</w:t>
      </w:r>
      <w:r w:rsidRPr="003C2BC2">
        <w:t xml:space="preserve"> </w:t>
      </w:r>
    </w:p>
    <w:p w14:paraId="46640743" w14:textId="59E77FA8" w:rsidR="006E5C0A" w:rsidRPr="003C2BC2" w:rsidRDefault="00AC71F4" w:rsidP="00C14E7F">
      <w:r w:rsidRPr="003C2BC2">
        <w:t>Article 2 sets out the necessary amendments to Sections 26 and 27 of the Packaging Act and is closely related to the register in Article 1 Section 7 and the verification of data notifications by registered experts, auditors, tax consultants and sworn accountants in Section 11.</w:t>
      </w:r>
    </w:p>
    <w:p w14:paraId="5FAA0981" w14:textId="1B0E99CB" w:rsidR="00A510E4" w:rsidRPr="003C2BC2" w:rsidRDefault="00A510E4" w:rsidP="00A510E4">
      <w:r w:rsidRPr="003C2BC2">
        <w:rPr>
          <w:b/>
        </w:rPr>
        <w:lastRenderedPageBreak/>
        <w:t>Point 1</w:t>
      </w:r>
      <w:r w:rsidRPr="003C2BC2">
        <w:t xml:space="preserve"> </w:t>
      </w:r>
      <w:r w:rsidRPr="003C2BC2">
        <w:rPr>
          <w:b/>
        </w:rPr>
        <w:t>letter b</w:t>
      </w:r>
      <w:r w:rsidRPr="003C2BC2">
        <w:t xml:space="preserve"> adds two new tasks for the Central Agency, resulting from the rules governing the register in the second sentence of Article 1 Section 8(2) and (3). Accordingly, the Central Agency must transmit data for certain producers to the Federal Environment Agency. In addition, the Federal Environment Agency will transmit data from the register to the Central Agency every year. This data can be compared by the Central Agency with the packaging register. The newly inserted subparagraph 30 therefore slightly expands the range of tasks of the Central Agency and assigns to the Central Agency this new task of transmitting data to the Federal Environment Agency. The newly inserted subparagraph 31 therefore assigns to the Central Agency the task of receiving the data and, together with the Federal Environment Agency, defining the electronic format for data transmission. </w:t>
      </w:r>
    </w:p>
    <w:p w14:paraId="26BCF44B" w14:textId="78C6C6BD" w:rsidR="00B63C65" w:rsidRPr="003C2BC2" w:rsidRDefault="00B63C65" w:rsidP="00B63C65">
      <w:r w:rsidRPr="003C2BC2">
        <w:rPr>
          <w:b/>
        </w:rPr>
        <w:t>Letters a and c</w:t>
      </w:r>
      <w:r w:rsidRPr="003C2BC2">
        <w:t xml:space="preserve"> set out the necessary consequential amendments.</w:t>
      </w:r>
    </w:p>
    <w:p w14:paraId="06776F7B" w14:textId="584157AA" w:rsidR="006E5C0A" w:rsidRPr="003C2BC2" w:rsidRDefault="006E5C0A" w:rsidP="00C14E7F">
      <w:r w:rsidRPr="003C2BC2">
        <w:rPr>
          <w:b/>
        </w:rPr>
        <w:t xml:space="preserve">Point 2 </w:t>
      </w:r>
      <w:r w:rsidRPr="003C2BC2">
        <w:t xml:space="preserve"> adds to the scope of examination for the Central Agency when supervising registered experts, auditors, tax consultants and sworn accountants in accordance with Section 27(4) of the Packaging Act and stipulates that these </w:t>
      </w:r>
      <w:r w:rsidRPr="003C2BC2">
        <w:rPr>
          <w:rStyle w:val="RevisionText"/>
          <w:color w:val="auto"/>
        </w:rPr>
        <w:t>can also be removed from the Central Agency’s register of inspectors if they breach the verification guidelines under this Act when carrying out their expert verification.</w:t>
      </w:r>
      <w:r w:rsidRPr="003C2BC2">
        <w:t xml:space="preserve"> The provision is closely related to the provision in Article 1 Section 11(5). Accordingly, the Federal Environment Agency will develop verification guidelines that must be observed by registered experts, auditors, tax consultants and sworn accountants acting on the basis of Section 11(1). Infringements of the verification guidelines, which come to the attention of the Federal Environment Agency, will also be notified to the Central Agency without delay.</w:t>
      </w:r>
    </w:p>
    <w:p w14:paraId="1D799850" w14:textId="77777777" w:rsidR="002F2A60" w:rsidRPr="003C2BC2" w:rsidRDefault="002F2A60" w:rsidP="00C14E7F">
      <w:pPr>
        <w:rPr>
          <w:b/>
        </w:rPr>
      </w:pPr>
      <w:r w:rsidRPr="003C2BC2">
        <w:rPr>
          <w:b/>
        </w:rPr>
        <w:t>Article 3 (Entry into force)</w:t>
      </w:r>
    </w:p>
    <w:p w14:paraId="5CD4F2BA" w14:textId="4F9DEC05" w:rsidR="002F2A60" w:rsidRPr="003C2BC2" w:rsidRDefault="008B5FF5" w:rsidP="00C14E7F">
      <w:bookmarkStart w:id="27" w:name="E_UR_54c2c14c662c4b20b002eba702d82721"/>
      <w:bookmarkEnd w:id="27"/>
      <w:r w:rsidRPr="003C2BC2">
        <w:t xml:space="preserve">Article 3 lays down the entry into force of this Act. </w:t>
      </w:r>
    </w:p>
    <w:p w14:paraId="3A8210D7" w14:textId="6762D115" w:rsidR="008B5FF5" w:rsidRPr="003C2BC2" w:rsidRDefault="008B5FF5" w:rsidP="00C14E7F">
      <w:r w:rsidRPr="003C2BC2">
        <w:rPr>
          <w:b/>
        </w:rPr>
        <w:t>Paragraph (1)</w:t>
      </w:r>
      <w:r w:rsidRPr="003C2BC2">
        <w:t xml:space="preserve"> stipulates that Act will enter into force, subject to paragraphs (2) and (3), on the day following its promulgation.</w:t>
      </w:r>
    </w:p>
    <w:p w14:paraId="17DAAEEC" w14:textId="0F8B2B18" w:rsidR="00D22711" w:rsidRPr="003C2BC2" w:rsidRDefault="00754CAA" w:rsidP="00C14E7F">
      <w:r w:rsidRPr="003C2BC2">
        <w:rPr>
          <w:b/>
        </w:rPr>
        <w:t>Paragraph (2)</w:t>
      </w:r>
      <w:r w:rsidRPr="003C2BC2">
        <w:t xml:space="preserve"> specifies that both the obligation to pay the levy and the provisions relating to the registration obligation for producers and beneficiaries, as well as the establishment of the registers by the Federal Environment Agency, will enter into force on 1 January 2024. The aim is to ensure that the registration of producers and beneficiaries can take place in good time before the entry into force of the annual notification obligations. The ability to make determinations</w:t>
      </w:r>
      <w:bookmarkStart w:id="28" w:name="DQPErrorScope62C23474C69A99305B7BFF5757B"/>
      <w:r w:rsidRPr="003C2BC2">
        <w:t xml:space="preserve"> </w:t>
      </w:r>
      <w:bookmarkEnd w:id="28"/>
      <w:r w:rsidRPr="003C2BC2">
        <w:t>enters into force on the same date, enabling products to be designated as single-use plastic products and producers to be designated as such by means of administrative act. As a result, legal issues related to the obligation to register, can be determined by administrative act.</w:t>
      </w:r>
    </w:p>
    <w:p w14:paraId="218CB42A" w14:textId="3BAFB4D9" w:rsidR="00754CAA" w:rsidRPr="00666FD4" w:rsidRDefault="00D22711" w:rsidP="00C14E7F">
      <w:pPr>
        <w:rPr>
          <w:b/>
        </w:rPr>
      </w:pPr>
      <w:r w:rsidRPr="003C2BC2">
        <w:rPr>
          <w:b/>
        </w:rPr>
        <w:t xml:space="preserve">Paragraph (3) </w:t>
      </w:r>
      <w:r w:rsidRPr="003C2BC2">
        <w:t>finally lays down that the provisions on annual data notifications by producers and beneficiaries will enter into force on 1 January 2025. Since these are the material provisions on initial handling of claims for reimbursement, it is sufficient that they enter into force at the beginning of the financial year 2025. This means that the data notifications must be made for the first time by 15 May 2025, with the transmitted data relating to the then completed calendar year 2024.</w:t>
      </w:r>
    </w:p>
    <w:sectPr w:rsidR="00754CAA" w:rsidRPr="00666FD4" w:rsidSect="002B3C1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B876" w14:textId="77777777" w:rsidR="002E7539" w:rsidRDefault="002E7539" w:rsidP="00F53181">
      <w:pPr>
        <w:spacing w:before="0" w:after="0"/>
      </w:pPr>
      <w:r>
        <w:separator/>
      </w:r>
    </w:p>
  </w:endnote>
  <w:endnote w:type="continuationSeparator" w:id="0">
    <w:p w14:paraId="6F34085F" w14:textId="77777777" w:rsidR="002E7539" w:rsidRDefault="002E7539" w:rsidP="00F53181">
      <w:pPr>
        <w:spacing w:before="0" w:after="0"/>
      </w:pPr>
      <w:r>
        <w:continuationSeparator/>
      </w:r>
    </w:p>
  </w:endnote>
  <w:endnote w:type="continuationNotice" w:id="1">
    <w:p w14:paraId="2DA97568" w14:textId="77777777" w:rsidR="002E7539" w:rsidRDefault="002E75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7A16" w14:textId="77777777" w:rsidR="002E7539" w:rsidRDefault="002E7539" w:rsidP="00F53181">
      <w:pPr>
        <w:spacing w:before="0" w:after="0"/>
      </w:pPr>
      <w:r>
        <w:separator/>
      </w:r>
    </w:p>
  </w:footnote>
  <w:footnote w:type="continuationSeparator" w:id="0">
    <w:p w14:paraId="5C84FD56" w14:textId="77777777" w:rsidR="002E7539" w:rsidRDefault="002E7539" w:rsidP="00F53181">
      <w:pPr>
        <w:spacing w:before="0" w:after="0"/>
      </w:pPr>
      <w:r>
        <w:continuationSeparator/>
      </w:r>
    </w:p>
  </w:footnote>
  <w:footnote w:type="continuationNotice" w:id="1">
    <w:p w14:paraId="5CED36D1" w14:textId="77777777" w:rsidR="002E7539" w:rsidRDefault="002E7539">
      <w:pPr>
        <w:spacing w:before="0" w:after="0"/>
      </w:pPr>
    </w:p>
  </w:footnote>
  <w:footnote w:id="2">
    <w:p w14:paraId="030565F8" w14:textId="4A22AE5A" w:rsidR="009A673E" w:rsidRDefault="009A673E">
      <w:pPr>
        <w:pStyle w:val="FootnoteText"/>
      </w:pPr>
      <w:r>
        <w:rPr>
          <w:rStyle w:val="FootnoteReference"/>
        </w:rPr>
        <w:footnoteRef/>
      </w:r>
      <w:r>
        <w:rPr>
          <w:rStyle w:val="FootnoteReference"/>
          <w:vertAlign w:val="baseline"/>
        </w:rPr>
        <w:t>)</w:t>
      </w:r>
      <w:r>
        <w:tab/>
        <w:t>Articles 1 and 2 of this Act are intended to transpose Article 8(1) to (7) and Article 14 of Directive (EU) 2019/904</w:t>
      </w:r>
      <w:r>
        <w:rPr>
          <w:rStyle w:val="Marker1"/>
        </w:rPr>
        <w:t xml:space="preserve"> </w:t>
      </w:r>
      <w:r>
        <w:rPr>
          <w:rStyle w:val="Marker1"/>
          <w:color w:val="auto"/>
        </w:rPr>
        <w:t xml:space="preserve"> of the European Parliament and of the </w:t>
      </w:r>
      <w:r>
        <w:t>Council of 5 June 2019 on the reduction of the impact of certain plastic products on the environment (OJ L 155, 12.6.2019, p. 1).</w:t>
      </w:r>
    </w:p>
  </w:footnote>
  <w:footnote w:id="3">
    <w:p w14:paraId="39C6C79E" w14:textId="56A73DBD" w:rsidR="009A673E" w:rsidRPr="00B50049" w:rsidRDefault="009A673E" w:rsidP="007636CC">
      <w:pPr>
        <w:pStyle w:val="FootnoteText"/>
      </w:pPr>
      <w:r>
        <w:rPr>
          <w:rStyle w:val="FootnoteReference"/>
        </w:rPr>
        <w:footnoteRef/>
      </w:r>
      <w:r>
        <w:t>)</w:t>
      </w:r>
      <w:r>
        <w:tab/>
        <w:t>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 w:id="4">
    <w:p w14:paraId="0D06FE1A" w14:textId="77648740" w:rsidR="009A673E" w:rsidRDefault="009A673E" w:rsidP="000C02C7">
      <w:pPr>
        <w:pStyle w:val="FootnoteText"/>
      </w:pPr>
      <w:r>
        <w:rPr>
          <w:rStyle w:val="FootnoteReference"/>
        </w:rPr>
        <w:t>1</w:t>
      </w:r>
      <w:r>
        <w:rPr>
          <w:rStyle w:val="FootnoteReference"/>
          <w:vertAlign w:val="baseline"/>
        </w:rPr>
        <w:t>)</w:t>
      </w:r>
      <w:r>
        <w:tab/>
        <w:t>Tobacco products as defined in Article 2 of Directive 2014/40/EU of the European</w:t>
      </w:r>
      <w:r w:rsidR="00AB2F7F">
        <w:t xml:space="preserve"> </w:t>
      </w:r>
      <w:r>
        <w:t>Parliament and of the Council of 3 April 2014 on the approximation of the laws, regulations and administrative provisions of the Member States concerning the manufacture, presentation and sale of tobacco and related products and repealing Directive 2001/37/EC (OJ L 127, 29.4.2014,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81FB" w14:textId="570E7FCF" w:rsidR="009A673E" w:rsidRPr="002B3C19" w:rsidRDefault="002B3C19" w:rsidP="002B3C19">
    <w:pPr>
      <w:pStyle w:val="Header"/>
    </w:pPr>
    <w:r>
      <w:tab/>
      <w:t xml:space="preserve">- </w:t>
    </w:r>
    <w:r>
      <w:fldChar w:fldCharType="begin"/>
    </w:r>
    <w:r>
      <w:instrText xml:space="preserve"> PAGE  \* MERGEFORMAT </w:instrText>
    </w:r>
    <w:r>
      <w:fldChar w:fldCharType="separate"/>
    </w:r>
    <w:r>
      <w:t>2</w:t>
    </w:r>
    <w:r>
      <w:fldChar w:fldCharType="end"/>
    </w:r>
    <w:r>
      <w:t xml:space="preserve"> -</w:t>
    </w:r>
    <w:r>
      <w:tab/>
    </w:r>
    <w:r>
      <w:rPr>
        <w:sz w:val="18"/>
      </w:rPr>
      <w:t>As at: 15/07/2022  13:02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832F" w14:textId="122ACFE8" w:rsidR="009A673E" w:rsidRPr="002B3C19" w:rsidRDefault="002B3C19" w:rsidP="002B3C19">
    <w:pPr>
      <w:pStyle w:val="Header"/>
    </w:pPr>
    <w:r>
      <w:tab/>
    </w:r>
    <w:r>
      <w:tab/>
    </w:r>
    <w:r>
      <w:rPr>
        <w:sz w:val="18"/>
      </w:rPr>
      <w:t>As at: 15/07/2022  13:02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8AD097D"/>
    <w:multiLevelType w:val="hybridMultilevel"/>
    <w:tmpl w:val="46D6D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43BC038C"/>
    <w:name w:val="Artikel"/>
    <w:lvl w:ilvl="0">
      <w:start w:val="1"/>
      <w:numFmt w:val="decimal"/>
      <w:lvlRestart w:val="0"/>
      <w:pStyle w:val="ArtikelBezeichner"/>
      <w:suff w:val="nothing"/>
      <w:lvlText w:val="Article %1"/>
      <w:lvlJc w:val="left"/>
      <w:pPr>
        <w:ind w:left="720" w:hanging="720"/>
      </w:pPr>
      <w:rPr>
        <w:rFonts w:hint="default"/>
      </w:rPr>
    </w:lvl>
    <w:lvl w:ilvl="1">
      <w:start w:val="1"/>
      <w:numFmt w:val="decimal"/>
      <w:pStyle w:val="ParagraphBezeichner"/>
      <w:suff w:val="nothing"/>
      <w:lvlText w:val="Section %2"/>
      <w:lvlJc w:val="left"/>
      <w:pPr>
        <w:ind w:left="0" w:firstLine="0"/>
      </w:pPr>
      <w:rPr>
        <w:rFonts w:hint="default"/>
      </w:rPr>
    </w:lvl>
    <w:lvl w:ilvl="2">
      <w:start w:val="1"/>
      <w:numFmt w:val="decimal"/>
      <w:pStyle w:val="JuristischerAbsatznummeriert"/>
      <w:lvlText w:val="(%3)"/>
      <w:lvlJc w:val="left"/>
      <w:pPr>
        <w:tabs>
          <w:tab w:val="num" w:pos="850"/>
        </w:tabs>
        <w:ind w:left="0"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73430C9"/>
    <w:multiLevelType w:val="hybridMultilevel"/>
    <w:tmpl w:val="B5527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0"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3" w15:restartNumberingAfterBreak="0">
    <w:nsid w:val="2EC9068F"/>
    <w:multiLevelType w:val="hybridMultilevel"/>
    <w:tmpl w:val="BD304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2E23804"/>
    <w:multiLevelType w:val="hybridMultilevel"/>
    <w:tmpl w:val="578C1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4834BD9"/>
    <w:multiLevelType w:val="multilevel"/>
    <w:tmpl w:val="2AB0E6D0"/>
    <w:name w:val="Anlage Bezeichner (nummeriert)"/>
    <w:lvl w:ilvl="0">
      <w:start w:val="1"/>
      <w:numFmt w:val="decimal"/>
      <w:lvlRestart w:val="0"/>
      <w:pStyle w:val="AnlageBezeichnernummeriert"/>
      <w:suff w:val="nothing"/>
      <w:lvlText w:val="Annex %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7254C01"/>
    <w:multiLevelType w:val="hybridMultilevel"/>
    <w:tmpl w:val="0C5ED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8" w15:restartNumberingAfterBreak="0">
    <w:nsid w:val="3A616BF9"/>
    <w:multiLevelType w:val="hybridMultilevel"/>
    <w:tmpl w:val="01244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B3E7D26"/>
    <w:multiLevelType w:val="hybridMultilevel"/>
    <w:tmpl w:val="F14C6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31"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32"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4"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8940D07A"/>
    <w:name w:val="Ebenen Einzelvorschriften"/>
    <w:lvl w:ilvl="0">
      <w:start w:val="1"/>
      <w:numFmt w:val="decimal"/>
      <w:lvlRestart w:val="0"/>
      <w:pStyle w:val="BuchBezeichner"/>
      <w:suff w:val="nothing"/>
      <w:lvlText w:val="Buch %1"/>
      <w:lvlJc w:val="left"/>
      <w:pPr>
        <w:ind w:left="0" w:firstLine="0"/>
      </w:pPr>
      <w:rPr>
        <w:rFonts w:hint="default"/>
      </w:rPr>
    </w:lvl>
    <w:lvl w:ilvl="1">
      <w:start w:val="1"/>
      <w:numFmt w:val="decimal"/>
      <w:pStyle w:val="TeilBezeichner"/>
      <w:suff w:val="nothing"/>
      <w:lvlText w:val="Part %2"/>
      <w:lvlJc w:val="left"/>
      <w:pPr>
        <w:ind w:left="0" w:firstLine="0"/>
      </w:pPr>
      <w:rPr>
        <w:rFonts w:hint="default"/>
      </w:rPr>
    </w:lvl>
    <w:lvl w:ilvl="2">
      <w:start w:val="1"/>
      <w:numFmt w:val="decimal"/>
      <w:pStyle w:val="KapitelBezeichner"/>
      <w:suff w:val="nothing"/>
      <w:lvlText w:val="Kapitel %3"/>
      <w:lvlJc w:val="left"/>
      <w:pPr>
        <w:ind w:left="0" w:firstLine="0"/>
      </w:pPr>
      <w:rPr>
        <w:rFonts w:hint="default"/>
      </w:rPr>
    </w:lvl>
    <w:lvl w:ilvl="3">
      <w:start w:val="1"/>
      <w:numFmt w:val="decimal"/>
      <w:pStyle w:val="AbschnittBezeichner"/>
      <w:suff w:val="nothing"/>
      <w:lvlText w:val="Abschnitt %4"/>
      <w:lvlJc w:val="left"/>
      <w:pPr>
        <w:ind w:left="0" w:firstLine="0"/>
      </w:pPr>
      <w:rPr>
        <w:rFonts w:hint="default"/>
      </w:rPr>
    </w:lvl>
    <w:lvl w:ilvl="4">
      <w:start w:val="1"/>
      <w:numFmt w:val="decimal"/>
      <w:pStyle w:val="UnterabschnittBezeichner"/>
      <w:suff w:val="nothing"/>
      <w:lvlText w:val="Unterabschnitt %5"/>
      <w:lvlJc w:val="left"/>
      <w:pPr>
        <w:ind w:left="0" w:firstLine="0"/>
      </w:pPr>
      <w:rPr>
        <w:rFonts w:hint="default"/>
      </w:rPr>
    </w:lvl>
    <w:lvl w:ilvl="5">
      <w:start w:val="1"/>
      <w:numFmt w:val="decimal"/>
      <w:pStyle w:val="TitelBezeichner"/>
      <w:suff w:val="nothing"/>
      <w:lvlText w:val="Titel %6"/>
      <w:lvlJc w:val="left"/>
      <w:pPr>
        <w:ind w:left="0" w:firstLine="0"/>
      </w:pPr>
      <w:rPr>
        <w:rFonts w:hint="default"/>
      </w:rPr>
    </w:lvl>
    <w:lvl w:ilvl="6">
      <w:start w:val="1"/>
      <w:numFmt w:val="decimal"/>
      <w:pStyle w:val="UntertitelBezeichner"/>
      <w:suff w:val="nothing"/>
      <w:lvlText w:val="Untertitel %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8402F6B"/>
    <w:multiLevelType w:val="hybridMultilevel"/>
    <w:tmpl w:val="8AA6A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B16797E"/>
    <w:multiLevelType w:val="hybridMultilevel"/>
    <w:tmpl w:val="01127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2"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3"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16cid:durableId="755522214">
    <w:abstractNumId w:val="40"/>
  </w:num>
  <w:num w:numId="2" w16cid:durableId="1175000243">
    <w:abstractNumId w:val="26"/>
  </w:num>
  <w:num w:numId="3" w16cid:durableId="1646426578">
    <w:abstractNumId w:val="38"/>
  </w:num>
  <w:num w:numId="4" w16cid:durableId="16456925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82919">
    <w:abstractNumId w:val="25"/>
  </w:num>
  <w:num w:numId="6" w16cid:durableId="1354845576">
    <w:abstractNumId w:val="29"/>
  </w:num>
  <w:num w:numId="7" w16cid:durableId="855507493">
    <w:abstractNumId w:val="12"/>
  </w:num>
  <w:num w:numId="8" w16cid:durableId="794177531">
    <w:abstractNumId w:val="23"/>
  </w:num>
  <w:num w:numId="9" w16cid:durableId="947081065">
    <w:abstractNumId w:val="28"/>
  </w:num>
  <w:num w:numId="10" w16cid:durableId="54932342">
    <w:abstractNumId w:val="39"/>
  </w:num>
  <w:num w:numId="11" w16cid:durableId="936136560">
    <w:abstractNumId w:val="18"/>
  </w:num>
  <w:num w:numId="12" w16cid:durableId="475072712">
    <w:abstractNumId w:val="32"/>
    <w:lvlOverride w:ilvl="0">
      <w:startOverride w:val="1"/>
    </w:lvlOverride>
    <w:lvlOverride w:ilvl="1">
      <w:startOverride w:val="1"/>
    </w:lvlOverride>
    <w:lvlOverride w:ilvl="2">
      <w:startOverride w:val="1"/>
    </w:lvlOverride>
    <w:lvlOverride w:ilvl="3">
      <w:startOverride w:val="3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803168">
    <w:abstractNumId w:val="24"/>
  </w:num>
  <w:num w:numId="14" w16cid:durableId="326520557">
    <w:abstractNumId w:val="16"/>
  </w:num>
  <w:num w:numId="15" w16cid:durableId="723874060">
    <w:abstractNumId w:val="34"/>
  </w:num>
  <w:num w:numId="16" w16cid:durableId="263154361">
    <w:abstractNumId w:val="43"/>
  </w:num>
  <w:num w:numId="17" w16cid:durableId="2144615750">
    <w:abstractNumId w:val="33"/>
  </w:num>
  <w:num w:numId="18" w16cid:durableId="2088335348">
    <w:abstractNumId w:val="14"/>
  </w:num>
  <w:num w:numId="19" w16cid:durableId="2146197938">
    <w:abstractNumId w:val="22"/>
  </w:num>
  <w:num w:numId="20" w16cid:durableId="1267082740">
    <w:abstractNumId w:val="10"/>
  </w:num>
  <w:num w:numId="21" w16cid:durableId="397629841">
    <w:abstractNumId w:val="42"/>
  </w:num>
  <w:num w:numId="22" w16cid:durableId="2096170095">
    <w:abstractNumId w:val="25"/>
  </w:num>
  <w:num w:numId="23" w16cid:durableId="1069696100">
    <w:abstractNumId w:val="36"/>
  </w:num>
  <w:num w:numId="24" w16cid:durableId="1902790415">
    <w:abstractNumId w:val="13"/>
  </w:num>
  <w:num w:numId="25" w16cid:durableId="1380596203">
    <w:abstractNumId w:val="32"/>
  </w:num>
  <w:num w:numId="26" w16cid:durableId="753285825">
    <w:abstractNumId w:val="19"/>
  </w:num>
  <w:num w:numId="27" w16cid:durableId="178473374">
    <w:abstractNumId w:val="17"/>
  </w:num>
  <w:num w:numId="28" w16cid:durableId="902447085">
    <w:abstractNumId w:val="31"/>
  </w:num>
  <w:num w:numId="29" w16cid:durableId="1796093441">
    <w:abstractNumId w:val="37"/>
  </w:num>
  <w:num w:numId="30" w16cid:durableId="1567647405">
    <w:abstractNumId w:val="20"/>
  </w:num>
  <w:num w:numId="31" w16cid:durableId="1051923605">
    <w:abstractNumId w:val="27"/>
  </w:num>
  <w:num w:numId="32" w16cid:durableId="1429892195">
    <w:abstractNumId w:val="11"/>
  </w:num>
  <w:num w:numId="33" w16cid:durableId="1993363378">
    <w:abstractNumId w:val="30"/>
  </w:num>
  <w:num w:numId="34" w16cid:durableId="1874153686">
    <w:abstractNumId w:val="15"/>
  </w:num>
  <w:num w:numId="35" w16cid:durableId="1567498236">
    <w:abstractNumId w:val="41"/>
  </w:num>
  <w:num w:numId="36" w16cid:durableId="1743141813">
    <w:abstractNumId w:val="38"/>
  </w:num>
  <w:num w:numId="37" w16cid:durableId="1582905365">
    <w:abstractNumId w:val="21"/>
  </w:num>
  <w:num w:numId="38" w16cid:durableId="1867057509">
    <w:abstractNumId w:val="35"/>
  </w:num>
  <w:num w:numId="39" w16cid:durableId="848371494">
    <w:abstractNumId w:val="9"/>
  </w:num>
  <w:num w:numId="40" w16cid:durableId="1833988028">
    <w:abstractNumId w:val="7"/>
  </w:num>
  <w:num w:numId="41" w16cid:durableId="1115908246">
    <w:abstractNumId w:val="6"/>
  </w:num>
  <w:num w:numId="42" w16cid:durableId="771245986">
    <w:abstractNumId w:val="5"/>
  </w:num>
  <w:num w:numId="43" w16cid:durableId="362442188">
    <w:abstractNumId w:val="4"/>
  </w:num>
  <w:num w:numId="44" w16cid:durableId="1107771194">
    <w:abstractNumId w:val="8"/>
  </w:num>
  <w:num w:numId="45" w16cid:durableId="1138836153">
    <w:abstractNumId w:val="3"/>
  </w:num>
  <w:num w:numId="46" w16cid:durableId="1492140897">
    <w:abstractNumId w:val="2"/>
  </w:num>
  <w:num w:numId="47" w16cid:durableId="651638585">
    <w:abstractNumId w:val="1"/>
  </w:num>
  <w:num w:numId="48" w16cid:durableId="1358392421">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arbeitungsstandSaved" w:val="Bearbeitungsstand: 22.03.2022  16:38"/>
    <w:docVar w:name="BefehlsHistorie_BefehlsZähler" w:val="3"/>
    <w:docVar w:name="BefehlsKontext_SpeichernOOXML_Maximum" w:val="783ms"/>
    <w:docVar w:name="BefehlsKontext_SpeichernOOXML_Schnitt" w:val="783ms"/>
    <w:docVar w:name="DQCDuration" w:val="60406ms"/>
    <w:docVar w:name="DQCIGI06" w:val="1"/>
    <w:docVar w:name="DQCITD06" w:val="1"/>
    <w:docVar w:name="DQCPart_Begruendung" w:val="0"/>
    <w:docVar w:name="DQCPart_Dokument" w:val="0"/>
    <w:docVar w:name="DQCPart_Regelungsteil" w:val="0"/>
    <w:docVar w:name="DQCPart_Vorblatt" w:val="0"/>
    <w:docVar w:name="DQCResult_Aenderungsbefehl" w:val="0;1;0"/>
    <w:docVar w:name="DQCResult_Binnenverweise" w:val="0;0;0"/>
    <w:docVar w:name="DQCResult_Citations" w:val="0;1;0"/>
    <w:docVar w:name="DQCResult_EinzelneRegelungsteile" w:val="0;2;0"/>
    <w:docVar w:name="DQCResult_EmbeddedObjects" w:val="0;0;0"/>
    <w:docVar w:name="DQCResult_Gliederung" w:val="0;3;3"/>
    <w:docVar w:name="DQCResult_Graphics" w:val="0;0;0"/>
    <w:docVar w:name="DQCResult_Marker" w:val="0;0;0"/>
    <w:docVar w:name="DQCResult_Metadata" w:val="0;0;0"/>
    <w:docVar w:name="DQCResult_ModifiedCharFormat" w:val="0;0;0"/>
    <w:docVar w:name="DQCResult_ModifiedMargins" w:val="0;0;0"/>
    <w:docVar w:name="DQCResult_ModifiedNumbering" w:val="0;0;0"/>
    <w:docVar w:name="DQCResult_StructureCheck" w:val="0;0;0"/>
    <w:docVar w:name="DQCResult_SuperfluousWhitespace" w:val="10;0;0"/>
    <w:docVar w:name="DQCResult_TermsAndDiction" w:val="0;12;11"/>
    <w:docVar w:name="DQCResult_Verweise" w:val="0;0;0"/>
    <w:docVar w:name="DQCWithWarnings" w:val="1"/>
    <w:docVar w:name="eNorm_Property_Save_Classification" w:val=" "/>
    <w:docVar w:name="eNorm_Property_Save_Created using" w:val="LW 5.4, Build 20210916"/>
    <w:docVar w:name="eNorm_Property_Save_eNorm-Version Erstellung" w:val="4.3.0, Bundesregierung, [20210916]"/>
    <w:docVar w:name="eNorm_Property_Save_eNorm-Version letzte Bearbeitung" w:val="4.3.0 Bundesregierung [20210916]"/>
    <w:docVar w:name="eNorm_Property_Save_eNorm-Version letzte DQP" w:val="4.3.0, Bundesregierung, [20210916]"/>
    <w:docVar w:name="eNorm_Property_Save_eNorm-Version vorherige Bearbeitung" w:val="4.3.0 Bundesregierung [20210916]"/>
    <w:docVar w:name="eNorm_Property_Save_Kategorie" w:val="AENDER/ARTGES"/>
    <w:docVar w:name="eNorm_Property_Save_Last edited using" w:val="LW 5.4, Build 20210916"/>
    <w:docVar w:name="eNorm_Property_Save_Version" w:val="4.3.0.0"/>
    <w:docVar w:name="eNorm_Template_Save" w:val="AENDER.dotm"/>
    <w:docVar w:name="eNorm_Variable_Save_BMJ" w:val="True"/>
    <w:docVar w:name="eNorm_Variable_Save_CUSTOMER" w:val="8"/>
    <w:docVar w:name="eNorm_Variable_Save_LW_DocType" w:val="AENDER"/>
    <w:docVar w:name="eNorm_Variable_Save_LWCons_Langue" w:val="DE"/>
  </w:docVars>
  <w:rsids>
    <w:rsidRoot w:val="00611481"/>
    <w:rsid w:val="00002793"/>
    <w:rsid w:val="00005414"/>
    <w:rsid w:val="000054A7"/>
    <w:rsid w:val="000058D5"/>
    <w:rsid w:val="000061A2"/>
    <w:rsid w:val="000061F8"/>
    <w:rsid w:val="0000624E"/>
    <w:rsid w:val="000069A1"/>
    <w:rsid w:val="00006E2C"/>
    <w:rsid w:val="00007CBA"/>
    <w:rsid w:val="00007DAE"/>
    <w:rsid w:val="00010406"/>
    <w:rsid w:val="00010961"/>
    <w:rsid w:val="0001106D"/>
    <w:rsid w:val="0001232F"/>
    <w:rsid w:val="00013389"/>
    <w:rsid w:val="0001411B"/>
    <w:rsid w:val="00016ADA"/>
    <w:rsid w:val="00017F32"/>
    <w:rsid w:val="0002077E"/>
    <w:rsid w:val="0002180B"/>
    <w:rsid w:val="00021FD0"/>
    <w:rsid w:val="00023F09"/>
    <w:rsid w:val="00025FAD"/>
    <w:rsid w:val="00026B79"/>
    <w:rsid w:val="00026C91"/>
    <w:rsid w:val="00027CF3"/>
    <w:rsid w:val="000302F7"/>
    <w:rsid w:val="000303F4"/>
    <w:rsid w:val="00030BC0"/>
    <w:rsid w:val="00031021"/>
    <w:rsid w:val="00031305"/>
    <w:rsid w:val="00031E54"/>
    <w:rsid w:val="00032464"/>
    <w:rsid w:val="00032ACA"/>
    <w:rsid w:val="0003457F"/>
    <w:rsid w:val="00035EFC"/>
    <w:rsid w:val="0003686A"/>
    <w:rsid w:val="00036FA3"/>
    <w:rsid w:val="0003736D"/>
    <w:rsid w:val="00040C2C"/>
    <w:rsid w:val="00041F1A"/>
    <w:rsid w:val="00042812"/>
    <w:rsid w:val="00046DBF"/>
    <w:rsid w:val="0004729E"/>
    <w:rsid w:val="000473AB"/>
    <w:rsid w:val="00051C4C"/>
    <w:rsid w:val="00051F52"/>
    <w:rsid w:val="00054C57"/>
    <w:rsid w:val="00055133"/>
    <w:rsid w:val="000557D8"/>
    <w:rsid w:val="00060A65"/>
    <w:rsid w:val="00060BA5"/>
    <w:rsid w:val="00061F10"/>
    <w:rsid w:val="000641ED"/>
    <w:rsid w:val="00065B61"/>
    <w:rsid w:val="0006678B"/>
    <w:rsid w:val="00066D4C"/>
    <w:rsid w:val="000671EE"/>
    <w:rsid w:val="000679C7"/>
    <w:rsid w:val="00073454"/>
    <w:rsid w:val="000734D5"/>
    <w:rsid w:val="00074C3E"/>
    <w:rsid w:val="00074DE9"/>
    <w:rsid w:val="00075942"/>
    <w:rsid w:val="00075A68"/>
    <w:rsid w:val="00081737"/>
    <w:rsid w:val="000817FD"/>
    <w:rsid w:val="00081B40"/>
    <w:rsid w:val="00081C49"/>
    <w:rsid w:val="000843C7"/>
    <w:rsid w:val="00084A02"/>
    <w:rsid w:val="00085230"/>
    <w:rsid w:val="00086249"/>
    <w:rsid w:val="00086C3C"/>
    <w:rsid w:val="000900FD"/>
    <w:rsid w:val="00091571"/>
    <w:rsid w:val="000922E2"/>
    <w:rsid w:val="00094693"/>
    <w:rsid w:val="00095CE2"/>
    <w:rsid w:val="000971A7"/>
    <w:rsid w:val="00097D56"/>
    <w:rsid w:val="00097FFB"/>
    <w:rsid w:val="000A162C"/>
    <w:rsid w:val="000A1BFC"/>
    <w:rsid w:val="000A20C1"/>
    <w:rsid w:val="000A2515"/>
    <w:rsid w:val="000A459C"/>
    <w:rsid w:val="000A64EC"/>
    <w:rsid w:val="000A6DBA"/>
    <w:rsid w:val="000A7123"/>
    <w:rsid w:val="000A75C4"/>
    <w:rsid w:val="000B104E"/>
    <w:rsid w:val="000B1218"/>
    <w:rsid w:val="000B1407"/>
    <w:rsid w:val="000B2C20"/>
    <w:rsid w:val="000B355F"/>
    <w:rsid w:val="000B4B5E"/>
    <w:rsid w:val="000B5127"/>
    <w:rsid w:val="000B6164"/>
    <w:rsid w:val="000B6BBA"/>
    <w:rsid w:val="000B7531"/>
    <w:rsid w:val="000B771E"/>
    <w:rsid w:val="000B7A52"/>
    <w:rsid w:val="000B7C65"/>
    <w:rsid w:val="000B7D9E"/>
    <w:rsid w:val="000C02C7"/>
    <w:rsid w:val="000C06DE"/>
    <w:rsid w:val="000C09AC"/>
    <w:rsid w:val="000C0DFC"/>
    <w:rsid w:val="000C1898"/>
    <w:rsid w:val="000C1E83"/>
    <w:rsid w:val="000C350B"/>
    <w:rsid w:val="000C3792"/>
    <w:rsid w:val="000C5853"/>
    <w:rsid w:val="000C5E50"/>
    <w:rsid w:val="000C61D4"/>
    <w:rsid w:val="000C753A"/>
    <w:rsid w:val="000D16C9"/>
    <w:rsid w:val="000D30CF"/>
    <w:rsid w:val="000D4323"/>
    <w:rsid w:val="000D441E"/>
    <w:rsid w:val="000D45A5"/>
    <w:rsid w:val="000D5A63"/>
    <w:rsid w:val="000D6135"/>
    <w:rsid w:val="000D71AB"/>
    <w:rsid w:val="000E0BE9"/>
    <w:rsid w:val="000E0CDB"/>
    <w:rsid w:val="000E1817"/>
    <w:rsid w:val="000E3209"/>
    <w:rsid w:val="000E32BD"/>
    <w:rsid w:val="000E3431"/>
    <w:rsid w:val="000E36AA"/>
    <w:rsid w:val="000E4C2A"/>
    <w:rsid w:val="000E6D68"/>
    <w:rsid w:val="000F0900"/>
    <w:rsid w:val="000F1C27"/>
    <w:rsid w:val="000F2BC8"/>
    <w:rsid w:val="000F2D4F"/>
    <w:rsid w:val="000F2FF1"/>
    <w:rsid w:val="000F3DC3"/>
    <w:rsid w:val="000F494F"/>
    <w:rsid w:val="000F4D19"/>
    <w:rsid w:val="000F72AF"/>
    <w:rsid w:val="000F789F"/>
    <w:rsid w:val="001000EA"/>
    <w:rsid w:val="001008BC"/>
    <w:rsid w:val="00100D9F"/>
    <w:rsid w:val="0010563D"/>
    <w:rsid w:val="00106433"/>
    <w:rsid w:val="001064F6"/>
    <w:rsid w:val="001073A3"/>
    <w:rsid w:val="0011166A"/>
    <w:rsid w:val="0011335E"/>
    <w:rsid w:val="001155D6"/>
    <w:rsid w:val="00115C18"/>
    <w:rsid w:val="0011608B"/>
    <w:rsid w:val="00116F1A"/>
    <w:rsid w:val="001173A0"/>
    <w:rsid w:val="00117653"/>
    <w:rsid w:val="0012094F"/>
    <w:rsid w:val="00120DA4"/>
    <w:rsid w:val="00121539"/>
    <w:rsid w:val="001228FA"/>
    <w:rsid w:val="00123641"/>
    <w:rsid w:val="00123E72"/>
    <w:rsid w:val="00126539"/>
    <w:rsid w:val="001302D2"/>
    <w:rsid w:val="001306E5"/>
    <w:rsid w:val="001320A8"/>
    <w:rsid w:val="00132450"/>
    <w:rsid w:val="001324EA"/>
    <w:rsid w:val="001332D0"/>
    <w:rsid w:val="0013430F"/>
    <w:rsid w:val="00134E4B"/>
    <w:rsid w:val="00134F36"/>
    <w:rsid w:val="001354F2"/>
    <w:rsid w:val="001357F4"/>
    <w:rsid w:val="00141601"/>
    <w:rsid w:val="0014188F"/>
    <w:rsid w:val="00141BCA"/>
    <w:rsid w:val="00143643"/>
    <w:rsid w:val="001436EA"/>
    <w:rsid w:val="00146082"/>
    <w:rsid w:val="0014677F"/>
    <w:rsid w:val="0014685B"/>
    <w:rsid w:val="001479EE"/>
    <w:rsid w:val="00150205"/>
    <w:rsid w:val="00151144"/>
    <w:rsid w:val="00152202"/>
    <w:rsid w:val="00152345"/>
    <w:rsid w:val="00152CEA"/>
    <w:rsid w:val="00153358"/>
    <w:rsid w:val="00153B96"/>
    <w:rsid w:val="00155320"/>
    <w:rsid w:val="00155A17"/>
    <w:rsid w:val="00155A6F"/>
    <w:rsid w:val="00155E60"/>
    <w:rsid w:val="001571BF"/>
    <w:rsid w:val="00160EC6"/>
    <w:rsid w:val="001619E6"/>
    <w:rsid w:val="00162201"/>
    <w:rsid w:val="0016224D"/>
    <w:rsid w:val="00162BB5"/>
    <w:rsid w:val="0016356F"/>
    <w:rsid w:val="00163A0C"/>
    <w:rsid w:val="001640E1"/>
    <w:rsid w:val="001642C0"/>
    <w:rsid w:val="0016480A"/>
    <w:rsid w:val="00164A18"/>
    <w:rsid w:val="0016558D"/>
    <w:rsid w:val="001664DB"/>
    <w:rsid w:val="001668E9"/>
    <w:rsid w:val="00166B8B"/>
    <w:rsid w:val="0017005D"/>
    <w:rsid w:val="00170224"/>
    <w:rsid w:val="00171B8E"/>
    <w:rsid w:val="00176B60"/>
    <w:rsid w:val="0018020E"/>
    <w:rsid w:val="0018033D"/>
    <w:rsid w:val="0018066A"/>
    <w:rsid w:val="0018078B"/>
    <w:rsid w:val="00180842"/>
    <w:rsid w:val="00180A96"/>
    <w:rsid w:val="0018283E"/>
    <w:rsid w:val="00183BC3"/>
    <w:rsid w:val="00183DE1"/>
    <w:rsid w:val="00185F0F"/>
    <w:rsid w:val="001937B7"/>
    <w:rsid w:val="0019386E"/>
    <w:rsid w:val="00194BE0"/>
    <w:rsid w:val="00196860"/>
    <w:rsid w:val="00196E5F"/>
    <w:rsid w:val="00197697"/>
    <w:rsid w:val="001A075B"/>
    <w:rsid w:val="001A1D98"/>
    <w:rsid w:val="001A3B58"/>
    <w:rsid w:val="001A6CF2"/>
    <w:rsid w:val="001A7D27"/>
    <w:rsid w:val="001B0549"/>
    <w:rsid w:val="001B3F6F"/>
    <w:rsid w:val="001B7E49"/>
    <w:rsid w:val="001C2933"/>
    <w:rsid w:val="001C2DD4"/>
    <w:rsid w:val="001C5E92"/>
    <w:rsid w:val="001C6324"/>
    <w:rsid w:val="001C7D63"/>
    <w:rsid w:val="001D00CE"/>
    <w:rsid w:val="001D0C09"/>
    <w:rsid w:val="001D0D57"/>
    <w:rsid w:val="001D1DB7"/>
    <w:rsid w:val="001D3360"/>
    <w:rsid w:val="001D6D6E"/>
    <w:rsid w:val="001D7B87"/>
    <w:rsid w:val="001E028C"/>
    <w:rsid w:val="001E0730"/>
    <w:rsid w:val="001E11C6"/>
    <w:rsid w:val="001E44B0"/>
    <w:rsid w:val="001E5074"/>
    <w:rsid w:val="001E58D6"/>
    <w:rsid w:val="001E633C"/>
    <w:rsid w:val="001E7B7B"/>
    <w:rsid w:val="001F00F5"/>
    <w:rsid w:val="001F11C5"/>
    <w:rsid w:val="001F2799"/>
    <w:rsid w:val="001F3250"/>
    <w:rsid w:val="001F3605"/>
    <w:rsid w:val="001F4A5C"/>
    <w:rsid w:val="001F5C49"/>
    <w:rsid w:val="001F6448"/>
    <w:rsid w:val="0020044E"/>
    <w:rsid w:val="00200ED6"/>
    <w:rsid w:val="00204415"/>
    <w:rsid w:val="00205009"/>
    <w:rsid w:val="00205329"/>
    <w:rsid w:val="00205340"/>
    <w:rsid w:val="002069CA"/>
    <w:rsid w:val="00206CD6"/>
    <w:rsid w:val="0021048B"/>
    <w:rsid w:val="00211C14"/>
    <w:rsid w:val="00212488"/>
    <w:rsid w:val="002136E6"/>
    <w:rsid w:val="00216151"/>
    <w:rsid w:val="00216407"/>
    <w:rsid w:val="00216F12"/>
    <w:rsid w:val="0022021E"/>
    <w:rsid w:val="00220910"/>
    <w:rsid w:val="00220A1D"/>
    <w:rsid w:val="00220E6E"/>
    <w:rsid w:val="00221422"/>
    <w:rsid w:val="0022267E"/>
    <w:rsid w:val="00222DAC"/>
    <w:rsid w:val="00223249"/>
    <w:rsid w:val="00223692"/>
    <w:rsid w:val="00223C2C"/>
    <w:rsid w:val="00223D68"/>
    <w:rsid w:val="0022493A"/>
    <w:rsid w:val="002250A9"/>
    <w:rsid w:val="0022510B"/>
    <w:rsid w:val="00227264"/>
    <w:rsid w:val="00230675"/>
    <w:rsid w:val="0023126F"/>
    <w:rsid w:val="00231454"/>
    <w:rsid w:val="00232090"/>
    <w:rsid w:val="00235C62"/>
    <w:rsid w:val="00236CDB"/>
    <w:rsid w:val="00237A68"/>
    <w:rsid w:val="00237C06"/>
    <w:rsid w:val="00237E87"/>
    <w:rsid w:val="002420EB"/>
    <w:rsid w:val="00245193"/>
    <w:rsid w:val="00247CAC"/>
    <w:rsid w:val="00250BB5"/>
    <w:rsid w:val="00251180"/>
    <w:rsid w:val="002511A5"/>
    <w:rsid w:val="00252B26"/>
    <w:rsid w:val="00254126"/>
    <w:rsid w:val="0025487E"/>
    <w:rsid w:val="00255AB4"/>
    <w:rsid w:val="002620EA"/>
    <w:rsid w:val="002623A2"/>
    <w:rsid w:val="00262606"/>
    <w:rsid w:val="0026261A"/>
    <w:rsid w:val="0026394D"/>
    <w:rsid w:val="00264933"/>
    <w:rsid w:val="00264A4C"/>
    <w:rsid w:val="00264F55"/>
    <w:rsid w:val="00265E10"/>
    <w:rsid w:val="0026769F"/>
    <w:rsid w:val="00267D33"/>
    <w:rsid w:val="00270338"/>
    <w:rsid w:val="002717BD"/>
    <w:rsid w:val="0027304F"/>
    <w:rsid w:val="002738F9"/>
    <w:rsid w:val="00273950"/>
    <w:rsid w:val="00273E38"/>
    <w:rsid w:val="00274F16"/>
    <w:rsid w:val="00277E7F"/>
    <w:rsid w:val="002803CC"/>
    <w:rsid w:val="00280A0E"/>
    <w:rsid w:val="0028192F"/>
    <w:rsid w:val="002824A4"/>
    <w:rsid w:val="002841ED"/>
    <w:rsid w:val="00284558"/>
    <w:rsid w:val="0028484B"/>
    <w:rsid w:val="00284D96"/>
    <w:rsid w:val="00284EBB"/>
    <w:rsid w:val="002856E1"/>
    <w:rsid w:val="0028583C"/>
    <w:rsid w:val="00285C99"/>
    <w:rsid w:val="002867A9"/>
    <w:rsid w:val="00287B06"/>
    <w:rsid w:val="00292B63"/>
    <w:rsid w:val="00294F98"/>
    <w:rsid w:val="00295D29"/>
    <w:rsid w:val="00295F28"/>
    <w:rsid w:val="0029626C"/>
    <w:rsid w:val="002A1C2E"/>
    <w:rsid w:val="002A2BCA"/>
    <w:rsid w:val="002A34D3"/>
    <w:rsid w:val="002A4CD3"/>
    <w:rsid w:val="002A660B"/>
    <w:rsid w:val="002A79E9"/>
    <w:rsid w:val="002B0F44"/>
    <w:rsid w:val="002B1E43"/>
    <w:rsid w:val="002B2564"/>
    <w:rsid w:val="002B3C19"/>
    <w:rsid w:val="002B5B9F"/>
    <w:rsid w:val="002B5C91"/>
    <w:rsid w:val="002C00C2"/>
    <w:rsid w:val="002C04A6"/>
    <w:rsid w:val="002C04B3"/>
    <w:rsid w:val="002C0F8E"/>
    <w:rsid w:val="002C0FA4"/>
    <w:rsid w:val="002C3398"/>
    <w:rsid w:val="002C4183"/>
    <w:rsid w:val="002C5A3D"/>
    <w:rsid w:val="002C63C7"/>
    <w:rsid w:val="002C6DD4"/>
    <w:rsid w:val="002D0339"/>
    <w:rsid w:val="002D271A"/>
    <w:rsid w:val="002D2F06"/>
    <w:rsid w:val="002D3986"/>
    <w:rsid w:val="002D3FFD"/>
    <w:rsid w:val="002D452E"/>
    <w:rsid w:val="002D5B6E"/>
    <w:rsid w:val="002D5C3F"/>
    <w:rsid w:val="002D5D31"/>
    <w:rsid w:val="002D78A8"/>
    <w:rsid w:val="002E0E18"/>
    <w:rsid w:val="002E15E6"/>
    <w:rsid w:val="002E1F4A"/>
    <w:rsid w:val="002E2CFB"/>
    <w:rsid w:val="002E5EC4"/>
    <w:rsid w:val="002E6F79"/>
    <w:rsid w:val="002E7539"/>
    <w:rsid w:val="002E7769"/>
    <w:rsid w:val="002F1323"/>
    <w:rsid w:val="002F14AB"/>
    <w:rsid w:val="002F1657"/>
    <w:rsid w:val="002F1BC2"/>
    <w:rsid w:val="002F2A60"/>
    <w:rsid w:val="002F3D0D"/>
    <w:rsid w:val="00300BB8"/>
    <w:rsid w:val="003013E7"/>
    <w:rsid w:val="003014EE"/>
    <w:rsid w:val="00303CD7"/>
    <w:rsid w:val="0030592C"/>
    <w:rsid w:val="0030666B"/>
    <w:rsid w:val="00306E1E"/>
    <w:rsid w:val="00311BDB"/>
    <w:rsid w:val="003143A7"/>
    <w:rsid w:val="00314864"/>
    <w:rsid w:val="00315810"/>
    <w:rsid w:val="0031586B"/>
    <w:rsid w:val="003163B3"/>
    <w:rsid w:val="00316F9F"/>
    <w:rsid w:val="003177B1"/>
    <w:rsid w:val="00317DF7"/>
    <w:rsid w:val="00320873"/>
    <w:rsid w:val="00320C54"/>
    <w:rsid w:val="00320C90"/>
    <w:rsid w:val="00324510"/>
    <w:rsid w:val="00325040"/>
    <w:rsid w:val="0032569A"/>
    <w:rsid w:val="00331203"/>
    <w:rsid w:val="003312C5"/>
    <w:rsid w:val="0033201B"/>
    <w:rsid w:val="0033204F"/>
    <w:rsid w:val="0033330D"/>
    <w:rsid w:val="003338CC"/>
    <w:rsid w:val="00334073"/>
    <w:rsid w:val="003367F9"/>
    <w:rsid w:val="003371E4"/>
    <w:rsid w:val="00337343"/>
    <w:rsid w:val="00340436"/>
    <w:rsid w:val="0034277B"/>
    <w:rsid w:val="003437DF"/>
    <w:rsid w:val="00344745"/>
    <w:rsid w:val="00345F63"/>
    <w:rsid w:val="00351B24"/>
    <w:rsid w:val="00351D7D"/>
    <w:rsid w:val="00352F41"/>
    <w:rsid w:val="003533D6"/>
    <w:rsid w:val="003557FD"/>
    <w:rsid w:val="00356283"/>
    <w:rsid w:val="00356610"/>
    <w:rsid w:val="00357A6D"/>
    <w:rsid w:val="00357D50"/>
    <w:rsid w:val="00357F96"/>
    <w:rsid w:val="0036307F"/>
    <w:rsid w:val="00363215"/>
    <w:rsid w:val="00363AF2"/>
    <w:rsid w:val="00364C91"/>
    <w:rsid w:val="00365856"/>
    <w:rsid w:val="00365A9C"/>
    <w:rsid w:val="00367095"/>
    <w:rsid w:val="00367206"/>
    <w:rsid w:val="0036721C"/>
    <w:rsid w:val="00367B32"/>
    <w:rsid w:val="003718A7"/>
    <w:rsid w:val="00372C7C"/>
    <w:rsid w:val="003753B3"/>
    <w:rsid w:val="00376F74"/>
    <w:rsid w:val="00377182"/>
    <w:rsid w:val="00377A9E"/>
    <w:rsid w:val="00377C63"/>
    <w:rsid w:val="00377F6B"/>
    <w:rsid w:val="00380A39"/>
    <w:rsid w:val="003822CE"/>
    <w:rsid w:val="003827D0"/>
    <w:rsid w:val="00382F4D"/>
    <w:rsid w:val="00383A65"/>
    <w:rsid w:val="00386685"/>
    <w:rsid w:val="0039049C"/>
    <w:rsid w:val="0039464B"/>
    <w:rsid w:val="00395358"/>
    <w:rsid w:val="00395A02"/>
    <w:rsid w:val="003971E3"/>
    <w:rsid w:val="00397E96"/>
    <w:rsid w:val="00397F45"/>
    <w:rsid w:val="003A00E3"/>
    <w:rsid w:val="003A1A99"/>
    <w:rsid w:val="003A34F7"/>
    <w:rsid w:val="003A4462"/>
    <w:rsid w:val="003A4629"/>
    <w:rsid w:val="003A6115"/>
    <w:rsid w:val="003A7C31"/>
    <w:rsid w:val="003B0BA9"/>
    <w:rsid w:val="003B0F51"/>
    <w:rsid w:val="003B36CD"/>
    <w:rsid w:val="003B4641"/>
    <w:rsid w:val="003B6C90"/>
    <w:rsid w:val="003B7D68"/>
    <w:rsid w:val="003C09D5"/>
    <w:rsid w:val="003C2472"/>
    <w:rsid w:val="003C2BC2"/>
    <w:rsid w:val="003C2CA3"/>
    <w:rsid w:val="003C39DD"/>
    <w:rsid w:val="003C474D"/>
    <w:rsid w:val="003C4877"/>
    <w:rsid w:val="003C5163"/>
    <w:rsid w:val="003C5FE8"/>
    <w:rsid w:val="003C6853"/>
    <w:rsid w:val="003D0F5D"/>
    <w:rsid w:val="003D0FD3"/>
    <w:rsid w:val="003D2DA9"/>
    <w:rsid w:val="003D318C"/>
    <w:rsid w:val="003D482F"/>
    <w:rsid w:val="003D5211"/>
    <w:rsid w:val="003D5270"/>
    <w:rsid w:val="003D605F"/>
    <w:rsid w:val="003D62F7"/>
    <w:rsid w:val="003D6356"/>
    <w:rsid w:val="003E0906"/>
    <w:rsid w:val="003E18B4"/>
    <w:rsid w:val="003E20F0"/>
    <w:rsid w:val="003E27FF"/>
    <w:rsid w:val="003E3593"/>
    <w:rsid w:val="003E3EEC"/>
    <w:rsid w:val="003E429F"/>
    <w:rsid w:val="003E53F6"/>
    <w:rsid w:val="003E6FA4"/>
    <w:rsid w:val="003E7694"/>
    <w:rsid w:val="003F0600"/>
    <w:rsid w:val="003F2EAD"/>
    <w:rsid w:val="003F3E65"/>
    <w:rsid w:val="003F6B68"/>
    <w:rsid w:val="003F7005"/>
    <w:rsid w:val="003F72F9"/>
    <w:rsid w:val="003F7E65"/>
    <w:rsid w:val="004015C8"/>
    <w:rsid w:val="004018B8"/>
    <w:rsid w:val="00401A02"/>
    <w:rsid w:val="004030B0"/>
    <w:rsid w:val="0040381C"/>
    <w:rsid w:val="00405362"/>
    <w:rsid w:val="004058C6"/>
    <w:rsid w:val="00405942"/>
    <w:rsid w:val="00405F6B"/>
    <w:rsid w:val="0040731A"/>
    <w:rsid w:val="004101F9"/>
    <w:rsid w:val="0041059E"/>
    <w:rsid w:val="004118CA"/>
    <w:rsid w:val="00412D73"/>
    <w:rsid w:val="00415783"/>
    <w:rsid w:val="0041591A"/>
    <w:rsid w:val="00416AA9"/>
    <w:rsid w:val="00416E76"/>
    <w:rsid w:val="00417FB2"/>
    <w:rsid w:val="00420BE3"/>
    <w:rsid w:val="00420C99"/>
    <w:rsid w:val="00421126"/>
    <w:rsid w:val="00422E0E"/>
    <w:rsid w:val="00423C66"/>
    <w:rsid w:val="004243BA"/>
    <w:rsid w:val="004245DE"/>
    <w:rsid w:val="004267DC"/>
    <w:rsid w:val="00426816"/>
    <w:rsid w:val="00430E8A"/>
    <w:rsid w:val="00430F40"/>
    <w:rsid w:val="004319AD"/>
    <w:rsid w:val="0043297E"/>
    <w:rsid w:val="004352C9"/>
    <w:rsid w:val="004359DD"/>
    <w:rsid w:val="0043696A"/>
    <w:rsid w:val="004375D0"/>
    <w:rsid w:val="00437633"/>
    <w:rsid w:val="00437A2C"/>
    <w:rsid w:val="00437FF0"/>
    <w:rsid w:val="00440433"/>
    <w:rsid w:val="004408F9"/>
    <w:rsid w:val="00440C76"/>
    <w:rsid w:val="00440E51"/>
    <w:rsid w:val="0044138B"/>
    <w:rsid w:val="00441801"/>
    <w:rsid w:val="00442156"/>
    <w:rsid w:val="004422E2"/>
    <w:rsid w:val="00442AA6"/>
    <w:rsid w:val="00444650"/>
    <w:rsid w:val="00446793"/>
    <w:rsid w:val="004477FD"/>
    <w:rsid w:val="00447A51"/>
    <w:rsid w:val="0045070E"/>
    <w:rsid w:val="00450FE9"/>
    <w:rsid w:val="00452351"/>
    <w:rsid w:val="00452781"/>
    <w:rsid w:val="004528D1"/>
    <w:rsid w:val="00452D2C"/>
    <w:rsid w:val="00454394"/>
    <w:rsid w:val="004569B7"/>
    <w:rsid w:val="00456FBB"/>
    <w:rsid w:val="00457E89"/>
    <w:rsid w:val="00460043"/>
    <w:rsid w:val="00460BAB"/>
    <w:rsid w:val="004624FC"/>
    <w:rsid w:val="00463F31"/>
    <w:rsid w:val="0046451F"/>
    <w:rsid w:val="004649C6"/>
    <w:rsid w:val="00467500"/>
    <w:rsid w:val="00470B21"/>
    <w:rsid w:val="00472892"/>
    <w:rsid w:val="004733AA"/>
    <w:rsid w:val="00473FC0"/>
    <w:rsid w:val="004764E6"/>
    <w:rsid w:val="00476B10"/>
    <w:rsid w:val="00477B01"/>
    <w:rsid w:val="00481BFE"/>
    <w:rsid w:val="00481C24"/>
    <w:rsid w:val="00482BA3"/>
    <w:rsid w:val="00482BED"/>
    <w:rsid w:val="00482ECD"/>
    <w:rsid w:val="00483061"/>
    <w:rsid w:val="0048321D"/>
    <w:rsid w:val="004843BF"/>
    <w:rsid w:val="00485439"/>
    <w:rsid w:val="0048685C"/>
    <w:rsid w:val="00486C33"/>
    <w:rsid w:val="00490862"/>
    <w:rsid w:val="00493772"/>
    <w:rsid w:val="00495102"/>
    <w:rsid w:val="00496BB3"/>
    <w:rsid w:val="004A06E7"/>
    <w:rsid w:val="004A191F"/>
    <w:rsid w:val="004A1A35"/>
    <w:rsid w:val="004A3104"/>
    <w:rsid w:val="004A5C66"/>
    <w:rsid w:val="004A5DE6"/>
    <w:rsid w:val="004A7597"/>
    <w:rsid w:val="004B1FA8"/>
    <w:rsid w:val="004B4518"/>
    <w:rsid w:val="004B4FD4"/>
    <w:rsid w:val="004B64FC"/>
    <w:rsid w:val="004B651F"/>
    <w:rsid w:val="004B68C1"/>
    <w:rsid w:val="004B6F6E"/>
    <w:rsid w:val="004B7CD0"/>
    <w:rsid w:val="004B7CEE"/>
    <w:rsid w:val="004B7E0C"/>
    <w:rsid w:val="004C026D"/>
    <w:rsid w:val="004C05AF"/>
    <w:rsid w:val="004C0FD0"/>
    <w:rsid w:val="004C178A"/>
    <w:rsid w:val="004C376A"/>
    <w:rsid w:val="004C38C7"/>
    <w:rsid w:val="004C6124"/>
    <w:rsid w:val="004D046F"/>
    <w:rsid w:val="004D1DF8"/>
    <w:rsid w:val="004D3EFD"/>
    <w:rsid w:val="004D42D0"/>
    <w:rsid w:val="004D5735"/>
    <w:rsid w:val="004E2000"/>
    <w:rsid w:val="004E22DB"/>
    <w:rsid w:val="004E25CD"/>
    <w:rsid w:val="004E453C"/>
    <w:rsid w:val="004E4D74"/>
    <w:rsid w:val="004E5972"/>
    <w:rsid w:val="004E5FA7"/>
    <w:rsid w:val="004E68CB"/>
    <w:rsid w:val="004E6B9C"/>
    <w:rsid w:val="004E6D7C"/>
    <w:rsid w:val="004E7313"/>
    <w:rsid w:val="004F2C80"/>
    <w:rsid w:val="004F3129"/>
    <w:rsid w:val="004F3463"/>
    <w:rsid w:val="004F3F63"/>
    <w:rsid w:val="004F44C9"/>
    <w:rsid w:val="004F461D"/>
    <w:rsid w:val="004F4823"/>
    <w:rsid w:val="004F7C77"/>
    <w:rsid w:val="004F7F93"/>
    <w:rsid w:val="005009EF"/>
    <w:rsid w:val="0050180C"/>
    <w:rsid w:val="00502C46"/>
    <w:rsid w:val="00504DD1"/>
    <w:rsid w:val="00505B8E"/>
    <w:rsid w:val="005064D0"/>
    <w:rsid w:val="00506537"/>
    <w:rsid w:val="00507414"/>
    <w:rsid w:val="005079D5"/>
    <w:rsid w:val="00510113"/>
    <w:rsid w:val="00510857"/>
    <w:rsid w:val="00511B81"/>
    <w:rsid w:val="00511E78"/>
    <w:rsid w:val="00512408"/>
    <w:rsid w:val="00512EB7"/>
    <w:rsid w:val="0051558D"/>
    <w:rsid w:val="0051728F"/>
    <w:rsid w:val="00517A58"/>
    <w:rsid w:val="00517B7E"/>
    <w:rsid w:val="005200B6"/>
    <w:rsid w:val="005215A2"/>
    <w:rsid w:val="005226A4"/>
    <w:rsid w:val="00522DDF"/>
    <w:rsid w:val="00523324"/>
    <w:rsid w:val="00523B4B"/>
    <w:rsid w:val="0052407D"/>
    <w:rsid w:val="005256A5"/>
    <w:rsid w:val="0052601D"/>
    <w:rsid w:val="00527526"/>
    <w:rsid w:val="00530A0E"/>
    <w:rsid w:val="00533C22"/>
    <w:rsid w:val="00535CBA"/>
    <w:rsid w:val="0053630E"/>
    <w:rsid w:val="00537CBF"/>
    <w:rsid w:val="00537DF0"/>
    <w:rsid w:val="00540372"/>
    <w:rsid w:val="00540EA0"/>
    <w:rsid w:val="00540ED5"/>
    <w:rsid w:val="005415F2"/>
    <w:rsid w:val="00541E43"/>
    <w:rsid w:val="00541F60"/>
    <w:rsid w:val="00541FB8"/>
    <w:rsid w:val="005426E8"/>
    <w:rsid w:val="00544D99"/>
    <w:rsid w:val="00546E69"/>
    <w:rsid w:val="00547056"/>
    <w:rsid w:val="0055404E"/>
    <w:rsid w:val="005540EB"/>
    <w:rsid w:val="00556B41"/>
    <w:rsid w:val="005575F0"/>
    <w:rsid w:val="00557711"/>
    <w:rsid w:val="00560C61"/>
    <w:rsid w:val="00561B66"/>
    <w:rsid w:val="0056290F"/>
    <w:rsid w:val="00562936"/>
    <w:rsid w:val="00562BE6"/>
    <w:rsid w:val="005638A9"/>
    <w:rsid w:val="00564A59"/>
    <w:rsid w:val="00566B5F"/>
    <w:rsid w:val="00566FED"/>
    <w:rsid w:val="005672BA"/>
    <w:rsid w:val="00571472"/>
    <w:rsid w:val="00572340"/>
    <w:rsid w:val="00572906"/>
    <w:rsid w:val="00573A46"/>
    <w:rsid w:val="0057409A"/>
    <w:rsid w:val="00575092"/>
    <w:rsid w:val="00576FC9"/>
    <w:rsid w:val="0057749B"/>
    <w:rsid w:val="00581E2B"/>
    <w:rsid w:val="005830D0"/>
    <w:rsid w:val="00584C54"/>
    <w:rsid w:val="0058524B"/>
    <w:rsid w:val="00585707"/>
    <w:rsid w:val="005875D1"/>
    <w:rsid w:val="005916BC"/>
    <w:rsid w:val="00592121"/>
    <w:rsid w:val="00592A2D"/>
    <w:rsid w:val="00594FCE"/>
    <w:rsid w:val="005978EC"/>
    <w:rsid w:val="005A1C53"/>
    <w:rsid w:val="005A237B"/>
    <w:rsid w:val="005A2C56"/>
    <w:rsid w:val="005A37DD"/>
    <w:rsid w:val="005A3BB8"/>
    <w:rsid w:val="005A4A59"/>
    <w:rsid w:val="005A4B83"/>
    <w:rsid w:val="005A6026"/>
    <w:rsid w:val="005A6E28"/>
    <w:rsid w:val="005B17F4"/>
    <w:rsid w:val="005B2AAA"/>
    <w:rsid w:val="005B4EEB"/>
    <w:rsid w:val="005B5BD6"/>
    <w:rsid w:val="005B5F7F"/>
    <w:rsid w:val="005B7210"/>
    <w:rsid w:val="005B792D"/>
    <w:rsid w:val="005C0719"/>
    <w:rsid w:val="005C140C"/>
    <w:rsid w:val="005C3941"/>
    <w:rsid w:val="005C51B1"/>
    <w:rsid w:val="005C69C9"/>
    <w:rsid w:val="005C6DEB"/>
    <w:rsid w:val="005C6FE2"/>
    <w:rsid w:val="005D0415"/>
    <w:rsid w:val="005D096A"/>
    <w:rsid w:val="005D1E78"/>
    <w:rsid w:val="005D2054"/>
    <w:rsid w:val="005D3AD3"/>
    <w:rsid w:val="005D4F05"/>
    <w:rsid w:val="005D5892"/>
    <w:rsid w:val="005D5C5D"/>
    <w:rsid w:val="005D634A"/>
    <w:rsid w:val="005D6D87"/>
    <w:rsid w:val="005D706B"/>
    <w:rsid w:val="005E0911"/>
    <w:rsid w:val="005E18FD"/>
    <w:rsid w:val="005E1FA3"/>
    <w:rsid w:val="005E29FA"/>
    <w:rsid w:val="005E2D77"/>
    <w:rsid w:val="005E305F"/>
    <w:rsid w:val="005E3402"/>
    <w:rsid w:val="005E42A7"/>
    <w:rsid w:val="005E5A70"/>
    <w:rsid w:val="005E6020"/>
    <w:rsid w:val="005E6E8F"/>
    <w:rsid w:val="005E75E7"/>
    <w:rsid w:val="005E76A2"/>
    <w:rsid w:val="005E7841"/>
    <w:rsid w:val="005F1302"/>
    <w:rsid w:val="005F3069"/>
    <w:rsid w:val="005F5547"/>
    <w:rsid w:val="005F6CBD"/>
    <w:rsid w:val="00600CF1"/>
    <w:rsid w:val="00602EF9"/>
    <w:rsid w:val="006040E5"/>
    <w:rsid w:val="0060488D"/>
    <w:rsid w:val="00606472"/>
    <w:rsid w:val="00610377"/>
    <w:rsid w:val="00611481"/>
    <w:rsid w:val="00611BF1"/>
    <w:rsid w:val="00612A37"/>
    <w:rsid w:val="00614C14"/>
    <w:rsid w:val="00615C7D"/>
    <w:rsid w:val="006166D6"/>
    <w:rsid w:val="00616A8E"/>
    <w:rsid w:val="006172EA"/>
    <w:rsid w:val="00617C63"/>
    <w:rsid w:val="00620AF0"/>
    <w:rsid w:val="00623A7D"/>
    <w:rsid w:val="006244C1"/>
    <w:rsid w:val="00624AD0"/>
    <w:rsid w:val="006251BF"/>
    <w:rsid w:val="006268AB"/>
    <w:rsid w:val="006275C4"/>
    <w:rsid w:val="00630529"/>
    <w:rsid w:val="0063068A"/>
    <w:rsid w:val="00630D97"/>
    <w:rsid w:val="00631A9E"/>
    <w:rsid w:val="006326B3"/>
    <w:rsid w:val="006346D7"/>
    <w:rsid w:val="006347C0"/>
    <w:rsid w:val="00634E89"/>
    <w:rsid w:val="0063506F"/>
    <w:rsid w:val="00635B49"/>
    <w:rsid w:val="00635EC9"/>
    <w:rsid w:val="0063710F"/>
    <w:rsid w:val="0063770C"/>
    <w:rsid w:val="00637BAC"/>
    <w:rsid w:val="00637EA0"/>
    <w:rsid w:val="0064019E"/>
    <w:rsid w:val="0064031C"/>
    <w:rsid w:val="006406E2"/>
    <w:rsid w:val="00640AE4"/>
    <w:rsid w:val="00641614"/>
    <w:rsid w:val="006423CD"/>
    <w:rsid w:val="006446C6"/>
    <w:rsid w:val="00650125"/>
    <w:rsid w:val="006513B5"/>
    <w:rsid w:val="00653429"/>
    <w:rsid w:val="0065523B"/>
    <w:rsid w:val="0065750E"/>
    <w:rsid w:val="00657ED9"/>
    <w:rsid w:val="0066020C"/>
    <w:rsid w:val="006612AA"/>
    <w:rsid w:val="0066337E"/>
    <w:rsid w:val="00664512"/>
    <w:rsid w:val="006651D9"/>
    <w:rsid w:val="00665DB0"/>
    <w:rsid w:val="00666FD4"/>
    <w:rsid w:val="006671B7"/>
    <w:rsid w:val="006676C3"/>
    <w:rsid w:val="00670867"/>
    <w:rsid w:val="0067171A"/>
    <w:rsid w:val="00671C92"/>
    <w:rsid w:val="0067344A"/>
    <w:rsid w:val="0067358E"/>
    <w:rsid w:val="00673AC7"/>
    <w:rsid w:val="0067446D"/>
    <w:rsid w:val="00676073"/>
    <w:rsid w:val="00676BCA"/>
    <w:rsid w:val="00677F54"/>
    <w:rsid w:val="00680589"/>
    <w:rsid w:val="0068186E"/>
    <w:rsid w:val="00681917"/>
    <w:rsid w:val="006856D5"/>
    <w:rsid w:val="00690513"/>
    <w:rsid w:val="00691F0E"/>
    <w:rsid w:val="0069329F"/>
    <w:rsid w:val="006937A6"/>
    <w:rsid w:val="00693C53"/>
    <w:rsid w:val="006944A0"/>
    <w:rsid w:val="006947D9"/>
    <w:rsid w:val="00695DB9"/>
    <w:rsid w:val="006960DE"/>
    <w:rsid w:val="00696396"/>
    <w:rsid w:val="00696C30"/>
    <w:rsid w:val="006A0B9B"/>
    <w:rsid w:val="006A2098"/>
    <w:rsid w:val="006A53AC"/>
    <w:rsid w:val="006A7488"/>
    <w:rsid w:val="006A7B44"/>
    <w:rsid w:val="006B2752"/>
    <w:rsid w:val="006B3705"/>
    <w:rsid w:val="006B3951"/>
    <w:rsid w:val="006B421D"/>
    <w:rsid w:val="006B43F4"/>
    <w:rsid w:val="006B5F82"/>
    <w:rsid w:val="006B6145"/>
    <w:rsid w:val="006C0A75"/>
    <w:rsid w:val="006C0EE9"/>
    <w:rsid w:val="006C1196"/>
    <w:rsid w:val="006C12DA"/>
    <w:rsid w:val="006C187A"/>
    <w:rsid w:val="006C26DB"/>
    <w:rsid w:val="006C2DAD"/>
    <w:rsid w:val="006C30DB"/>
    <w:rsid w:val="006C34C9"/>
    <w:rsid w:val="006C5EE2"/>
    <w:rsid w:val="006C7796"/>
    <w:rsid w:val="006C7F22"/>
    <w:rsid w:val="006D0CB5"/>
    <w:rsid w:val="006D1A29"/>
    <w:rsid w:val="006D1E2C"/>
    <w:rsid w:val="006D3F88"/>
    <w:rsid w:val="006D53AF"/>
    <w:rsid w:val="006D63D1"/>
    <w:rsid w:val="006D7C21"/>
    <w:rsid w:val="006E088E"/>
    <w:rsid w:val="006E1ADB"/>
    <w:rsid w:val="006E2A7B"/>
    <w:rsid w:val="006E2FCA"/>
    <w:rsid w:val="006E49AF"/>
    <w:rsid w:val="006E4FBB"/>
    <w:rsid w:val="006E5B8A"/>
    <w:rsid w:val="006E5C0A"/>
    <w:rsid w:val="006F0DBB"/>
    <w:rsid w:val="006F13AD"/>
    <w:rsid w:val="006F24B4"/>
    <w:rsid w:val="006F3BB3"/>
    <w:rsid w:val="006F76F1"/>
    <w:rsid w:val="006F7C8D"/>
    <w:rsid w:val="00700F2B"/>
    <w:rsid w:val="00701431"/>
    <w:rsid w:val="00701A1E"/>
    <w:rsid w:val="007033AE"/>
    <w:rsid w:val="00707065"/>
    <w:rsid w:val="00707276"/>
    <w:rsid w:val="00711903"/>
    <w:rsid w:val="00713833"/>
    <w:rsid w:val="00715016"/>
    <w:rsid w:val="0071616F"/>
    <w:rsid w:val="007166B1"/>
    <w:rsid w:val="00720696"/>
    <w:rsid w:val="00724347"/>
    <w:rsid w:val="00724C30"/>
    <w:rsid w:val="00725C72"/>
    <w:rsid w:val="0072699C"/>
    <w:rsid w:val="00726B6E"/>
    <w:rsid w:val="00727480"/>
    <w:rsid w:val="00727D3E"/>
    <w:rsid w:val="00731133"/>
    <w:rsid w:val="0073153D"/>
    <w:rsid w:val="0073344F"/>
    <w:rsid w:val="007343B9"/>
    <w:rsid w:val="00735F94"/>
    <w:rsid w:val="007378F8"/>
    <w:rsid w:val="007403CD"/>
    <w:rsid w:val="00741A0E"/>
    <w:rsid w:val="00741CFE"/>
    <w:rsid w:val="00743772"/>
    <w:rsid w:val="0074691F"/>
    <w:rsid w:val="0075022E"/>
    <w:rsid w:val="0075119D"/>
    <w:rsid w:val="00751A47"/>
    <w:rsid w:val="00752081"/>
    <w:rsid w:val="0075293B"/>
    <w:rsid w:val="00754CAA"/>
    <w:rsid w:val="00756BB4"/>
    <w:rsid w:val="007579E4"/>
    <w:rsid w:val="0076046C"/>
    <w:rsid w:val="007604EE"/>
    <w:rsid w:val="007607C2"/>
    <w:rsid w:val="007621CB"/>
    <w:rsid w:val="007628F0"/>
    <w:rsid w:val="007636CC"/>
    <w:rsid w:val="00763CA3"/>
    <w:rsid w:val="007653BB"/>
    <w:rsid w:val="00766895"/>
    <w:rsid w:val="0077048D"/>
    <w:rsid w:val="00770558"/>
    <w:rsid w:val="00771487"/>
    <w:rsid w:val="00772E4B"/>
    <w:rsid w:val="007735A1"/>
    <w:rsid w:val="00773A87"/>
    <w:rsid w:val="00776180"/>
    <w:rsid w:val="00776439"/>
    <w:rsid w:val="00781EF4"/>
    <w:rsid w:val="00783CB0"/>
    <w:rsid w:val="00786134"/>
    <w:rsid w:val="00787961"/>
    <w:rsid w:val="007905AC"/>
    <w:rsid w:val="00791B81"/>
    <w:rsid w:val="00791E2B"/>
    <w:rsid w:val="00792444"/>
    <w:rsid w:val="00792573"/>
    <w:rsid w:val="00793238"/>
    <w:rsid w:val="00793B4A"/>
    <w:rsid w:val="007941D5"/>
    <w:rsid w:val="0079443D"/>
    <w:rsid w:val="00794F3B"/>
    <w:rsid w:val="00797E1C"/>
    <w:rsid w:val="007A2349"/>
    <w:rsid w:val="007A2FA3"/>
    <w:rsid w:val="007A429E"/>
    <w:rsid w:val="007A44C1"/>
    <w:rsid w:val="007A5059"/>
    <w:rsid w:val="007A535E"/>
    <w:rsid w:val="007A646C"/>
    <w:rsid w:val="007B074A"/>
    <w:rsid w:val="007B0E10"/>
    <w:rsid w:val="007B177D"/>
    <w:rsid w:val="007B2F56"/>
    <w:rsid w:val="007B338A"/>
    <w:rsid w:val="007B6BD6"/>
    <w:rsid w:val="007B7257"/>
    <w:rsid w:val="007C05B2"/>
    <w:rsid w:val="007C13B5"/>
    <w:rsid w:val="007C32DF"/>
    <w:rsid w:val="007C3AF6"/>
    <w:rsid w:val="007C43B2"/>
    <w:rsid w:val="007C624C"/>
    <w:rsid w:val="007C73F0"/>
    <w:rsid w:val="007D01E4"/>
    <w:rsid w:val="007D03B9"/>
    <w:rsid w:val="007D04D5"/>
    <w:rsid w:val="007D32BF"/>
    <w:rsid w:val="007D3A09"/>
    <w:rsid w:val="007D400A"/>
    <w:rsid w:val="007E3B3C"/>
    <w:rsid w:val="007E50EE"/>
    <w:rsid w:val="007E5D8A"/>
    <w:rsid w:val="007E70A2"/>
    <w:rsid w:val="007E7170"/>
    <w:rsid w:val="007E754E"/>
    <w:rsid w:val="007F1F8A"/>
    <w:rsid w:val="007F225D"/>
    <w:rsid w:val="007F23A9"/>
    <w:rsid w:val="007F4832"/>
    <w:rsid w:val="007F4AF1"/>
    <w:rsid w:val="007F5172"/>
    <w:rsid w:val="007F53DD"/>
    <w:rsid w:val="007F79AA"/>
    <w:rsid w:val="008005D2"/>
    <w:rsid w:val="00800FFF"/>
    <w:rsid w:val="00801E0F"/>
    <w:rsid w:val="00802277"/>
    <w:rsid w:val="0080230A"/>
    <w:rsid w:val="00802B8D"/>
    <w:rsid w:val="00804335"/>
    <w:rsid w:val="008059DE"/>
    <w:rsid w:val="00806606"/>
    <w:rsid w:val="00811F87"/>
    <w:rsid w:val="00812A0C"/>
    <w:rsid w:val="00812CF2"/>
    <w:rsid w:val="00813447"/>
    <w:rsid w:val="00814D5D"/>
    <w:rsid w:val="00814D5E"/>
    <w:rsid w:val="0081576E"/>
    <w:rsid w:val="00815ED5"/>
    <w:rsid w:val="0081625C"/>
    <w:rsid w:val="00816BE3"/>
    <w:rsid w:val="0081712D"/>
    <w:rsid w:val="00817A52"/>
    <w:rsid w:val="00820C61"/>
    <w:rsid w:val="00820FE6"/>
    <w:rsid w:val="008214B3"/>
    <w:rsid w:val="008219A4"/>
    <w:rsid w:val="00822858"/>
    <w:rsid w:val="00822B52"/>
    <w:rsid w:val="00824269"/>
    <w:rsid w:val="00824890"/>
    <w:rsid w:val="008260FE"/>
    <w:rsid w:val="00830112"/>
    <w:rsid w:val="0083106A"/>
    <w:rsid w:val="008310EE"/>
    <w:rsid w:val="008319A4"/>
    <w:rsid w:val="00831E8A"/>
    <w:rsid w:val="00832A05"/>
    <w:rsid w:val="00832B6D"/>
    <w:rsid w:val="00832B6E"/>
    <w:rsid w:val="00833555"/>
    <w:rsid w:val="00833872"/>
    <w:rsid w:val="00833CEF"/>
    <w:rsid w:val="00833EEC"/>
    <w:rsid w:val="00834F9F"/>
    <w:rsid w:val="0083562C"/>
    <w:rsid w:val="00835EE0"/>
    <w:rsid w:val="0083688A"/>
    <w:rsid w:val="00836A77"/>
    <w:rsid w:val="00837BCD"/>
    <w:rsid w:val="00837F1F"/>
    <w:rsid w:val="00837F83"/>
    <w:rsid w:val="0084006C"/>
    <w:rsid w:val="0084065B"/>
    <w:rsid w:val="00840B77"/>
    <w:rsid w:val="00842771"/>
    <w:rsid w:val="00844D22"/>
    <w:rsid w:val="00846C05"/>
    <w:rsid w:val="00846D91"/>
    <w:rsid w:val="00847F8C"/>
    <w:rsid w:val="0085123E"/>
    <w:rsid w:val="00851666"/>
    <w:rsid w:val="0085191C"/>
    <w:rsid w:val="0085292E"/>
    <w:rsid w:val="008537CB"/>
    <w:rsid w:val="00853FC7"/>
    <w:rsid w:val="008561D7"/>
    <w:rsid w:val="0085775F"/>
    <w:rsid w:val="008605E7"/>
    <w:rsid w:val="00861C47"/>
    <w:rsid w:val="0086309A"/>
    <w:rsid w:val="00864E47"/>
    <w:rsid w:val="0086770B"/>
    <w:rsid w:val="00872781"/>
    <w:rsid w:val="008728EC"/>
    <w:rsid w:val="00873B92"/>
    <w:rsid w:val="008743AE"/>
    <w:rsid w:val="008751A3"/>
    <w:rsid w:val="00875BCD"/>
    <w:rsid w:val="008770D1"/>
    <w:rsid w:val="00880B0A"/>
    <w:rsid w:val="00881D66"/>
    <w:rsid w:val="00882B4D"/>
    <w:rsid w:val="008839C6"/>
    <w:rsid w:val="008841DD"/>
    <w:rsid w:val="008863CF"/>
    <w:rsid w:val="008868F1"/>
    <w:rsid w:val="00887901"/>
    <w:rsid w:val="00890C26"/>
    <w:rsid w:val="0089130C"/>
    <w:rsid w:val="008913DB"/>
    <w:rsid w:val="00891964"/>
    <w:rsid w:val="00895742"/>
    <w:rsid w:val="0089630B"/>
    <w:rsid w:val="00897396"/>
    <w:rsid w:val="008979DD"/>
    <w:rsid w:val="008A036E"/>
    <w:rsid w:val="008A42CA"/>
    <w:rsid w:val="008A53A3"/>
    <w:rsid w:val="008A5B6E"/>
    <w:rsid w:val="008A6B2F"/>
    <w:rsid w:val="008B1101"/>
    <w:rsid w:val="008B11B5"/>
    <w:rsid w:val="008B155B"/>
    <w:rsid w:val="008B17D1"/>
    <w:rsid w:val="008B187D"/>
    <w:rsid w:val="008B2C3E"/>
    <w:rsid w:val="008B3E6F"/>
    <w:rsid w:val="008B4A83"/>
    <w:rsid w:val="008B4F25"/>
    <w:rsid w:val="008B5FF5"/>
    <w:rsid w:val="008C0593"/>
    <w:rsid w:val="008C1FFB"/>
    <w:rsid w:val="008C4606"/>
    <w:rsid w:val="008C5350"/>
    <w:rsid w:val="008C55C1"/>
    <w:rsid w:val="008C6849"/>
    <w:rsid w:val="008D3227"/>
    <w:rsid w:val="008D35CD"/>
    <w:rsid w:val="008D385E"/>
    <w:rsid w:val="008D4320"/>
    <w:rsid w:val="008D57C9"/>
    <w:rsid w:val="008D5BDD"/>
    <w:rsid w:val="008D5D13"/>
    <w:rsid w:val="008D5D9C"/>
    <w:rsid w:val="008D6585"/>
    <w:rsid w:val="008E00FA"/>
    <w:rsid w:val="008E25DB"/>
    <w:rsid w:val="008E290F"/>
    <w:rsid w:val="008E2CA2"/>
    <w:rsid w:val="008E56A8"/>
    <w:rsid w:val="008E6CA3"/>
    <w:rsid w:val="008E7B78"/>
    <w:rsid w:val="008E7E90"/>
    <w:rsid w:val="008F0221"/>
    <w:rsid w:val="008F0D41"/>
    <w:rsid w:val="008F0E71"/>
    <w:rsid w:val="008F3720"/>
    <w:rsid w:val="008F38D5"/>
    <w:rsid w:val="008F4E1B"/>
    <w:rsid w:val="00900D36"/>
    <w:rsid w:val="009018FE"/>
    <w:rsid w:val="0090386A"/>
    <w:rsid w:val="00903895"/>
    <w:rsid w:val="00905339"/>
    <w:rsid w:val="00911CDB"/>
    <w:rsid w:val="00912466"/>
    <w:rsid w:val="00912616"/>
    <w:rsid w:val="00912822"/>
    <w:rsid w:val="00912B7B"/>
    <w:rsid w:val="009131D2"/>
    <w:rsid w:val="00913F35"/>
    <w:rsid w:val="00914934"/>
    <w:rsid w:val="0091553C"/>
    <w:rsid w:val="0091557D"/>
    <w:rsid w:val="00917560"/>
    <w:rsid w:val="0092182F"/>
    <w:rsid w:val="009227C7"/>
    <w:rsid w:val="0092288E"/>
    <w:rsid w:val="009229CC"/>
    <w:rsid w:val="00922A80"/>
    <w:rsid w:val="00923A42"/>
    <w:rsid w:val="00923F6D"/>
    <w:rsid w:val="00926071"/>
    <w:rsid w:val="0092752C"/>
    <w:rsid w:val="0093006C"/>
    <w:rsid w:val="00930AD0"/>
    <w:rsid w:val="00933034"/>
    <w:rsid w:val="009340D9"/>
    <w:rsid w:val="00934CB2"/>
    <w:rsid w:val="00934DAC"/>
    <w:rsid w:val="009372F2"/>
    <w:rsid w:val="00937373"/>
    <w:rsid w:val="00940777"/>
    <w:rsid w:val="009412CB"/>
    <w:rsid w:val="00941425"/>
    <w:rsid w:val="00942A4B"/>
    <w:rsid w:val="00942E31"/>
    <w:rsid w:val="00942ED5"/>
    <w:rsid w:val="009440C6"/>
    <w:rsid w:val="00944CA2"/>
    <w:rsid w:val="00945897"/>
    <w:rsid w:val="00947B2F"/>
    <w:rsid w:val="00951053"/>
    <w:rsid w:val="009530AE"/>
    <w:rsid w:val="00953C8C"/>
    <w:rsid w:val="00953E3E"/>
    <w:rsid w:val="00954413"/>
    <w:rsid w:val="00955A73"/>
    <w:rsid w:val="00955B2B"/>
    <w:rsid w:val="00955C70"/>
    <w:rsid w:val="0096171F"/>
    <w:rsid w:val="00962828"/>
    <w:rsid w:val="009641F3"/>
    <w:rsid w:val="00964C6A"/>
    <w:rsid w:val="00964EDD"/>
    <w:rsid w:val="009658C9"/>
    <w:rsid w:val="00965B5C"/>
    <w:rsid w:val="00965F75"/>
    <w:rsid w:val="00966B97"/>
    <w:rsid w:val="00966BF2"/>
    <w:rsid w:val="009728CB"/>
    <w:rsid w:val="00973F1D"/>
    <w:rsid w:val="00974C2D"/>
    <w:rsid w:val="00974C57"/>
    <w:rsid w:val="0097548A"/>
    <w:rsid w:val="00975C27"/>
    <w:rsid w:val="009767B6"/>
    <w:rsid w:val="00976914"/>
    <w:rsid w:val="00976A84"/>
    <w:rsid w:val="009800A0"/>
    <w:rsid w:val="00980121"/>
    <w:rsid w:val="00981B8B"/>
    <w:rsid w:val="0098318C"/>
    <w:rsid w:val="00985EB1"/>
    <w:rsid w:val="009868EA"/>
    <w:rsid w:val="00987B9D"/>
    <w:rsid w:val="00987BCF"/>
    <w:rsid w:val="00990BE5"/>
    <w:rsid w:val="00990CA6"/>
    <w:rsid w:val="009926AE"/>
    <w:rsid w:val="00992D36"/>
    <w:rsid w:val="00993F47"/>
    <w:rsid w:val="009947D2"/>
    <w:rsid w:val="009961F3"/>
    <w:rsid w:val="009971D5"/>
    <w:rsid w:val="009A0B12"/>
    <w:rsid w:val="009A153F"/>
    <w:rsid w:val="009A2077"/>
    <w:rsid w:val="009A24E2"/>
    <w:rsid w:val="009A2642"/>
    <w:rsid w:val="009A29A3"/>
    <w:rsid w:val="009A3257"/>
    <w:rsid w:val="009A3D2E"/>
    <w:rsid w:val="009A4739"/>
    <w:rsid w:val="009A4BF1"/>
    <w:rsid w:val="009A55D3"/>
    <w:rsid w:val="009A5770"/>
    <w:rsid w:val="009A6520"/>
    <w:rsid w:val="009A673E"/>
    <w:rsid w:val="009B04D1"/>
    <w:rsid w:val="009B2597"/>
    <w:rsid w:val="009B32A1"/>
    <w:rsid w:val="009B39A7"/>
    <w:rsid w:val="009B4397"/>
    <w:rsid w:val="009B4C16"/>
    <w:rsid w:val="009B5103"/>
    <w:rsid w:val="009B5485"/>
    <w:rsid w:val="009B5B3B"/>
    <w:rsid w:val="009B7465"/>
    <w:rsid w:val="009B7D59"/>
    <w:rsid w:val="009C14C9"/>
    <w:rsid w:val="009C2080"/>
    <w:rsid w:val="009C29FB"/>
    <w:rsid w:val="009C2E54"/>
    <w:rsid w:val="009C4CE0"/>
    <w:rsid w:val="009C5238"/>
    <w:rsid w:val="009C5494"/>
    <w:rsid w:val="009C77F4"/>
    <w:rsid w:val="009D1BCB"/>
    <w:rsid w:val="009D4083"/>
    <w:rsid w:val="009D4FDC"/>
    <w:rsid w:val="009D5028"/>
    <w:rsid w:val="009D643F"/>
    <w:rsid w:val="009D6652"/>
    <w:rsid w:val="009E11AF"/>
    <w:rsid w:val="009E1BB6"/>
    <w:rsid w:val="009E3DE1"/>
    <w:rsid w:val="009E4C2A"/>
    <w:rsid w:val="009E5AB4"/>
    <w:rsid w:val="009E5E4F"/>
    <w:rsid w:val="009E66B2"/>
    <w:rsid w:val="009E6D7F"/>
    <w:rsid w:val="009E6F1D"/>
    <w:rsid w:val="009E77EB"/>
    <w:rsid w:val="009F05C4"/>
    <w:rsid w:val="009F1B3C"/>
    <w:rsid w:val="009F2911"/>
    <w:rsid w:val="009F539F"/>
    <w:rsid w:val="009F70FD"/>
    <w:rsid w:val="009F795D"/>
    <w:rsid w:val="00A01CDA"/>
    <w:rsid w:val="00A01E50"/>
    <w:rsid w:val="00A0233D"/>
    <w:rsid w:val="00A025E6"/>
    <w:rsid w:val="00A027B0"/>
    <w:rsid w:val="00A065C5"/>
    <w:rsid w:val="00A0662E"/>
    <w:rsid w:val="00A06B0E"/>
    <w:rsid w:val="00A074A1"/>
    <w:rsid w:val="00A07B99"/>
    <w:rsid w:val="00A10E11"/>
    <w:rsid w:val="00A15063"/>
    <w:rsid w:val="00A16098"/>
    <w:rsid w:val="00A177A8"/>
    <w:rsid w:val="00A225D0"/>
    <w:rsid w:val="00A2264C"/>
    <w:rsid w:val="00A2298E"/>
    <w:rsid w:val="00A2449B"/>
    <w:rsid w:val="00A24E94"/>
    <w:rsid w:val="00A2547B"/>
    <w:rsid w:val="00A25A3A"/>
    <w:rsid w:val="00A3178B"/>
    <w:rsid w:val="00A31F8E"/>
    <w:rsid w:val="00A32270"/>
    <w:rsid w:val="00A32CAA"/>
    <w:rsid w:val="00A33522"/>
    <w:rsid w:val="00A357CA"/>
    <w:rsid w:val="00A3637C"/>
    <w:rsid w:val="00A37BA3"/>
    <w:rsid w:val="00A37BF3"/>
    <w:rsid w:val="00A37F6B"/>
    <w:rsid w:val="00A40DEC"/>
    <w:rsid w:val="00A421BD"/>
    <w:rsid w:val="00A437C1"/>
    <w:rsid w:val="00A43D1B"/>
    <w:rsid w:val="00A455A1"/>
    <w:rsid w:val="00A458F6"/>
    <w:rsid w:val="00A45A86"/>
    <w:rsid w:val="00A46F7C"/>
    <w:rsid w:val="00A508C3"/>
    <w:rsid w:val="00A50B81"/>
    <w:rsid w:val="00A50E86"/>
    <w:rsid w:val="00A510E4"/>
    <w:rsid w:val="00A512A6"/>
    <w:rsid w:val="00A5240D"/>
    <w:rsid w:val="00A55689"/>
    <w:rsid w:val="00A55A7D"/>
    <w:rsid w:val="00A56B34"/>
    <w:rsid w:val="00A6033E"/>
    <w:rsid w:val="00A60BD5"/>
    <w:rsid w:val="00A611AA"/>
    <w:rsid w:val="00A639F1"/>
    <w:rsid w:val="00A64994"/>
    <w:rsid w:val="00A66441"/>
    <w:rsid w:val="00A66CA5"/>
    <w:rsid w:val="00A71821"/>
    <w:rsid w:val="00A71B22"/>
    <w:rsid w:val="00A72BD9"/>
    <w:rsid w:val="00A730FF"/>
    <w:rsid w:val="00A73113"/>
    <w:rsid w:val="00A76D0E"/>
    <w:rsid w:val="00A803D0"/>
    <w:rsid w:val="00A80AAB"/>
    <w:rsid w:val="00A827C3"/>
    <w:rsid w:val="00A839D6"/>
    <w:rsid w:val="00A83ED3"/>
    <w:rsid w:val="00A8459F"/>
    <w:rsid w:val="00A869E3"/>
    <w:rsid w:val="00A90550"/>
    <w:rsid w:val="00A90C1D"/>
    <w:rsid w:val="00A919ED"/>
    <w:rsid w:val="00A93170"/>
    <w:rsid w:val="00A9433C"/>
    <w:rsid w:val="00A95F29"/>
    <w:rsid w:val="00A968E8"/>
    <w:rsid w:val="00AA07A9"/>
    <w:rsid w:val="00AA2D0C"/>
    <w:rsid w:val="00AA3214"/>
    <w:rsid w:val="00AA4E60"/>
    <w:rsid w:val="00AA6799"/>
    <w:rsid w:val="00AA7955"/>
    <w:rsid w:val="00AB197F"/>
    <w:rsid w:val="00AB1C31"/>
    <w:rsid w:val="00AB2F7F"/>
    <w:rsid w:val="00AB3579"/>
    <w:rsid w:val="00AB437E"/>
    <w:rsid w:val="00AB4AD1"/>
    <w:rsid w:val="00AB4EDB"/>
    <w:rsid w:val="00AB5F90"/>
    <w:rsid w:val="00AC01DE"/>
    <w:rsid w:val="00AC0C1C"/>
    <w:rsid w:val="00AC204B"/>
    <w:rsid w:val="00AC247E"/>
    <w:rsid w:val="00AC5274"/>
    <w:rsid w:val="00AC695B"/>
    <w:rsid w:val="00AC71F4"/>
    <w:rsid w:val="00AC7D29"/>
    <w:rsid w:val="00AD16D6"/>
    <w:rsid w:val="00AD27F7"/>
    <w:rsid w:val="00AD43FD"/>
    <w:rsid w:val="00AD5224"/>
    <w:rsid w:val="00AD5DB2"/>
    <w:rsid w:val="00AD68C3"/>
    <w:rsid w:val="00AD6AE6"/>
    <w:rsid w:val="00AD6C75"/>
    <w:rsid w:val="00AD7A3F"/>
    <w:rsid w:val="00AE027E"/>
    <w:rsid w:val="00AE0691"/>
    <w:rsid w:val="00AE3A8A"/>
    <w:rsid w:val="00AE4D43"/>
    <w:rsid w:val="00AE4E14"/>
    <w:rsid w:val="00AE649D"/>
    <w:rsid w:val="00AE6BC2"/>
    <w:rsid w:val="00AE75E3"/>
    <w:rsid w:val="00AE7A17"/>
    <w:rsid w:val="00AF14B1"/>
    <w:rsid w:val="00AF1EE3"/>
    <w:rsid w:val="00AF3DF4"/>
    <w:rsid w:val="00AF40A9"/>
    <w:rsid w:val="00AF4F1F"/>
    <w:rsid w:val="00AF769C"/>
    <w:rsid w:val="00AF779C"/>
    <w:rsid w:val="00B02120"/>
    <w:rsid w:val="00B031F1"/>
    <w:rsid w:val="00B0377C"/>
    <w:rsid w:val="00B03A74"/>
    <w:rsid w:val="00B03F2C"/>
    <w:rsid w:val="00B0466E"/>
    <w:rsid w:val="00B048F8"/>
    <w:rsid w:val="00B04F94"/>
    <w:rsid w:val="00B05B59"/>
    <w:rsid w:val="00B05C53"/>
    <w:rsid w:val="00B063C0"/>
    <w:rsid w:val="00B11ACF"/>
    <w:rsid w:val="00B13919"/>
    <w:rsid w:val="00B13C27"/>
    <w:rsid w:val="00B13D13"/>
    <w:rsid w:val="00B164A9"/>
    <w:rsid w:val="00B16649"/>
    <w:rsid w:val="00B16A1C"/>
    <w:rsid w:val="00B1732A"/>
    <w:rsid w:val="00B177DC"/>
    <w:rsid w:val="00B17AAD"/>
    <w:rsid w:val="00B17B73"/>
    <w:rsid w:val="00B20096"/>
    <w:rsid w:val="00B202FF"/>
    <w:rsid w:val="00B20C4D"/>
    <w:rsid w:val="00B21CF5"/>
    <w:rsid w:val="00B230C3"/>
    <w:rsid w:val="00B236F0"/>
    <w:rsid w:val="00B23F84"/>
    <w:rsid w:val="00B252BE"/>
    <w:rsid w:val="00B259CC"/>
    <w:rsid w:val="00B30418"/>
    <w:rsid w:val="00B307DD"/>
    <w:rsid w:val="00B31117"/>
    <w:rsid w:val="00B31F79"/>
    <w:rsid w:val="00B32214"/>
    <w:rsid w:val="00B33B3F"/>
    <w:rsid w:val="00B33C67"/>
    <w:rsid w:val="00B350C1"/>
    <w:rsid w:val="00B35EBB"/>
    <w:rsid w:val="00B36299"/>
    <w:rsid w:val="00B368BC"/>
    <w:rsid w:val="00B40399"/>
    <w:rsid w:val="00B405E1"/>
    <w:rsid w:val="00B4092A"/>
    <w:rsid w:val="00B42292"/>
    <w:rsid w:val="00B4293B"/>
    <w:rsid w:val="00B4346E"/>
    <w:rsid w:val="00B4363F"/>
    <w:rsid w:val="00B4505A"/>
    <w:rsid w:val="00B45DC3"/>
    <w:rsid w:val="00B471E2"/>
    <w:rsid w:val="00B5009B"/>
    <w:rsid w:val="00B5073B"/>
    <w:rsid w:val="00B50761"/>
    <w:rsid w:val="00B51C04"/>
    <w:rsid w:val="00B51DBD"/>
    <w:rsid w:val="00B53336"/>
    <w:rsid w:val="00B55DED"/>
    <w:rsid w:val="00B6286B"/>
    <w:rsid w:val="00B62DB4"/>
    <w:rsid w:val="00B63C65"/>
    <w:rsid w:val="00B63CBD"/>
    <w:rsid w:val="00B6647B"/>
    <w:rsid w:val="00B679B0"/>
    <w:rsid w:val="00B70510"/>
    <w:rsid w:val="00B705DC"/>
    <w:rsid w:val="00B70BD0"/>
    <w:rsid w:val="00B73E42"/>
    <w:rsid w:val="00B73EDF"/>
    <w:rsid w:val="00B7605D"/>
    <w:rsid w:val="00B76D6C"/>
    <w:rsid w:val="00B77A9E"/>
    <w:rsid w:val="00B819AC"/>
    <w:rsid w:val="00B82D56"/>
    <w:rsid w:val="00B82E18"/>
    <w:rsid w:val="00B83014"/>
    <w:rsid w:val="00B83AB7"/>
    <w:rsid w:val="00B83B05"/>
    <w:rsid w:val="00B83D2E"/>
    <w:rsid w:val="00B84F9B"/>
    <w:rsid w:val="00B85538"/>
    <w:rsid w:val="00B8779F"/>
    <w:rsid w:val="00B9046A"/>
    <w:rsid w:val="00B90AD1"/>
    <w:rsid w:val="00B928C1"/>
    <w:rsid w:val="00B9321C"/>
    <w:rsid w:val="00B9565E"/>
    <w:rsid w:val="00B96E57"/>
    <w:rsid w:val="00B97134"/>
    <w:rsid w:val="00B971B4"/>
    <w:rsid w:val="00BA0299"/>
    <w:rsid w:val="00BA1B6D"/>
    <w:rsid w:val="00BA23E9"/>
    <w:rsid w:val="00BA3BFF"/>
    <w:rsid w:val="00BA563C"/>
    <w:rsid w:val="00BA5828"/>
    <w:rsid w:val="00BB0160"/>
    <w:rsid w:val="00BB0334"/>
    <w:rsid w:val="00BB0735"/>
    <w:rsid w:val="00BB0EEF"/>
    <w:rsid w:val="00BB1C21"/>
    <w:rsid w:val="00BB30E5"/>
    <w:rsid w:val="00BB3725"/>
    <w:rsid w:val="00BB3948"/>
    <w:rsid w:val="00BB414D"/>
    <w:rsid w:val="00BB52CE"/>
    <w:rsid w:val="00BB6A18"/>
    <w:rsid w:val="00BC32DB"/>
    <w:rsid w:val="00BC3A19"/>
    <w:rsid w:val="00BC3FE1"/>
    <w:rsid w:val="00BC4462"/>
    <w:rsid w:val="00BC4BCA"/>
    <w:rsid w:val="00BD114A"/>
    <w:rsid w:val="00BD1DD1"/>
    <w:rsid w:val="00BD20B2"/>
    <w:rsid w:val="00BD2743"/>
    <w:rsid w:val="00BD2F6D"/>
    <w:rsid w:val="00BD40FC"/>
    <w:rsid w:val="00BD576E"/>
    <w:rsid w:val="00BD5951"/>
    <w:rsid w:val="00BD60D9"/>
    <w:rsid w:val="00BD787D"/>
    <w:rsid w:val="00BD7A53"/>
    <w:rsid w:val="00BE0180"/>
    <w:rsid w:val="00BE0469"/>
    <w:rsid w:val="00BE0797"/>
    <w:rsid w:val="00BE0C81"/>
    <w:rsid w:val="00BE0FA0"/>
    <w:rsid w:val="00BE126B"/>
    <w:rsid w:val="00BE420B"/>
    <w:rsid w:val="00BE4CB3"/>
    <w:rsid w:val="00BE4D0B"/>
    <w:rsid w:val="00BE6BC8"/>
    <w:rsid w:val="00BF1727"/>
    <w:rsid w:val="00BF3D10"/>
    <w:rsid w:val="00BF582E"/>
    <w:rsid w:val="00BF77F4"/>
    <w:rsid w:val="00C01746"/>
    <w:rsid w:val="00C0349A"/>
    <w:rsid w:val="00C037B1"/>
    <w:rsid w:val="00C0604B"/>
    <w:rsid w:val="00C06A0E"/>
    <w:rsid w:val="00C10D48"/>
    <w:rsid w:val="00C12632"/>
    <w:rsid w:val="00C14B88"/>
    <w:rsid w:val="00C14BA5"/>
    <w:rsid w:val="00C14E7F"/>
    <w:rsid w:val="00C17373"/>
    <w:rsid w:val="00C17FDF"/>
    <w:rsid w:val="00C201E2"/>
    <w:rsid w:val="00C2056E"/>
    <w:rsid w:val="00C21C28"/>
    <w:rsid w:val="00C23F1F"/>
    <w:rsid w:val="00C24BA9"/>
    <w:rsid w:val="00C25437"/>
    <w:rsid w:val="00C2610A"/>
    <w:rsid w:val="00C27474"/>
    <w:rsid w:val="00C276EA"/>
    <w:rsid w:val="00C27C03"/>
    <w:rsid w:val="00C3078E"/>
    <w:rsid w:val="00C318F5"/>
    <w:rsid w:val="00C336BC"/>
    <w:rsid w:val="00C36166"/>
    <w:rsid w:val="00C361FA"/>
    <w:rsid w:val="00C3660A"/>
    <w:rsid w:val="00C366CC"/>
    <w:rsid w:val="00C36AA4"/>
    <w:rsid w:val="00C4013E"/>
    <w:rsid w:val="00C40E55"/>
    <w:rsid w:val="00C41802"/>
    <w:rsid w:val="00C41DAC"/>
    <w:rsid w:val="00C43B8E"/>
    <w:rsid w:val="00C44022"/>
    <w:rsid w:val="00C446B3"/>
    <w:rsid w:val="00C44B90"/>
    <w:rsid w:val="00C44BC7"/>
    <w:rsid w:val="00C4571A"/>
    <w:rsid w:val="00C50C35"/>
    <w:rsid w:val="00C50C63"/>
    <w:rsid w:val="00C51119"/>
    <w:rsid w:val="00C51679"/>
    <w:rsid w:val="00C516F1"/>
    <w:rsid w:val="00C5294A"/>
    <w:rsid w:val="00C54823"/>
    <w:rsid w:val="00C559E6"/>
    <w:rsid w:val="00C560DF"/>
    <w:rsid w:val="00C5748E"/>
    <w:rsid w:val="00C5749D"/>
    <w:rsid w:val="00C62618"/>
    <w:rsid w:val="00C62D46"/>
    <w:rsid w:val="00C62DE8"/>
    <w:rsid w:val="00C64249"/>
    <w:rsid w:val="00C6662C"/>
    <w:rsid w:val="00C66C72"/>
    <w:rsid w:val="00C6707F"/>
    <w:rsid w:val="00C672EE"/>
    <w:rsid w:val="00C70112"/>
    <w:rsid w:val="00C70CA1"/>
    <w:rsid w:val="00C70D17"/>
    <w:rsid w:val="00C70D28"/>
    <w:rsid w:val="00C70DD7"/>
    <w:rsid w:val="00C73B4F"/>
    <w:rsid w:val="00C745F6"/>
    <w:rsid w:val="00C7461B"/>
    <w:rsid w:val="00C74CDE"/>
    <w:rsid w:val="00C75BC0"/>
    <w:rsid w:val="00C76764"/>
    <w:rsid w:val="00C76FAD"/>
    <w:rsid w:val="00C77102"/>
    <w:rsid w:val="00C779EF"/>
    <w:rsid w:val="00C77E89"/>
    <w:rsid w:val="00C80215"/>
    <w:rsid w:val="00C802E4"/>
    <w:rsid w:val="00C808CB"/>
    <w:rsid w:val="00C84F56"/>
    <w:rsid w:val="00C85662"/>
    <w:rsid w:val="00C85FE0"/>
    <w:rsid w:val="00C864E2"/>
    <w:rsid w:val="00C9021A"/>
    <w:rsid w:val="00C9041B"/>
    <w:rsid w:val="00C915F4"/>
    <w:rsid w:val="00C92028"/>
    <w:rsid w:val="00C92B37"/>
    <w:rsid w:val="00C93CA4"/>
    <w:rsid w:val="00C95224"/>
    <w:rsid w:val="00C96334"/>
    <w:rsid w:val="00C9675D"/>
    <w:rsid w:val="00C96A79"/>
    <w:rsid w:val="00C973EF"/>
    <w:rsid w:val="00C977CD"/>
    <w:rsid w:val="00C97F02"/>
    <w:rsid w:val="00C97F47"/>
    <w:rsid w:val="00CA001C"/>
    <w:rsid w:val="00CA0AC3"/>
    <w:rsid w:val="00CA1299"/>
    <w:rsid w:val="00CA15AF"/>
    <w:rsid w:val="00CA26AE"/>
    <w:rsid w:val="00CA404D"/>
    <w:rsid w:val="00CA5411"/>
    <w:rsid w:val="00CA5DF3"/>
    <w:rsid w:val="00CA6BE2"/>
    <w:rsid w:val="00CA7FBE"/>
    <w:rsid w:val="00CB0815"/>
    <w:rsid w:val="00CB23B3"/>
    <w:rsid w:val="00CB288F"/>
    <w:rsid w:val="00CB6DD0"/>
    <w:rsid w:val="00CB6E46"/>
    <w:rsid w:val="00CC0EC9"/>
    <w:rsid w:val="00CC0ED3"/>
    <w:rsid w:val="00CC0F05"/>
    <w:rsid w:val="00CC12D4"/>
    <w:rsid w:val="00CC170A"/>
    <w:rsid w:val="00CC2854"/>
    <w:rsid w:val="00CC2F50"/>
    <w:rsid w:val="00CC5394"/>
    <w:rsid w:val="00CC66BC"/>
    <w:rsid w:val="00CD0F1A"/>
    <w:rsid w:val="00CD2AE9"/>
    <w:rsid w:val="00CD2EDD"/>
    <w:rsid w:val="00CD37B4"/>
    <w:rsid w:val="00CD4250"/>
    <w:rsid w:val="00CD4317"/>
    <w:rsid w:val="00CD5D72"/>
    <w:rsid w:val="00CD6BA7"/>
    <w:rsid w:val="00CE0941"/>
    <w:rsid w:val="00CE0B32"/>
    <w:rsid w:val="00CE1387"/>
    <w:rsid w:val="00CE1BE1"/>
    <w:rsid w:val="00CE289C"/>
    <w:rsid w:val="00CE2DAF"/>
    <w:rsid w:val="00CE3900"/>
    <w:rsid w:val="00CE57FB"/>
    <w:rsid w:val="00CF0968"/>
    <w:rsid w:val="00CF0EEF"/>
    <w:rsid w:val="00CF12F4"/>
    <w:rsid w:val="00CF19CE"/>
    <w:rsid w:val="00CF2415"/>
    <w:rsid w:val="00CF3BB8"/>
    <w:rsid w:val="00CF4051"/>
    <w:rsid w:val="00CF52D6"/>
    <w:rsid w:val="00CF5DF4"/>
    <w:rsid w:val="00CF5DFA"/>
    <w:rsid w:val="00CF6CA4"/>
    <w:rsid w:val="00D0180D"/>
    <w:rsid w:val="00D02FFC"/>
    <w:rsid w:val="00D03C03"/>
    <w:rsid w:val="00D041A7"/>
    <w:rsid w:val="00D04D43"/>
    <w:rsid w:val="00D04EB9"/>
    <w:rsid w:val="00D06E92"/>
    <w:rsid w:val="00D07668"/>
    <w:rsid w:val="00D11C5F"/>
    <w:rsid w:val="00D11F96"/>
    <w:rsid w:val="00D12835"/>
    <w:rsid w:val="00D12BE6"/>
    <w:rsid w:val="00D2048E"/>
    <w:rsid w:val="00D21B63"/>
    <w:rsid w:val="00D22711"/>
    <w:rsid w:val="00D22EBD"/>
    <w:rsid w:val="00D2337F"/>
    <w:rsid w:val="00D25BBF"/>
    <w:rsid w:val="00D25E06"/>
    <w:rsid w:val="00D25E79"/>
    <w:rsid w:val="00D31F45"/>
    <w:rsid w:val="00D329AC"/>
    <w:rsid w:val="00D329DC"/>
    <w:rsid w:val="00D332F1"/>
    <w:rsid w:val="00D335B0"/>
    <w:rsid w:val="00D33885"/>
    <w:rsid w:val="00D348AF"/>
    <w:rsid w:val="00D374E3"/>
    <w:rsid w:val="00D375E1"/>
    <w:rsid w:val="00D37C70"/>
    <w:rsid w:val="00D42EC8"/>
    <w:rsid w:val="00D444AA"/>
    <w:rsid w:val="00D444CE"/>
    <w:rsid w:val="00D44626"/>
    <w:rsid w:val="00D44B69"/>
    <w:rsid w:val="00D45761"/>
    <w:rsid w:val="00D46807"/>
    <w:rsid w:val="00D46C7F"/>
    <w:rsid w:val="00D46DF7"/>
    <w:rsid w:val="00D478A0"/>
    <w:rsid w:val="00D50863"/>
    <w:rsid w:val="00D50A47"/>
    <w:rsid w:val="00D50B03"/>
    <w:rsid w:val="00D51143"/>
    <w:rsid w:val="00D517B6"/>
    <w:rsid w:val="00D534D2"/>
    <w:rsid w:val="00D53A9A"/>
    <w:rsid w:val="00D54265"/>
    <w:rsid w:val="00D5572A"/>
    <w:rsid w:val="00D6033C"/>
    <w:rsid w:val="00D6163E"/>
    <w:rsid w:val="00D61D3B"/>
    <w:rsid w:val="00D640BB"/>
    <w:rsid w:val="00D6453D"/>
    <w:rsid w:val="00D6561A"/>
    <w:rsid w:val="00D65767"/>
    <w:rsid w:val="00D66194"/>
    <w:rsid w:val="00D6725B"/>
    <w:rsid w:val="00D70195"/>
    <w:rsid w:val="00D70FD9"/>
    <w:rsid w:val="00D72724"/>
    <w:rsid w:val="00D747C8"/>
    <w:rsid w:val="00D76F46"/>
    <w:rsid w:val="00D77AB9"/>
    <w:rsid w:val="00D80B95"/>
    <w:rsid w:val="00D82252"/>
    <w:rsid w:val="00D82608"/>
    <w:rsid w:val="00D827DB"/>
    <w:rsid w:val="00D83BB8"/>
    <w:rsid w:val="00D84311"/>
    <w:rsid w:val="00D84417"/>
    <w:rsid w:val="00D853A9"/>
    <w:rsid w:val="00D85B06"/>
    <w:rsid w:val="00D86975"/>
    <w:rsid w:val="00D8747F"/>
    <w:rsid w:val="00D93782"/>
    <w:rsid w:val="00D93CA4"/>
    <w:rsid w:val="00D94836"/>
    <w:rsid w:val="00D94F55"/>
    <w:rsid w:val="00D97045"/>
    <w:rsid w:val="00DA02E3"/>
    <w:rsid w:val="00DA0536"/>
    <w:rsid w:val="00DA37B9"/>
    <w:rsid w:val="00DA6F09"/>
    <w:rsid w:val="00DA78EA"/>
    <w:rsid w:val="00DA7A29"/>
    <w:rsid w:val="00DB1512"/>
    <w:rsid w:val="00DB3140"/>
    <w:rsid w:val="00DB3F91"/>
    <w:rsid w:val="00DB55C1"/>
    <w:rsid w:val="00DB589B"/>
    <w:rsid w:val="00DB737F"/>
    <w:rsid w:val="00DC0857"/>
    <w:rsid w:val="00DC13EF"/>
    <w:rsid w:val="00DC2649"/>
    <w:rsid w:val="00DC2F66"/>
    <w:rsid w:val="00DC3144"/>
    <w:rsid w:val="00DC3FA9"/>
    <w:rsid w:val="00DC6CC4"/>
    <w:rsid w:val="00DD0DBC"/>
    <w:rsid w:val="00DD1702"/>
    <w:rsid w:val="00DD1D2D"/>
    <w:rsid w:val="00DD1F46"/>
    <w:rsid w:val="00DD3F1F"/>
    <w:rsid w:val="00DD4231"/>
    <w:rsid w:val="00DD4715"/>
    <w:rsid w:val="00DD493A"/>
    <w:rsid w:val="00DD4D49"/>
    <w:rsid w:val="00DD5454"/>
    <w:rsid w:val="00DD583F"/>
    <w:rsid w:val="00DD6174"/>
    <w:rsid w:val="00DD7639"/>
    <w:rsid w:val="00DD7D80"/>
    <w:rsid w:val="00DE434E"/>
    <w:rsid w:val="00DE49A4"/>
    <w:rsid w:val="00DE53AC"/>
    <w:rsid w:val="00DE587B"/>
    <w:rsid w:val="00DE5C3F"/>
    <w:rsid w:val="00DE676C"/>
    <w:rsid w:val="00DE7198"/>
    <w:rsid w:val="00DE767F"/>
    <w:rsid w:val="00DE7A2A"/>
    <w:rsid w:val="00DF24B6"/>
    <w:rsid w:val="00DF3CA5"/>
    <w:rsid w:val="00DF694E"/>
    <w:rsid w:val="00DF750D"/>
    <w:rsid w:val="00DF7603"/>
    <w:rsid w:val="00E00656"/>
    <w:rsid w:val="00E00897"/>
    <w:rsid w:val="00E010C1"/>
    <w:rsid w:val="00E01465"/>
    <w:rsid w:val="00E014C1"/>
    <w:rsid w:val="00E017A7"/>
    <w:rsid w:val="00E017DA"/>
    <w:rsid w:val="00E01C9D"/>
    <w:rsid w:val="00E02C62"/>
    <w:rsid w:val="00E03558"/>
    <w:rsid w:val="00E0360D"/>
    <w:rsid w:val="00E045EB"/>
    <w:rsid w:val="00E05110"/>
    <w:rsid w:val="00E057AF"/>
    <w:rsid w:val="00E05DEB"/>
    <w:rsid w:val="00E102E0"/>
    <w:rsid w:val="00E11CBA"/>
    <w:rsid w:val="00E1385E"/>
    <w:rsid w:val="00E1468C"/>
    <w:rsid w:val="00E14CAE"/>
    <w:rsid w:val="00E14F37"/>
    <w:rsid w:val="00E1511E"/>
    <w:rsid w:val="00E1604F"/>
    <w:rsid w:val="00E1643A"/>
    <w:rsid w:val="00E1711B"/>
    <w:rsid w:val="00E208DE"/>
    <w:rsid w:val="00E217A4"/>
    <w:rsid w:val="00E22096"/>
    <w:rsid w:val="00E22B5A"/>
    <w:rsid w:val="00E243FB"/>
    <w:rsid w:val="00E27D5C"/>
    <w:rsid w:val="00E3142B"/>
    <w:rsid w:val="00E3156A"/>
    <w:rsid w:val="00E31F8D"/>
    <w:rsid w:val="00E333C9"/>
    <w:rsid w:val="00E34749"/>
    <w:rsid w:val="00E41173"/>
    <w:rsid w:val="00E43EF9"/>
    <w:rsid w:val="00E44C57"/>
    <w:rsid w:val="00E455AF"/>
    <w:rsid w:val="00E456D6"/>
    <w:rsid w:val="00E458C7"/>
    <w:rsid w:val="00E45FA0"/>
    <w:rsid w:val="00E462B0"/>
    <w:rsid w:val="00E47709"/>
    <w:rsid w:val="00E47D4C"/>
    <w:rsid w:val="00E511C5"/>
    <w:rsid w:val="00E51765"/>
    <w:rsid w:val="00E527CC"/>
    <w:rsid w:val="00E52DFF"/>
    <w:rsid w:val="00E53BE3"/>
    <w:rsid w:val="00E54248"/>
    <w:rsid w:val="00E549D8"/>
    <w:rsid w:val="00E56004"/>
    <w:rsid w:val="00E5696D"/>
    <w:rsid w:val="00E60459"/>
    <w:rsid w:val="00E604D3"/>
    <w:rsid w:val="00E60D4B"/>
    <w:rsid w:val="00E60F85"/>
    <w:rsid w:val="00E62F57"/>
    <w:rsid w:val="00E64838"/>
    <w:rsid w:val="00E64CC8"/>
    <w:rsid w:val="00E65454"/>
    <w:rsid w:val="00E65AB5"/>
    <w:rsid w:val="00E70972"/>
    <w:rsid w:val="00E727FC"/>
    <w:rsid w:val="00E748DF"/>
    <w:rsid w:val="00E749BE"/>
    <w:rsid w:val="00E74C95"/>
    <w:rsid w:val="00E75F9E"/>
    <w:rsid w:val="00E80B22"/>
    <w:rsid w:val="00E8212A"/>
    <w:rsid w:val="00E8230D"/>
    <w:rsid w:val="00E82591"/>
    <w:rsid w:val="00E84138"/>
    <w:rsid w:val="00E84184"/>
    <w:rsid w:val="00E84271"/>
    <w:rsid w:val="00E84A5A"/>
    <w:rsid w:val="00E85D33"/>
    <w:rsid w:val="00E907CB"/>
    <w:rsid w:val="00E90E9B"/>
    <w:rsid w:val="00E915C2"/>
    <w:rsid w:val="00E93D8E"/>
    <w:rsid w:val="00E957F8"/>
    <w:rsid w:val="00E96F21"/>
    <w:rsid w:val="00E9776D"/>
    <w:rsid w:val="00EA03F3"/>
    <w:rsid w:val="00EA061E"/>
    <w:rsid w:val="00EA0A20"/>
    <w:rsid w:val="00EA3ED6"/>
    <w:rsid w:val="00EA405D"/>
    <w:rsid w:val="00EA425D"/>
    <w:rsid w:val="00EA4864"/>
    <w:rsid w:val="00EA75B6"/>
    <w:rsid w:val="00EA7A8D"/>
    <w:rsid w:val="00EB1972"/>
    <w:rsid w:val="00EB2ACA"/>
    <w:rsid w:val="00EB2FA6"/>
    <w:rsid w:val="00EB337D"/>
    <w:rsid w:val="00EB39FD"/>
    <w:rsid w:val="00EB3F63"/>
    <w:rsid w:val="00EB4A5F"/>
    <w:rsid w:val="00EB5A5A"/>
    <w:rsid w:val="00EB69F4"/>
    <w:rsid w:val="00EB7676"/>
    <w:rsid w:val="00EC0A81"/>
    <w:rsid w:val="00EC202F"/>
    <w:rsid w:val="00EC28B8"/>
    <w:rsid w:val="00EC29AE"/>
    <w:rsid w:val="00EC5B40"/>
    <w:rsid w:val="00EC60AF"/>
    <w:rsid w:val="00EC6729"/>
    <w:rsid w:val="00EC6EA5"/>
    <w:rsid w:val="00ED100D"/>
    <w:rsid w:val="00ED2211"/>
    <w:rsid w:val="00ED2254"/>
    <w:rsid w:val="00ED22DB"/>
    <w:rsid w:val="00ED3D45"/>
    <w:rsid w:val="00ED4A35"/>
    <w:rsid w:val="00ED4BA9"/>
    <w:rsid w:val="00ED61F5"/>
    <w:rsid w:val="00ED62EF"/>
    <w:rsid w:val="00ED6A1B"/>
    <w:rsid w:val="00ED7384"/>
    <w:rsid w:val="00ED78BB"/>
    <w:rsid w:val="00ED7AA0"/>
    <w:rsid w:val="00EE0C01"/>
    <w:rsid w:val="00EE1AE6"/>
    <w:rsid w:val="00EE34D4"/>
    <w:rsid w:val="00EE4B19"/>
    <w:rsid w:val="00EE4E34"/>
    <w:rsid w:val="00EE5527"/>
    <w:rsid w:val="00EE55B9"/>
    <w:rsid w:val="00EE6946"/>
    <w:rsid w:val="00EE74FC"/>
    <w:rsid w:val="00EE7C83"/>
    <w:rsid w:val="00EF59CC"/>
    <w:rsid w:val="00EF6F8B"/>
    <w:rsid w:val="00F00651"/>
    <w:rsid w:val="00F01209"/>
    <w:rsid w:val="00F0163A"/>
    <w:rsid w:val="00F035D2"/>
    <w:rsid w:val="00F039F1"/>
    <w:rsid w:val="00F04297"/>
    <w:rsid w:val="00F05773"/>
    <w:rsid w:val="00F05925"/>
    <w:rsid w:val="00F06A64"/>
    <w:rsid w:val="00F07D39"/>
    <w:rsid w:val="00F1033A"/>
    <w:rsid w:val="00F11A47"/>
    <w:rsid w:val="00F131A9"/>
    <w:rsid w:val="00F136DF"/>
    <w:rsid w:val="00F13C89"/>
    <w:rsid w:val="00F147D1"/>
    <w:rsid w:val="00F14D03"/>
    <w:rsid w:val="00F150BA"/>
    <w:rsid w:val="00F1527E"/>
    <w:rsid w:val="00F1587B"/>
    <w:rsid w:val="00F167B0"/>
    <w:rsid w:val="00F1686B"/>
    <w:rsid w:val="00F16E05"/>
    <w:rsid w:val="00F17020"/>
    <w:rsid w:val="00F1727B"/>
    <w:rsid w:val="00F17BE5"/>
    <w:rsid w:val="00F20545"/>
    <w:rsid w:val="00F20A67"/>
    <w:rsid w:val="00F21187"/>
    <w:rsid w:val="00F21363"/>
    <w:rsid w:val="00F21E19"/>
    <w:rsid w:val="00F23F1E"/>
    <w:rsid w:val="00F32049"/>
    <w:rsid w:val="00F34817"/>
    <w:rsid w:val="00F35083"/>
    <w:rsid w:val="00F351AE"/>
    <w:rsid w:val="00F35469"/>
    <w:rsid w:val="00F362EF"/>
    <w:rsid w:val="00F40461"/>
    <w:rsid w:val="00F40840"/>
    <w:rsid w:val="00F441C0"/>
    <w:rsid w:val="00F44626"/>
    <w:rsid w:val="00F449FF"/>
    <w:rsid w:val="00F44DD0"/>
    <w:rsid w:val="00F450E0"/>
    <w:rsid w:val="00F45372"/>
    <w:rsid w:val="00F475B6"/>
    <w:rsid w:val="00F50A69"/>
    <w:rsid w:val="00F50D2D"/>
    <w:rsid w:val="00F51C26"/>
    <w:rsid w:val="00F51DD8"/>
    <w:rsid w:val="00F525D8"/>
    <w:rsid w:val="00F52EF4"/>
    <w:rsid w:val="00F53181"/>
    <w:rsid w:val="00F53540"/>
    <w:rsid w:val="00F53F92"/>
    <w:rsid w:val="00F54A56"/>
    <w:rsid w:val="00F567E4"/>
    <w:rsid w:val="00F608AD"/>
    <w:rsid w:val="00F6167C"/>
    <w:rsid w:val="00F64770"/>
    <w:rsid w:val="00F648D9"/>
    <w:rsid w:val="00F65780"/>
    <w:rsid w:val="00F704B2"/>
    <w:rsid w:val="00F71DC1"/>
    <w:rsid w:val="00F72471"/>
    <w:rsid w:val="00F73009"/>
    <w:rsid w:val="00F7330A"/>
    <w:rsid w:val="00F76619"/>
    <w:rsid w:val="00F7782D"/>
    <w:rsid w:val="00F77EA3"/>
    <w:rsid w:val="00F80ABC"/>
    <w:rsid w:val="00F80DEA"/>
    <w:rsid w:val="00F81487"/>
    <w:rsid w:val="00F81E3B"/>
    <w:rsid w:val="00F84F24"/>
    <w:rsid w:val="00F8574A"/>
    <w:rsid w:val="00F86426"/>
    <w:rsid w:val="00F8687F"/>
    <w:rsid w:val="00F87835"/>
    <w:rsid w:val="00F901A7"/>
    <w:rsid w:val="00F91525"/>
    <w:rsid w:val="00F944DB"/>
    <w:rsid w:val="00F945FD"/>
    <w:rsid w:val="00F95F71"/>
    <w:rsid w:val="00F96606"/>
    <w:rsid w:val="00F9730F"/>
    <w:rsid w:val="00F97A78"/>
    <w:rsid w:val="00F97D7C"/>
    <w:rsid w:val="00FA1403"/>
    <w:rsid w:val="00FA1F03"/>
    <w:rsid w:val="00FA1F13"/>
    <w:rsid w:val="00FA213C"/>
    <w:rsid w:val="00FA2158"/>
    <w:rsid w:val="00FA21A2"/>
    <w:rsid w:val="00FA2599"/>
    <w:rsid w:val="00FA2B9B"/>
    <w:rsid w:val="00FA2F8E"/>
    <w:rsid w:val="00FA360A"/>
    <w:rsid w:val="00FA3BFF"/>
    <w:rsid w:val="00FA3CB2"/>
    <w:rsid w:val="00FA4F87"/>
    <w:rsid w:val="00FA6834"/>
    <w:rsid w:val="00FA7583"/>
    <w:rsid w:val="00FA79A5"/>
    <w:rsid w:val="00FB0FAC"/>
    <w:rsid w:val="00FB1321"/>
    <w:rsid w:val="00FB3AB3"/>
    <w:rsid w:val="00FB472F"/>
    <w:rsid w:val="00FB6EEB"/>
    <w:rsid w:val="00FB71B7"/>
    <w:rsid w:val="00FB7AD1"/>
    <w:rsid w:val="00FB7AE5"/>
    <w:rsid w:val="00FB7E53"/>
    <w:rsid w:val="00FC1161"/>
    <w:rsid w:val="00FC2BBC"/>
    <w:rsid w:val="00FC33C0"/>
    <w:rsid w:val="00FC4167"/>
    <w:rsid w:val="00FC5162"/>
    <w:rsid w:val="00FC596A"/>
    <w:rsid w:val="00FC5A96"/>
    <w:rsid w:val="00FC5D0F"/>
    <w:rsid w:val="00FC5D2F"/>
    <w:rsid w:val="00FC6209"/>
    <w:rsid w:val="00FC775A"/>
    <w:rsid w:val="00FC789C"/>
    <w:rsid w:val="00FD174D"/>
    <w:rsid w:val="00FD218F"/>
    <w:rsid w:val="00FD2FAE"/>
    <w:rsid w:val="00FD324D"/>
    <w:rsid w:val="00FD3E3E"/>
    <w:rsid w:val="00FD4AB5"/>
    <w:rsid w:val="00FD6E51"/>
    <w:rsid w:val="00FD7A8B"/>
    <w:rsid w:val="00FE0133"/>
    <w:rsid w:val="00FE0C29"/>
    <w:rsid w:val="00FE28C3"/>
    <w:rsid w:val="00FE32EE"/>
    <w:rsid w:val="00FE3D46"/>
    <w:rsid w:val="00FE3DA4"/>
    <w:rsid w:val="00FE3FBC"/>
    <w:rsid w:val="00FE40B5"/>
    <w:rsid w:val="00FE60DF"/>
    <w:rsid w:val="00FE623C"/>
    <w:rsid w:val="00FF02F3"/>
    <w:rsid w:val="00FF07D7"/>
    <w:rsid w:val="00FF0D27"/>
    <w:rsid w:val="00FF1120"/>
    <w:rsid w:val="00FF13BE"/>
    <w:rsid w:val="00FF1B56"/>
    <w:rsid w:val="00FF22DE"/>
    <w:rsid w:val="00FF2FEA"/>
    <w:rsid w:val="00FF345F"/>
    <w:rsid w:val="00FF4AEC"/>
    <w:rsid w:val="00FF4E01"/>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30B27"/>
  <w15:docId w15:val="{5A22D498-BF03-4FC8-822B-3113D0C9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2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2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2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2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1481"/>
    <w:rPr>
      <w:color w:val="0000FF"/>
      <w:u w:val="single"/>
    </w:rPr>
  </w:style>
  <w:style w:type="character" w:styleId="CommentReference">
    <w:name w:val="annotation reference"/>
    <w:basedOn w:val="DefaultParagraphFont"/>
    <w:uiPriority w:val="99"/>
    <w:semiHidden/>
    <w:unhideWhenUsed/>
    <w:rsid w:val="00C4571A"/>
    <w:rPr>
      <w:sz w:val="16"/>
      <w:szCs w:val="16"/>
    </w:rPr>
  </w:style>
  <w:style w:type="table" w:styleId="TableGrid">
    <w:name w:val="Table Grid"/>
    <w:basedOn w:val="TableNormal"/>
    <w:uiPriority w:val="39"/>
    <w:rsid w:val="00F23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62B0"/>
    <w:pPr>
      <w:spacing w:after="0" w:line="240" w:lineRule="auto"/>
    </w:pPr>
    <w:rPr>
      <w:rFonts w:ascii="Arial" w:hAnsi="Arial" w:cs="Arial"/>
    </w:rPr>
  </w:style>
  <w:style w:type="table" w:customStyle="1" w:styleId="Tabellenraster1">
    <w:name w:val="Tabellenraster1"/>
    <w:basedOn w:val="TableNormal"/>
    <w:next w:val="TableGrid"/>
    <w:uiPriority w:val="39"/>
    <w:rsid w:val="00F15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VorblattTitelWeitereKosten"/>
    <w:qFormat/>
    <w:rsid w:val="00311BDB"/>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0"/>
      </w:numPr>
      <w:spacing w:before="60" w:after="60"/>
    </w:pPr>
    <w:rPr>
      <w:sz w:val="18"/>
    </w:rPr>
  </w:style>
  <w:style w:type="paragraph" w:customStyle="1" w:styleId="TabelleListe">
    <w:name w:val="Tabelle Liste"/>
    <w:basedOn w:val="Normal"/>
    <w:rsid w:val="00CB23B3"/>
    <w:pPr>
      <w:numPr>
        <w:numId w:val="21"/>
      </w:numPr>
      <w:spacing w:before="60" w:after="60"/>
    </w:pPr>
    <w:rPr>
      <w:sz w:val="18"/>
    </w:rPr>
  </w:style>
  <w:style w:type="character" w:customStyle="1" w:styleId="Binnenverweis">
    <w:name w:val="Binnenverweis"/>
    <w:basedOn w:val="DefaultParagraphFont"/>
    <w:rsid w:val="00CB23B3"/>
    <w:rPr>
      <w:noProof/>
      <w:u w:val="none"/>
      <w:shd w:val="clear" w:color="auto" w:fill="FFFFFF"/>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19"/>
      </w:numPr>
      <w:tabs>
        <w:tab w:val="left" w:pos="0"/>
      </w:tabs>
    </w:pPr>
  </w:style>
  <w:style w:type="paragraph" w:customStyle="1" w:styleId="ListeFolgeabsatzStufe1">
    <w:name w:val="Liste Folgeabsatz (Stufe 1)"/>
    <w:basedOn w:val="Normal"/>
    <w:rsid w:val="00CB23B3"/>
    <w:pPr>
      <w:numPr>
        <w:ilvl w:val="1"/>
        <w:numId w:val="19"/>
      </w:numPr>
    </w:pPr>
  </w:style>
  <w:style w:type="paragraph" w:customStyle="1" w:styleId="ListeStufe2">
    <w:name w:val="Liste (Stufe 2)"/>
    <w:basedOn w:val="Normal"/>
    <w:rsid w:val="00CB23B3"/>
    <w:pPr>
      <w:numPr>
        <w:ilvl w:val="2"/>
        <w:numId w:val="19"/>
      </w:numPr>
    </w:pPr>
  </w:style>
  <w:style w:type="paragraph" w:customStyle="1" w:styleId="ListeFolgeabsatzStufe2">
    <w:name w:val="Liste Folgeabsatz (Stufe 2)"/>
    <w:basedOn w:val="Normal"/>
    <w:rsid w:val="00CB23B3"/>
    <w:pPr>
      <w:numPr>
        <w:ilvl w:val="3"/>
        <w:numId w:val="19"/>
      </w:numPr>
    </w:pPr>
  </w:style>
  <w:style w:type="paragraph" w:customStyle="1" w:styleId="ListeStufe3">
    <w:name w:val="Liste (Stufe 3)"/>
    <w:basedOn w:val="Normal"/>
    <w:rsid w:val="00CB23B3"/>
    <w:pPr>
      <w:numPr>
        <w:ilvl w:val="4"/>
        <w:numId w:val="19"/>
      </w:numPr>
    </w:pPr>
  </w:style>
  <w:style w:type="paragraph" w:customStyle="1" w:styleId="ListeFolgeabsatzStufe3">
    <w:name w:val="Liste Folgeabsatz (Stufe 3)"/>
    <w:basedOn w:val="Normal"/>
    <w:rsid w:val="00CB23B3"/>
    <w:pPr>
      <w:numPr>
        <w:ilvl w:val="5"/>
        <w:numId w:val="19"/>
      </w:numPr>
    </w:pPr>
  </w:style>
  <w:style w:type="paragraph" w:customStyle="1" w:styleId="ListeStufe4">
    <w:name w:val="Liste (Stufe 4)"/>
    <w:basedOn w:val="Normal"/>
    <w:rsid w:val="00CB23B3"/>
    <w:pPr>
      <w:numPr>
        <w:ilvl w:val="6"/>
        <w:numId w:val="19"/>
      </w:numPr>
    </w:pPr>
  </w:style>
  <w:style w:type="paragraph" w:customStyle="1" w:styleId="ListeFolgeabsatzStufe4">
    <w:name w:val="Liste Folgeabsatz (Stufe 4)"/>
    <w:basedOn w:val="Normal"/>
    <w:rsid w:val="00CB23B3"/>
    <w:pPr>
      <w:numPr>
        <w:ilvl w:val="7"/>
        <w:numId w:val="1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1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1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1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1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1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34"/>
      </w:numPr>
      <w:outlineLvl w:val="5"/>
    </w:pPr>
  </w:style>
  <w:style w:type="paragraph" w:customStyle="1" w:styleId="NummerierungStufe2">
    <w:name w:val="Nummerierung (Stufe 2)"/>
    <w:basedOn w:val="Normal"/>
    <w:rsid w:val="00CB23B3"/>
    <w:pPr>
      <w:numPr>
        <w:ilvl w:val="4"/>
        <w:numId w:val="34"/>
      </w:numPr>
    </w:pPr>
  </w:style>
  <w:style w:type="paragraph" w:customStyle="1" w:styleId="NummerierungStufe3">
    <w:name w:val="Nummerierung (Stufe 3)"/>
    <w:basedOn w:val="Normal"/>
    <w:rsid w:val="00CB23B3"/>
    <w:pPr>
      <w:numPr>
        <w:ilvl w:val="5"/>
        <w:numId w:val="34"/>
      </w:numPr>
    </w:pPr>
  </w:style>
  <w:style w:type="paragraph" w:customStyle="1" w:styleId="NummerierungStufe4">
    <w:name w:val="Nummerierung (Stufe 4)"/>
    <w:basedOn w:val="Normal"/>
    <w:rsid w:val="00CB23B3"/>
    <w:pPr>
      <w:numPr>
        <w:ilvl w:val="6"/>
        <w:numId w:val="3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5"/>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3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3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3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3"/>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3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3"/>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3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3"/>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3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3"/>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3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3"/>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37"/>
      </w:numPr>
      <w:spacing w:after="240"/>
      <w:jc w:val="center"/>
      <w:outlineLvl w:val="2"/>
    </w:pPr>
  </w:style>
  <w:style w:type="paragraph" w:customStyle="1" w:styleId="TitelBezeichner">
    <w:name w:val="Titel Bezeichner"/>
    <w:basedOn w:val="Normal"/>
    <w:next w:val="Titelberschrift"/>
    <w:rsid w:val="00CB23B3"/>
    <w:pPr>
      <w:keepNext/>
      <w:numPr>
        <w:ilvl w:val="5"/>
        <w:numId w:val="3"/>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3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3"/>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3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3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3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2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25"/>
      </w:numPr>
    </w:pPr>
    <w:rPr>
      <w:color w:val="800000"/>
    </w:rPr>
  </w:style>
  <w:style w:type="paragraph" w:customStyle="1" w:styleId="RevisionNummerierungStufe2">
    <w:name w:val="Revision Nummerierung (Stufe 2)"/>
    <w:basedOn w:val="Normal"/>
    <w:rsid w:val="00CB23B3"/>
    <w:pPr>
      <w:numPr>
        <w:ilvl w:val="4"/>
        <w:numId w:val="25"/>
      </w:numPr>
    </w:pPr>
    <w:rPr>
      <w:color w:val="800000"/>
    </w:rPr>
  </w:style>
  <w:style w:type="paragraph" w:customStyle="1" w:styleId="RevisionNummerierungStufe3">
    <w:name w:val="Revision Nummerierung (Stufe 3)"/>
    <w:basedOn w:val="Normal"/>
    <w:rsid w:val="00CB23B3"/>
    <w:pPr>
      <w:numPr>
        <w:ilvl w:val="5"/>
        <w:numId w:val="25"/>
      </w:numPr>
    </w:pPr>
    <w:rPr>
      <w:color w:val="800000"/>
    </w:rPr>
  </w:style>
  <w:style w:type="paragraph" w:customStyle="1" w:styleId="RevisionNummerierungStufe4">
    <w:name w:val="Revision Nummerierung (Stufe 4)"/>
    <w:basedOn w:val="Normal"/>
    <w:rsid w:val="00CB23B3"/>
    <w:pPr>
      <w:numPr>
        <w:ilvl w:val="6"/>
        <w:numId w:val="2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2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2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2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26"/>
      </w:numPr>
    </w:pPr>
    <w:rPr>
      <w:color w:val="800000"/>
    </w:rPr>
  </w:style>
  <w:style w:type="paragraph" w:customStyle="1" w:styleId="RevisionListeStufe2">
    <w:name w:val="Revision Liste (Stufe 2)"/>
    <w:basedOn w:val="Normal"/>
    <w:rsid w:val="00CB23B3"/>
    <w:pPr>
      <w:numPr>
        <w:ilvl w:val="2"/>
        <w:numId w:val="2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26"/>
      </w:numPr>
    </w:pPr>
    <w:rPr>
      <w:color w:val="800000"/>
    </w:rPr>
  </w:style>
  <w:style w:type="paragraph" w:customStyle="1" w:styleId="RevisionListeStufe3">
    <w:name w:val="Revision Liste (Stufe 3)"/>
    <w:basedOn w:val="Normal"/>
    <w:rsid w:val="00CB23B3"/>
    <w:pPr>
      <w:numPr>
        <w:ilvl w:val="4"/>
        <w:numId w:val="2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26"/>
      </w:numPr>
    </w:pPr>
    <w:rPr>
      <w:color w:val="800000"/>
    </w:rPr>
  </w:style>
  <w:style w:type="paragraph" w:customStyle="1" w:styleId="RevisionListeStufe4">
    <w:name w:val="Revision Liste (Stufe 4)"/>
    <w:basedOn w:val="Normal"/>
    <w:rsid w:val="00CB23B3"/>
    <w:pPr>
      <w:numPr>
        <w:ilvl w:val="6"/>
        <w:numId w:val="2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26"/>
      </w:numPr>
    </w:pPr>
    <w:rPr>
      <w:color w:val="800000"/>
    </w:rPr>
  </w:style>
  <w:style w:type="paragraph" w:customStyle="1" w:styleId="RevisionAufzhlungStufe1">
    <w:name w:val="Revision Aufzählung (Stufe 1)"/>
    <w:basedOn w:val="Normal"/>
    <w:rsid w:val="00CB23B3"/>
    <w:pPr>
      <w:numPr>
        <w:numId w:val="2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2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2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3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39"/>
      </w:numPr>
      <w:contextualSpacing/>
    </w:pPr>
  </w:style>
  <w:style w:type="paragraph" w:styleId="ListBullet2">
    <w:name w:val="List Bullet 2"/>
    <w:basedOn w:val="Normal"/>
    <w:uiPriority w:val="99"/>
    <w:semiHidden/>
    <w:unhideWhenUsed/>
    <w:rsid w:val="00635B49"/>
    <w:pPr>
      <w:numPr>
        <w:numId w:val="40"/>
      </w:numPr>
      <w:contextualSpacing/>
    </w:pPr>
  </w:style>
  <w:style w:type="paragraph" w:styleId="ListBullet3">
    <w:name w:val="List Bullet 3"/>
    <w:basedOn w:val="Normal"/>
    <w:uiPriority w:val="99"/>
    <w:semiHidden/>
    <w:unhideWhenUsed/>
    <w:rsid w:val="00635B49"/>
    <w:pPr>
      <w:numPr>
        <w:numId w:val="41"/>
      </w:numPr>
      <w:contextualSpacing/>
    </w:pPr>
  </w:style>
  <w:style w:type="paragraph" w:styleId="ListBullet4">
    <w:name w:val="List Bullet 4"/>
    <w:basedOn w:val="Normal"/>
    <w:uiPriority w:val="99"/>
    <w:semiHidden/>
    <w:unhideWhenUsed/>
    <w:rsid w:val="00635B49"/>
    <w:pPr>
      <w:numPr>
        <w:numId w:val="42"/>
      </w:numPr>
      <w:contextualSpacing/>
    </w:pPr>
  </w:style>
  <w:style w:type="paragraph" w:styleId="ListBullet5">
    <w:name w:val="List Bullet 5"/>
    <w:basedOn w:val="Normal"/>
    <w:uiPriority w:val="99"/>
    <w:semiHidden/>
    <w:unhideWhenUsed/>
    <w:rsid w:val="00635B49"/>
    <w:pPr>
      <w:numPr>
        <w:numId w:val="4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0"/>
      </w:numPr>
      <w:tabs>
        <w:tab w:val="num" w:pos="1492"/>
      </w:tabs>
      <w:spacing w:after="0"/>
      <w:ind w:left="1492" w:hanging="36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44"/>
      </w:numPr>
      <w:contextualSpacing/>
    </w:pPr>
  </w:style>
  <w:style w:type="paragraph" w:styleId="ListNumber2">
    <w:name w:val="List Number 2"/>
    <w:basedOn w:val="Normal"/>
    <w:uiPriority w:val="99"/>
    <w:semiHidden/>
    <w:unhideWhenUsed/>
    <w:rsid w:val="00635B49"/>
    <w:pPr>
      <w:numPr>
        <w:numId w:val="45"/>
      </w:numPr>
      <w:contextualSpacing/>
    </w:pPr>
  </w:style>
  <w:style w:type="paragraph" w:styleId="ListNumber3">
    <w:name w:val="List Number 3"/>
    <w:basedOn w:val="Normal"/>
    <w:uiPriority w:val="99"/>
    <w:semiHidden/>
    <w:unhideWhenUsed/>
    <w:rsid w:val="00635B49"/>
    <w:pPr>
      <w:numPr>
        <w:numId w:val="46"/>
      </w:numPr>
      <w:contextualSpacing/>
    </w:pPr>
  </w:style>
  <w:style w:type="paragraph" w:styleId="ListNumber4">
    <w:name w:val="List Number 4"/>
    <w:basedOn w:val="Normal"/>
    <w:uiPriority w:val="99"/>
    <w:semiHidden/>
    <w:unhideWhenUsed/>
    <w:rsid w:val="00635B49"/>
    <w:pPr>
      <w:numPr>
        <w:numId w:val="47"/>
      </w:numPr>
      <w:contextualSpacing/>
    </w:pPr>
  </w:style>
  <w:style w:type="paragraph" w:styleId="ListNumber5">
    <w:name w:val="List Number 5"/>
    <w:basedOn w:val="Normal"/>
    <w:uiPriority w:val="99"/>
    <w:semiHidden/>
    <w:unhideWhenUsed/>
    <w:rsid w:val="00635B49"/>
    <w:pPr>
      <w:numPr>
        <w:numId w:val="4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ipbt.bundestag.de/doc/btd/17/060/170605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ipbt.bundestag.de/doc/btd/16/122/1612227.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191B264D4E28E47B227723DFA8AA5DB" ma:contentTypeVersion="2" ma:contentTypeDescription="Ein neues Dokument erstellen." ma:contentTypeScope="" ma:versionID="cda5a4dd8cf343f585994a4049b2fa9d">
  <xsd:schema xmlns:xsd="http://www.w3.org/2001/XMLSchema" xmlns:xs="http://www.w3.org/2001/XMLSchema" xmlns:p="http://schemas.microsoft.com/office/2006/metadata/properties" xmlns:ns2="b7abdcab-d3b9-44a0-b655-2dda82212dc9" targetNamespace="http://schemas.microsoft.com/office/2006/metadata/properties" ma:root="true" ma:fieldsID="9d38a5c6a06309c3bb8a3655b0368606" ns2:_="">
    <xsd:import namespace="b7abdcab-d3b9-44a0-b655-2dda82212dc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bdcab-d3b9-44a0-b655-2dda82212dc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0BDE8-E4B0-419F-AB24-4DC724B43573}">
  <ds:schemaRefs>
    <ds:schemaRef ds:uri="http://schemas.openxmlformats.org/officeDocument/2006/bibliography"/>
  </ds:schemaRefs>
</ds:datastoreItem>
</file>

<file path=customXml/itemProps2.xml><?xml version="1.0" encoding="utf-8"?>
<ds:datastoreItem xmlns:ds="http://schemas.openxmlformats.org/officeDocument/2006/customXml" ds:itemID="{2080FA92-1E9B-4841-B43F-0ADB7D332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bdcab-d3b9-44a0-b655-2dda82212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8ABA2-8E5D-4502-A4D4-5B47F50E4331}">
  <ds:schemaRefs>
    <ds:schemaRef ds:uri="http://schemas.microsoft.com/sharepoint/v3/contenttype/forms"/>
  </ds:schemaRefs>
</ds:datastoreItem>
</file>

<file path=customXml/itemProps4.xml><?xml version="1.0" encoding="utf-8"?>
<ds:datastoreItem xmlns:ds="http://schemas.openxmlformats.org/officeDocument/2006/customXml" ds:itemID="{C844E58A-E80E-4C4B-8146-474FAF0235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92</Pages>
  <Words>42550</Words>
  <Characters>242540</Characters>
  <Application>Microsoft Office Word</Application>
  <DocSecurity>0</DocSecurity>
  <Lines>2021</Lines>
  <Paragraphs>569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Lemperle, Isabella</dc:creator>
  <cp:keywords/>
  <dc:description/>
  <cp:lastModifiedBy>Liana Brili</cp:lastModifiedBy>
  <cp:revision>8</cp:revision>
  <cp:lastPrinted>2022-07-12T12:14:00Z</cp:lastPrinted>
  <dcterms:created xsi:type="dcterms:W3CDTF">2022-07-22T11:25:00Z</dcterms:created>
  <dcterms:modified xsi:type="dcterms:W3CDTF">2022-08-22T09:32:00Z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0x010100F191B264D4E28E47B227723DFA8AA5DB</vt:lpwstr>
  </property>
  <property fmtid="{D5CDD505-2E9C-101B-9397-08002B2CF9AE}" pid="3" name="Meta_Sachgebiet">
    <vt:lpwstr/>
  </property>
  <property fmtid="{D5CDD505-2E9C-101B-9397-08002B2CF9AE}" pid="4" name="Meta_Datei-ID">
    <vt:lpwstr/>
  </property>
  <property fmtid="{D5CDD505-2E9C-101B-9397-08002B2CF9AE}" pid="5" name="Meta_Dokumentendatum">
    <vt:lpwstr/>
  </property>
  <property fmtid="{D5CDD505-2E9C-101B-9397-08002B2CF9AE}" pid="6" name="Meta_Wahlperiode">
    <vt:lpwstr/>
  </property>
  <property fmtid="{D5CDD505-2E9C-101B-9397-08002B2CF9AE}" pid="7" name="Meta_Initiant">
    <vt:lpwstr>Bundesministerium der Justiz und für Verbraucherschutz</vt:lpwstr>
  </property>
  <property fmtid="{D5CDD505-2E9C-101B-9397-08002B2CF9AE}" pid="8" name="Bearbeitungsstand">
    <vt:lpwstr>Bearbeitungsstand: 15.07.2022  13:02</vt:lpwstr>
  </property>
  <property fmtid="{D5CDD505-2E9C-101B-9397-08002B2CF9AE}" pid="9" name="Meta_Bezeichnung">
    <vt:lpwstr>Entwurf eines Gesetzes zur Umsetzung von Artikel 8 Absatz 1 bis 7 der  Richtlinie (EU) 2019/904 des Europäischen Parlaments und des Rates vom 5. Juni 2019 über die Verringerung der Auswirkungen bestimmter Kunststoffprodukte auf die Umwelt</vt:lpwstr>
  </property>
  <property fmtid="{D5CDD505-2E9C-101B-9397-08002B2CF9AE}" pid="10" name="Meta_Kurzbezeichnung">
    <vt:lpwstr/>
  </property>
  <property fmtid="{D5CDD505-2E9C-101B-9397-08002B2CF9AE}" pid="11" name="Meta_Abkürzung">
    <vt:lpwstr/>
  </property>
  <property fmtid="{D5CDD505-2E9C-101B-9397-08002B2CF9AE}" pid="12" name="Meta_Typ der Vorschrift">
    <vt:lpwstr>Artikelgesetz</vt:lpwstr>
  </property>
  <property fmtid="{D5CDD505-2E9C-101B-9397-08002B2CF9AE}" pid="13" name="Meta_Federführung">
    <vt:lpwstr>zu Gesetz über den Einwegkunststofffonds: AG WR II 2</vt:lpwstr>
  </property>
  <property fmtid="{D5CDD505-2E9C-101B-9397-08002B2CF9AE}" pid="14" name="Meta_Umsetzung von EU-Recht">
    <vt:lpwstr>Artikel 1 und 2 dieses Gesetzes dienen der Umsetzung von Artikel 8 Absatz 1 bis 7 sowie Artikel 14 der Richtlinie (EU) 2019/904 des Europäischen Parlaments und des Rates vom 5. Juni 2019 über die Verringerung der Auswirkungen bestimmter Kunststoffprodukte</vt:lpwstr>
  </property>
  <property fmtid="{D5CDD505-2E9C-101B-9397-08002B2CF9AE}" pid="15" name="Meta_Umsetzung von EU-Recht_2">
    <vt:lpwstr> auf die Umwelt (ABl. L 155 vom 12.6.2019, S. 1).</vt:lpwstr>
  </property>
  <property fmtid="{D5CDD505-2E9C-101B-9397-08002B2CF9AE}" pid="16" name="Meta_Anlagen">
    <vt:lpwstr>Anlage 1 Liste der Einwegkunststoffprodukte (Produktarten);Anlage 2 Kostentragung nach Produktart</vt:lpwstr>
  </property>
  <property fmtid="{D5CDD505-2E9C-101B-9397-08002B2CF9AE}" pid="17" name="DQP-Ergebnis für Version 4">
    <vt:lpwstr>10 Fehler, 5 Warnungen</vt:lpwstr>
  </property>
</Properties>
</file>