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40E" w:rsidRDefault="00A3740E" w:rsidP="00A3740E">
      <w:pPr>
        <w:ind w:right="2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0832 F-- HR- ------ 20201230 --- --- PROJET</w:t>
      </w:r>
    </w:p>
    <w:p w:rsidR="00A3740E" w:rsidRDefault="00A3740E"/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B0F74" w:rsidRPr="00282E2D" w:rsidRDefault="00DB0F74" w:rsidP="00DF56E1">
            <w:pPr>
              <w:pStyle w:val="SNREPUBLIQUE"/>
            </w:pPr>
            <w:r>
              <w:t>FRANCUSKA REPUBLIKA</w:t>
            </w:r>
          </w:p>
        </w:tc>
      </w:tr>
      <w:tr w:rsidR="00DB0F74" w:rsidRPr="00282E2D" w:rsidTr="006956AB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>Ministarstvo ekološke tranzicije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>Ministarstvo zdravstva i solidarnosti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>Ministarstvo pravosuđa</w:t>
            </w:r>
          </w:p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</w:tbl>
    <w:p w:rsidR="00294A53" w:rsidRPr="00282E2D" w:rsidRDefault="00294A53" w:rsidP="00294A53">
      <w:pPr>
        <w:pStyle w:val="SNNature"/>
      </w:pPr>
      <w:r>
        <w:t>Uredba br.                          od</w:t>
      </w:r>
    </w:p>
    <w:p w:rsidR="00294A53" w:rsidRPr="00282E2D" w:rsidRDefault="00F17BFA" w:rsidP="00294A53">
      <w:pPr>
        <w:pStyle w:val="SNtitre"/>
      </w:pPr>
      <w:r>
        <w:t xml:space="preserve">o stavljanju na raspolaganje informacija koje pomažu u utvrđivanju endokrinih </w:t>
      </w:r>
      <w:proofErr w:type="spellStart"/>
      <w:r>
        <w:t>disruptora</w:t>
      </w:r>
      <w:proofErr w:type="spellEnd"/>
      <w:r>
        <w:t xml:space="preserve"> u proizvodu</w:t>
      </w:r>
    </w:p>
    <w:p w:rsidR="00294A53" w:rsidRPr="00282E2D" w:rsidRDefault="00294A53" w:rsidP="00294A53">
      <w:pPr>
        <w:pStyle w:val="SNNORCentr"/>
      </w:pPr>
      <w:r>
        <w:t>Oznaka NOR: TREP</w:t>
      </w:r>
    </w:p>
    <w:p w:rsidR="00294A53" w:rsidRPr="00282E2D" w:rsidRDefault="00294A53" w:rsidP="00294A53">
      <w:pPr>
        <w:spacing w:before="720"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Zainteresirane strane:</w:t>
      </w:r>
      <w:r>
        <w:rPr>
          <w:rFonts w:ascii="Times New Roman" w:hAnsi="Times New Roman"/>
          <w:i/>
          <w:iCs/>
          <w:sz w:val="24"/>
          <w:szCs w:val="24"/>
        </w:rPr>
        <w:t xml:space="preserve"> Sve osobe koje stavljaju na tržište proizvode za potrošače koji po završetku proizvodnje sadrže tvari čija endokrino štetna svojstva Državna agencija za sigurnost hrane, zaštitu okoliša i rada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Agence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nationale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sécurité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sanitaire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l'alimentation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l'environnement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travail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(ANSES)) smatra potvrđenima, pretpostavljenima ili mogućima</w:t>
      </w:r>
    </w:p>
    <w:p w:rsidR="00294A53" w:rsidRPr="00282E2D" w:rsidRDefault="00294A53" w:rsidP="00294A53">
      <w:pPr>
        <w:spacing w:before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Predmet:</w:t>
      </w:r>
      <w:r>
        <w:rPr>
          <w:rFonts w:ascii="Times New Roman" w:hAnsi="Times New Roman"/>
          <w:i/>
          <w:iCs/>
          <w:sz w:val="24"/>
          <w:szCs w:val="24"/>
        </w:rPr>
        <w:t xml:space="preserve"> Člankom 1. ove Uredbe uvode se nacionalne odredbe potrebne kako bi se dostupnima učinile informacije koje omogućuju utvrđivanje endokrinih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disruptora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u proizvodu. </w:t>
      </w:r>
    </w:p>
    <w:p w:rsidR="00294A53" w:rsidRPr="00282E2D" w:rsidRDefault="00294A53" w:rsidP="00502224">
      <w:pPr>
        <w:pStyle w:val="SNVisa"/>
        <w:ind w:firstLine="708"/>
        <w:rPr>
          <w:i/>
          <w:iCs/>
        </w:rPr>
      </w:pPr>
      <w:r>
        <w:rPr>
          <w:b/>
          <w:bCs/>
          <w:i/>
          <w:iCs/>
        </w:rPr>
        <w:t xml:space="preserve">Stupanje na snagu: </w:t>
      </w:r>
      <w:r>
        <w:rPr>
          <w:i/>
          <w:iCs/>
        </w:rPr>
        <w:t>Uredba</w:t>
      </w:r>
      <w:r>
        <w:rPr>
          <w:i/>
        </w:rPr>
        <w:t xml:space="preserve"> stupa na snagu 1. siječnja 2022.</w:t>
      </w:r>
    </w:p>
    <w:p w:rsidR="00294A53" w:rsidRPr="00282E2D" w:rsidRDefault="00294A53" w:rsidP="00294A53">
      <w:pPr>
        <w:spacing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Sažetak: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Zakonom br. 2020-105 od 10. veljače 2020. o borbi protiv otpada i o kružnom gospodarstvu, takozvanim „Zakonom AGEC”, u članku 13-II. predviđeno je da se uredbom Državnog vijeća utvrde načini provedbe stavljanja na raspolaganje informacija kojima se mogu utvrditi endokrini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disruptori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u proizvodu stavljenom na tržište. Cilj naveden u obrazloženju u potporu tom članku jest „osigurati građanima transparentne informacije o prisutnosti tvari koje imaju endokrino štetna svojstva u proizvodima. Tako je predviđeno da svaka osoba koja stavlja na tržište proizvode koji sadrže tvari s endokrino štetnim svojstvima prema ANSES-u objavljuje popis tih proizvoda i tvari koje svaki od njih sadrži. Popis se objavljuje u otvorenom formatu koji platformama za suradnju omogućuje pretraživanje tih informacija i bolje informiranje potrošača. Informacije koje se mogu objaviti mogu biti, na primjer: kategorija proizvoda, trgovački naziv proizvoda, oznaka proizvoda, kemijski naziv tvari s endokrino štetnim svojstvima, kemijska formula, broj CAS i broj CE tvari s endokrino štetnim svojstvima ili uobičajeni i trgovački nazivi tvari s endokrino štetnim svojstvima. </w:t>
      </w:r>
      <w:r>
        <w:rPr>
          <w:rFonts w:ascii="Times New Roman" w:hAnsi="Times New Roman"/>
          <w:i/>
          <w:iCs/>
          <w:sz w:val="24"/>
          <w:szCs w:val="24"/>
        </w:rPr>
        <w:t xml:space="preserve">Druga nacionalna strategija o endokrinim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disruptorima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(SNPE2) sadrži element o poboljšanju informiranja potrošača.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Anses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se već snažno angažirao putem izrade popisa </w:t>
      </w: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tvari s endokrino štetnim svojstvima (mjera br. 3 Strategije SNPE2). Ovaj propis u skladu je s tim djelovanjem i njegova je svrha osigurati građanima transparentne informacije o prisutnosti tvari koje imaju endokrino štetna svojstva u proizvodima, odnosno u tvarima, smjesama, predmetima i hrani. Za potrebe članka proizvodima u skladu s člankom L. 5232-5. Zakonika o javnom zdravlju smatraju se tvari, smjese i proizvodi kako su definirani u članku 3. Uredbe (EU) br. 1907/2006, osim lijekova,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biocidni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proizvodi kako su definirani u članku 3. Uredbe (EU) br. 528/2012, sredstva za zaštitu bilja u smislu članka 2. Uredbe (EZ) br. 1107/2009, medicinski proizvodi kako su definirani u članku 2. uredbe (EU) br. 2017/745, materijali i predmeti, uključujuću aktivne i inteligentne materijale i predmete, koji dolaze u dodir s hranom, kako su definirani u članku 2. Uredbe (EU) br. 1935/2004, igračke u smisli članka 2. Direktive 2009/48/EZ, kozmetički proizvodi kako su definirani u članku 2. Uredbe (EZ) br. 1223/2009 i proizvodi kako su definirani u članku 2. Direktive 2001/95/EZ i hrana kako je definirana u članku 2. Uredbe (EZ) br. 178/2002.</w:t>
      </w:r>
    </w:p>
    <w:p w:rsidR="007D1BA7" w:rsidRPr="00282E2D" w:rsidRDefault="007D1BA7" w:rsidP="008D5DD6">
      <w:pPr>
        <w:spacing w:before="120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Upućivanja: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Tekst je dostupan na mrežnoj stranici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Légifrance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(https://www.legifrance.fr).</w:t>
      </w:r>
    </w:p>
    <w:p w:rsidR="00294A53" w:rsidRPr="00282E2D" w:rsidRDefault="00294A53" w:rsidP="00CB7E5E">
      <w:pPr>
        <w:keepNext/>
        <w:spacing w:before="720"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Predsjednik Vlade,</w:t>
      </w:r>
    </w:p>
    <w:p w:rsidR="00294A53" w:rsidRPr="00282E2D" w:rsidRDefault="00294A53" w:rsidP="00294A53">
      <w:pPr>
        <w:pStyle w:val="SNVisa"/>
        <w:spacing w:before="0" w:after="0"/>
        <w:ind w:firstLine="709"/>
      </w:pPr>
      <w:r>
        <w:t>na temelju izvješća ministra ekološke tranzicije,</w:t>
      </w:r>
    </w:p>
    <w:p w:rsidR="006956AB" w:rsidRPr="00282E2D" w:rsidRDefault="006956AB" w:rsidP="006956AB">
      <w:pPr>
        <w:pStyle w:val="SNVisa"/>
        <w:rPr>
          <w:iCs/>
        </w:rPr>
      </w:pPr>
      <w:r>
        <w:t>uzimajući u obzir Uredbu (EZ) br. 178/2002 Europskog parlamenta i Vijeća od 28. siječnja 2002. o utvrđivanju općih načela i uvjeta zakona o hrani, osnivanju Europske agencije za sigurnost hrane te utvrđivanju postupaka u područjima sigurnosti hrane,</w:t>
      </w:r>
    </w:p>
    <w:p w:rsidR="006956AB" w:rsidRPr="00282E2D" w:rsidRDefault="006956AB" w:rsidP="006956AB">
      <w:pPr>
        <w:pStyle w:val="SNVisa"/>
        <w:rPr>
          <w:iCs/>
        </w:rPr>
      </w:pPr>
      <w:r>
        <w:t>uzimajući u obzir Uredbu (EZ) br. 1907/2006 Europskog parlamenta i Vijeća od 18. prosinca 2006. o registraciji, evaluaciji, autorizaciji i ograničavanju kemikalija (REACH) i osnivanju Europske agencije za kemikalije te o izmjeni Direktive 1999/45/EZ i stavljanju izvan snage Uredbe Vijeća (EEZ) br. 793/93 i Uredbe Komisije (EZ) br. 1488/94 kao i Direktive Vijeća 76/769/EEZ i direktiva Komisije 91/155/EEZ, 93/67/EEZ, 93/105/EZ i 2000/21/EZ,</w:t>
      </w:r>
    </w:p>
    <w:p w:rsidR="006956AB" w:rsidRPr="00282E2D" w:rsidRDefault="006956AB" w:rsidP="006956AB">
      <w:pPr>
        <w:pStyle w:val="SNVisa"/>
        <w:rPr>
          <w:iCs/>
        </w:rPr>
      </w:pPr>
      <w:r>
        <w:t>uzimajući u obzir Uredbu (EU) br. 2017/745 Europskog parlamenta i Vijeća od 5. travnja 2017. o medicinskim proizvodima, o izmjeni Direktive 2001/83/EZ, Uredbe (EZ) br. 178/2002 i Uredbe (EZ) br. 1223/2009 te o stavljanju izvan snage direktiva Vijeća 90/385/EEZ i 93/42/EEZ,</w:t>
      </w:r>
    </w:p>
    <w:p w:rsidR="006956AB" w:rsidRPr="00282E2D" w:rsidRDefault="006956AB" w:rsidP="006956AB">
      <w:pPr>
        <w:pStyle w:val="SNVisa"/>
      </w:pPr>
      <w:r>
        <w:t>uzimajući u obzir Direktivu (EU) 2015/1535 Europskog parlamenta i Vijeća od 9. rujna 2015. kojom se utvrđuje postupak pružanja informacija u području tehničkih propisa i pravila o uslugama informacijskog društva, a osobito obavijest br.,</w:t>
      </w:r>
    </w:p>
    <w:p w:rsidR="006956AB" w:rsidRPr="00282E2D" w:rsidRDefault="006956AB" w:rsidP="006956AB">
      <w:pPr>
        <w:pStyle w:val="SNVisa"/>
        <w:spacing w:before="0" w:after="0"/>
        <w:ind w:firstLine="709"/>
      </w:pPr>
      <w:r>
        <w:t>uzimajući u obzir Zakonik o zaštiti okoliša, posebice njegov članak L. 541.-1-1.,</w:t>
      </w:r>
    </w:p>
    <w:p w:rsidR="00294A53" w:rsidRPr="00282E2D" w:rsidRDefault="00294A53" w:rsidP="00294A53">
      <w:pPr>
        <w:pStyle w:val="SNVisa"/>
        <w:spacing w:before="0" w:after="0"/>
        <w:ind w:firstLine="709"/>
      </w:pPr>
    </w:p>
    <w:p w:rsidR="00294A53" w:rsidRPr="00282E2D" w:rsidRDefault="00294A53" w:rsidP="00294A53">
      <w:pPr>
        <w:pStyle w:val="SNVisa"/>
        <w:spacing w:before="0" w:after="0"/>
        <w:ind w:firstLine="709"/>
      </w:pPr>
      <w:r>
        <w:t>uzimajući u obzir Kazneni zakonik, posebice njegov članak R. 610-1.,</w:t>
      </w:r>
    </w:p>
    <w:p w:rsidR="00CE41DF" w:rsidRPr="00282E2D" w:rsidRDefault="00CE41DF" w:rsidP="00294A53">
      <w:pPr>
        <w:pStyle w:val="SNVisa"/>
        <w:spacing w:before="0" w:after="0"/>
        <w:ind w:firstLine="709"/>
      </w:pPr>
    </w:p>
    <w:p w:rsidR="006956AB" w:rsidRPr="00282E2D" w:rsidRDefault="006956AB" w:rsidP="006956AB">
      <w:pPr>
        <w:pStyle w:val="SNVisa"/>
        <w:spacing w:before="0" w:after="0"/>
        <w:ind w:firstLine="709"/>
      </w:pPr>
      <w:r>
        <w:t>uzimajući u obzir Zakonik o javnom zdravlju, posebice njegov članak L. 5232-5. u inačici koja proizlazi iz članaka 13. Zakona br. 2020-105 od 10. veljače 2020. o izmjeni Zakona o borbi protiv otpada i kružnom gospodarstvu,</w:t>
      </w:r>
    </w:p>
    <w:p w:rsidR="00294A53" w:rsidRPr="00282E2D" w:rsidRDefault="00294A53" w:rsidP="00294A53">
      <w:pPr>
        <w:pStyle w:val="SNConsultation"/>
      </w:pPr>
      <w:r>
        <w:t>nakon savjetovanja s Državnim vijećem (odjelom za javne radove),</w:t>
      </w:r>
    </w:p>
    <w:p w:rsidR="00294A53" w:rsidRPr="00282E2D" w:rsidRDefault="00294A53" w:rsidP="00CB7E5E">
      <w:pPr>
        <w:pStyle w:val="SNActe"/>
        <w:keepNext/>
      </w:pPr>
      <w:r>
        <w:lastRenderedPageBreak/>
        <w:t>donosi Uredbu:</w:t>
      </w:r>
    </w:p>
    <w:p w:rsidR="00294A53" w:rsidRPr="00282E2D" w:rsidRDefault="00294A53" w:rsidP="00CB7E5E">
      <w:pPr>
        <w:pStyle w:val="SNArticle"/>
        <w:keepNext/>
      </w:pPr>
      <w:r>
        <w:t>Članak 1.</w:t>
      </w:r>
    </w:p>
    <w:p w:rsidR="00294A53" w:rsidRPr="00282E2D" w:rsidRDefault="00294A53" w:rsidP="00CB7E5E">
      <w:pPr>
        <w:pStyle w:val="Textbody"/>
        <w:keepNext/>
        <w:tabs>
          <w:tab w:val="left" w:pos="4448"/>
        </w:tabs>
        <w:spacing w:after="0"/>
        <w:ind w:firstLine="709"/>
      </w:pPr>
      <w:r>
        <w:t>Nakon odjeljka 2. poglavlja II. glave III. sveska II. petog dijela Zakonika o javnom zdravlju (regulatorni dio) dodaje se odjeljak 3. koji glasi kako slijedi:</w:t>
      </w:r>
    </w:p>
    <w:p w:rsidR="00294A53" w:rsidRPr="00282E2D" w:rsidRDefault="00294A53" w:rsidP="00CB7E5E">
      <w:pPr>
        <w:pStyle w:val="Textbody"/>
        <w:keepNext/>
        <w:spacing w:after="0"/>
        <w:ind w:firstLine="709"/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i/>
        </w:rPr>
      </w:pPr>
      <w:r>
        <w:rPr>
          <w:i/>
        </w:rPr>
        <w:t xml:space="preserve">„Odjeljak 3.: Informacije o endokrinim </w:t>
      </w:r>
      <w:proofErr w:type="spellStart"/>
      <w:r>
        <w:rPr>
          <w:i/>
        </w:rPr>
        <w:t>disruptorima</w:t>
      </w:r>
      <w:proofErr w:type="spellEnd"/>
      <w:r>
        <w:rPr>
          <w:i/>
        </w:rPr>
        <w:t xml:space="preserve"> u proizvodima</w:t>
      </w: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ind w:firstLine="709"/>
        <w:jc w:val="center"/>
        <w:rPr>
          <w:i/>
        </w:rPr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>„Pododjeljak 1.: Utvrđivanje popisa tvari s potvrđenim, pretpostavljenim ili mogućim endokrino štetnim svojstvima</w:t>
      </w:r>
    </w:p>
    <w:p w:rsidR="00294A53" w:rsidRPr="00282E2D" w:rsidRDefault="00294A53" w:rsidP="00CB7E5E">
      <w:pPr>
        <w:pStyle w:val="Textbody"/>
        <w:keepNext/>
        <w:spacing w:after="0"/>
        <w:ind w:firstLine="709"/>
        <w:rPr>
          <w:shd w:val="clear" w:color="auto" w:fill="FFFF00"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>„Čl. R.5232-19. - Za potrebe ovog odjeljka proizvodima u smislu članka L.</w:t>
      </w:r>
      <w:r>
        <w:t> </w:t>
      </w:r>
      <w:r>
        <w:rPr>
          <w:i/>
        </w:rPr>
        <w:t>5232-5. smatraju se tvari, smjese i proizvodi kako su definirani u članku 3. Uredbe (EU) br. 1907/2006, osim lijekova, i hrana, kako je definirana u članku 2. Uredbe (EZ) br. 178/2002.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>„I. – Zajedničkom odlukom ministara zdravstva i zaštite okoliša utvrđuje se, nakon mišljenja Državne agencije za sigurnost hrane, zaštitu okoliša i rada, popis tvari s endokrino štetnim svojstvima navedenima u stavku I. članka L.5232-5, podijeljenim u dvije kategorije, potvrđene i pretpostavljene, ovisno o razini znanstvenog dokaza.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>„II. – Zajedničkom odlukom ministara zdravstva i zaštite okoliša utvrđuje se, nakon mišljenja Državne agencije za sigurnost hrane, zaštitu okoliša i rada, popis tvari s mogućim endokrino štetnim svojstvima navedenima u stavku II. članka L.5232-5.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>„III. – Zajedničkom odlukom ministara zdravstva i zaštite okoliša utvrđuju se, nakon mišljenja Državne agencije za sigurnost hrane, zaštitu okoliša i rada, kategorije proizvoda s posebnim opasnostima od izlaganja navedenih u stavku II. članka L.5232-5. s obzirom na izložene skupine stanovništva, uvjete uporabe i zbrinjavanja tih proizvoda i ostale relevantne kriterije.</w:t>
      </w:r>
    </w:p>
    <w:p w:rsidR="008D5DD6" w:rsidRPr="00282E2D" w:rsidRDefault="008D5DD6" w:rsidP="00294A53">
      <w:pPr>
        <w:pStyle w:val="Textbody"/>
        <w:spacing w:after="0"/>
        <w:rPr>
          <w:i/>
        </w:rPr>
      </w:pPr>
    </w:p>
    <w:p w:rsidR="008D5DD6" w:rsidRPr="00282E2D" w:rsidRDefault="008D5DD6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>„Pododjeljak 2.: Stavljanje informacija na raspolaganje javnosti</w:t>
      </w:r>
    </w:p>
    <w:p w:rsidR="00C41624" w:rsidRPr="00282E2D" w:rsidRDefault="00C41624" w:rsidP="00CB7E5E">
      <w:pPr>
        <w:pStyle w:val="Textbody"/>
        <w:keepNext/>
        <w:spacing w:after="0"/>
        <w:rPr>
          <w:i/>
        </w:rPr>
      </w:pPr>
    </w:p>
    <w:p w:rsidR="00294A53" w:rsidRPr="00282E2D" w:rsidRDefault="008D5DD6" w:rsidP="00294A53">
      <w:pPr>
        <w:pStyle w:val="Textbody"/>
        <w:spacing w:after="0"/>
        <w:rPr>
          <w:i/>
        </w:rPr>
      </w:pPr>
      <w:r>
        <w:rPr>
          <w:i/>
        </w:rPr>
        <w:t>„Čl. R.5232-20 - I. – Informacije iz stavaka I. i II. članka L. 5232-5. dostupne su na temelju javne baze podataka s programskim sučeljem kojem se pristupa putem interneta. „— Sadržaj i uvjeti prezentacije tih informacija utvrđuju se zajedničkom odlukom ministra zdravstva i ministra zaštite okoliša.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D462DD" w:rsidP="00294A53">
      <w:pPr>
        <w:pStyle w:val="Textbody"/>
        <w:spacing w:after="0"/>
        <w:rPr>
          <w:i/>
        </w:rPr>
      </w:pPr>
      <w:r>
        <w:rPr>
          <w:i/>
        </w:rPr>
        <w:t xml:space="preserve">„II. </w:t>
      </w:r>
      <w:r w:rsidR="009A5C70">
        <w:rPr>
          <w:i/>
        </w:rPr>
        <w:t xml:space="preserve">– </w:t>
      </w:r>
      <w:bookmarkStart w:id="0" w:name="_GoBack"/>
      <w:bookmarkEnd w:id="0"/>
      <w:r>
        <w:rPr>
          <w:i/>
        </w:rPr>
        <w:t>Informacije iz stavaka I. i II. članka L. 5232-5. na raspolaganje javnosti stavljaju se najkasnije 18 mjeseci nakon objave odluka iz članka R. 5232-19. ”</w:t>
      </w:r>
    </w:p>
    <w:p w:rsidR="00294A53" w:rsidRPr="00282E2D" w:rsidRDefault="00294A53" w:rsidP="00294A53">
      <w:pPr>
        <w:pStyle w:val="Textbody"/>
        <w:spacing w:after="0"/>
        <w:ind w:firstLine="709"/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>„Pododjeljak 3.: Kaznene sankcije</w:t>
      </w:r>
    </w:p>
    <w:p w:rsidR="00856C4D" w:rsidRPr="00282E2D" w:rsidRDefault="00856C4D" w:rsidP="00CB7E5E">
      <w:pPr>
        <w:pStyle w:val="Textbody"/>
        <w:keepNext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 xml:space="preserve">„Čl. R.5232-21. </w:t>
      </w:r>
      <w:r>
        <w:rPr>
          <w:bCs/>
          <w:i/>
        </w:rPr>
        <w:t xml:space="preserve">Osoba koja ne stavi na raspolaganje javnosti, u uvjetima utvrđenima u članku L. 5232-5., informacije koje omogućuju utvrđivanje prisutnosti endokrinih </w:t>
      </w:r>
      <w:proofErr w:type="spellStart"/>
      <w:r>
        <w:rPr>
          <w:bCs/>
          <w:i/>
        </w:rPr>
        <w:t>disruptora</w:t>
      </w:r>
      <w:proofErr w:type="spellEnd"/>
      <w:r>
        <w:rPr>
          <w:bCs/>
          <w:i/>
        </w:rPr>
        <w:t xml:space="preserve"> u proizvodima utvrđenima pod uvjetima iz članka R. 5232-20., kažnjava se novčanom kaznom predviđenom za prekršaje petog razreda.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bCs/>
          <w:i/>
        </w:rPr>
        <w:t>Osoba koja se ne pridržava roka predviđenog u stavku II. članka R. 5232-20. kažnjava se novčanom kaznom predviđenom za prekršaje petog razreda.</w:t>
      </w:r>
    </w:p>
    <w:p w:rsidR="00294A53" w:rsidRPr="00282E2D" w:rsidRDefault="00294A53" w:rsidP="00294A53">
      <w:pPr>
        <w:pStyle w:val="Textbody"/>
        <w:spacing w:after="0"/>
      </w:pPr>
    </w:p>
    <w:p w:rsidR="00294A53" w:rsidRPr="00282E2D" w:rsidRDefault="00856C4D" w:rsidP="00294A53">
      <w:pPr>
        <w:pStyle w:val="Textbody"/>
        <w:spacing w:after="0"/>
      </w:pPr>
      <w:r>
        <w:rPr>
          <w:i/>
        </w:rPr>
        <w:t>„Čl. </w:t>
      </w:r>
      <w:r>
        <w:rPr>
          <w:bCs/>
          <w:i/>
        </w:rPr>
        <w:t xml:space="preserve">R.5232-22. – Ponavljanje prekršaja iz članka R.5232-21. kažnjava se u skladu s člancima 132.-11. i 132.-15. Kaznenog zakonika. </w:t>
      </w:r>
      <w:r>
        <w:rPr>
          <w:i/>
        </w:rPr>
        <w:t>”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  <w:rPr>
          <w:b/>
          <w:bCs/>
        </w:rPr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b/>
          <w:bCs/>
        </w:rPr>
      </w:pPr>
      <w:r>
        <w:rPr>
          <w:b/>
          <w:bCs/>
        </w:rPr>
        <w:t>Članak 2.</w:t>
      </w:r>
    </w:p>
    <w:p w:rsidR="00294A53" w:rsidRPr="00282E2D" w:rsidRDefault="00294A53" w:rsidP="00CB7E5E">
      <w:pPr>
        <w:pStyle w:val="Standard"/>
        <w:keepNext/>
        <w:spacing w:after="0"/>
      </w:pP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  <w:r>
        <w:rPr>
          <w:rStyle w:val="StrongEmphasis"/>
          <w:rFonts w:ascii="Times New Roman" w:hAnsi="Times New Roman"/>
          <w:b w:val="0"/>
          <w:sz w:val="24"/>
          <w:szCs w:val="24"/>
        </w:rPr>
        <w:t xml:space="preserve">Ministrica ekološke tranzicije, ministar solidarnosti i zdravstva i čuvar pečata, ministar pravosuđa zaduženi su, svaki u svom resoru, za provođenje ove Uredbe </w:t>
      </w:r>
      <w:r>
        <w:rPr>
          <w:rFonts w:ascii="Times" w:hAnsi="Times"/>
          <w:sz w:val="24"/>
        </w:rPr>
        <w:t xml:space="preserve">koja će biti objavljena u </w:t>
      </w:r>
      <w:r>
        <w:rPr>
          <w:rFonts w:ascii="Times" w:hAnsi="Times"/>
          <w:i/>
          <w:sz w:val="24"/>
        </w:rPr>
        <w:t>Službenom listu</w:t>
      </w:r>
      <w:r>
        <w:rPr>
          <w:rFonts w:ascii="Times" w:hAnsi="Times"/>
          <w:sz w:val="24"/>
        </w:rPr>
        <w:t xml:space="preserve"> Francuske Republike.</w:t>
      </w: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</w:p>
    <w:p w:rsidR="00294A53" w:rsidRPr="00282E2D" w:rsidRDefault="00294A53" w:rsidP="00294A53">
      <w:pPr>
        <w:pStyle w:val="Textbody"/>
        <w:rPr>
          <w:shd w:val="clear" w:color="auto" w:fill="FFFF00"/>
        </w:rPr>
      </w:pPr>
    </w:p>
    <w:p w:rsidR="00294A53" w:rsidRPr="00282E2D" w:rsidRDefault="00294A53" w:rsidP="00294A53">
      <w:pPr>
        <w:pStyle w:val="SNDate"/>
      </w:pPr>
      <w:r>
        <w:t>Sastavljeno dana</w:t>
      </w:r>
    </w:p>
    <w:p w:rsidR="00294A53" w:rsidRPr="00282E2D" w:rsidRDefault="00294A53" w:rsidP="00294A53">
      <w:pPr>
        <w:pStyle w:val="SNDate"/>
      </w:pPr>
      <w:r>
        <w:t>Po ovlaštenju predsjednika Vlade:</w:t>
      </w:r>
    </w:p>
    <w:p w:rsidR="00294A53" w:rsidRPr="00282E2D" w:rsidRDefault="00294A53" w:rsidP="00294A53">
      <w:pPr>
        <w:pStyle w:val="SNDate"/>
      </w:pPr>
      <w:r>
        <w:t>Ministrica ekološke tranzicije,</w:t>
      </w:r>
    </w:p>
    <w:p w:rsidR="00294A53" w:rsidRPr="00282E2D" w:rsidRDefault="00294A53" w:rsidP="00294A53">
      <w:pPr>
        <w:pStyle w:val="SNDate"/>
      </w:pPr>
      <w:r>
        <w:t>Barbara POMPILI</w:t>
      </w:r>
    </w:p>
    <w:p w:rsidR="00294A53" w:rsidRPr="00282E2D" w:rsidRDefault="00294A53" w:rsidP="00294A53">
      <w:pPr>
        <w:pStyle w:val="SNDate"/>
      </w:pPr>
      <w:r>
        <w:t>Ministar solidarnosti i zdravstva</w:t>
      </w:r>
    </w:p>
    <w:p w:rsidR="00294A53" w:rsidRPr="00282E2D" w:rsidRDefault="00294A53" w:rsidP="00294A53">
      <w:pPr>
        <w:pStyle w:val="SNDate"/>
      </w:pPr>
      <w:r>
        <w:lastRenderedPageBreak/>
        <w:t xml:space="preserve">Olivier VERAN </w:t>
      </w:r>
    </w:p>
    <w:p w:rsidR="00294A53" w:rsidRPr="00282E2D" w:rsidRDefault="00294A53" w:rsidP="00294A53">
      <w:pPr>
        <w:pStyle w:val="SNDate"/>
      </w:pPr>
      <w:r>
        <w:t>Čuvar državnog pečata, ministar pravosuđa</w:t>
      </w:r>
    </w:p>
    <w:p w:rsidR="00294A53" w:rsidRPr="00282E2D" w:rsidRDefault="00294A53" w:rsidP="00294A53">
      <w:pPr>
        <w:pStyle w:val="SNDate"/>
      </w:pPr>
      <w:proofErr w:type="spellStart"/>
      <w:r>
        <w:t>Eric</w:t>
      </w:r>
      <w:proofErr w:type="spellEnd"/>
      <w:r>
        <w:t xml:space="preserve"> DUPONT-MORETTI</w:t>
      </w:r>
    </w:p>
    <w:sectPr w:rsidR="00294A53" w:rsidRPr="00282E2D" w:rsidSect="009D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97F" w:rsidRDefault="000B597F" w:rsidP="006439D9">
      <w:pPr>
        <w:spacing w:after="0" w:line="240" w:lineRule="auto"/>
      </w:pPr>
      <w:r>
        <w:separator/>
      </w:r>
    </w:p>
  </w:endnote>
  <w:endnote w:type="continuationSeparator" w:id="0">
    <w:p w:rsidR="000B597F" w:rsidRDefault="000B597F" w:rsidP="006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97F" w:rsidRDefault="000B597F" w:rsidP="006439D9">
      <w:pPr>
        <w:spacing w:after="0" w:line="240" w:lineRule="auto"/>
      </w:pPr>
      <w:r>
        <w:separator/>
      </w:r>
    </w:p>
  </w:footnote>
  <w:footnote w:type="continuationSeparator" w:id="0">
    <w:p w:rsidR="000B597F" w:rsidRDefault="000B597F" w:rsidP="0064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A53"/>
    <w:rsid w:val="00013A58"/>
    <w:rsid w:val="000165B6"/>
    <w:rsid w:val="000245E7"/>
    <w:rsid w:val="00030F20"/>
    <w:rsid w:val="0004143C"/>
    <w:rsid w:val="000B597F"/>
    <w:rsid w:val="000E06A7"/>
    <w:rsid w:val="000F3F3C"/>
    <w:rsid w:val="001B569F"/>
    <w:rsid w:val="001C1799"/>
    <w:rsid w:val="001D1B71"/>
    <w:rsid w:val="001D6FD1"/>
    <w:rsid w:val="001D7575"/>
    <w:rsid w:val="00222F1E"/>
    <w:rsid w:val="00251D1A"/>
    <w:rsid w:val="00282E2D"/>
    <w:rsid w:val="00294A53"/>
    <w:rsid w:val="00335F03"/>
    <w:rsid w:val="00371980"/>
    <w:rsid w:val="00402427"/>
    <w:rsid w:val="00502224"/>
    <w:rsid w:val="00515153"/>
    <w:rsid w:val="00563D13"/>
    <w:rsid w:val="005B558E"/>
    <w:rsid w:val="006439D9"/>
    <w:rsid w:val="006956AB"/>
    <w:rsid w:val="0073037A"/>
    <w:rsid w:val="0077797E"/>
    <w:rsid w:val="007D1BA7"/>
    <w:rsid w:val="00840F72"/>
    <w:rsid w:val="00856C4D"/>
    <w:rsid w:val="00881E97"/>
    <w:rsid w:val="00884D07"/>
    <w:rsid w:val="008A1273"/>
    <w:rsid w:val="008A6D47"/>
    <w:rsid w:val="008C485B"/>
    <w:rsid w:val="008D5DD6"/>
    <w:rsid w:val="009A5C70"/>
    <w:rsid w:val="009D0F51"/>
    <w:rsid w:val="009D5655"/>
    <w:rsid w:val="00A27370"/>
    <w:rsid w:val="00A3740E"/>
    <w:rsid w:val="00A82D3A"/>
    <w:rsid w:val="00A8799E"/>
    <w:rsid w:val="00A93713"/>
    <w:rsid w:val="00AC0350"/>
    <w:rsid w:val="00AE1254"/>
    <w:rsid w:val="00AE527C"/>
    <w:rsid w:val="00B734F1"/>
    <w:rsid w:val="00B913FD"/>
    <w:rsid w:val="00BB11B6"/>
    <w:rsid w:val="00BC2C42"/>
    <w:rsid w:val="00BF3118"/>
    <w:rsid w:val="00C35B22"/>
    <w:rsid w:val="00C41624"/>
    <w:rsid w:val="00C627FE"/>
    <w:rsid w:val="00C66084"/>
    <w:rsid w:val="00CA2A93"/>
    <w:rsid w:val="00CB7E5E"/>
    <w:rsid w:val="00CC2BF2"/>
    <w:rsid w:val="00CE41DF"/>
    <w:rsid w:val="00D45656"/>
    <w:rsid w:val="00D462DD"/>
    <w:rsid w:val="00D61627"/>
    <w:rsid w:val="00DB0F74"/>
    <w:rsid w:val="00DC7261"/>
    <w:rsid w:val="00DD53E9"/>
    <w:rsid w:val="00DF56E1"/>
    <w:rsid w:val="00E55C23"/>
    <w:rsid w:val="00EF79C2"/>
    <w:rsid w:val="00F17BFA"/>
    <w:rsid w:val="00FA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CF926-CE68-49D5-B446-6935836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A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9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A53"/>
    <w:rPr>
      <w:sz w:val="20"/>
      <w:szCs w:val="20"/>
    </w:rPr>
  </w:style>
  <w:style w:type="paragraph" w:customStyle="1" w:styleId="SNDate">
    <w:name w:val="SNDate"/>
    <w:basedOn w:val="Normal"/>
    <w:next w:val="Normal"/>
    <w:link w:val="SNDateCar"/>
    <w:autoRedefine/>
    <w:qFormat/>
    <w:rsid w:val="00294A53"/>
    <w:pPr>
      <w:spacing w:before="480" w:after="180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rsid w:val="00294A5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uiPriority w:val="99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294A53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next w:val="SNtitre"/>
    <w:autoRedefine/>
    <w:qFormat/>
    <w:rsid w:val="00294A53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next w:val="SNNORCentr"/>
    <w:autoRedefine/>
    <w:qFormat/>
    <w:rsid w:val="00294A53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next w:val="Normal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Timbre">
    <w:name w:val="SNTimbre"/>
    <w:basedOn w:val="Normal"/>
    <w:link w:val="SNTimbreCar"/>
    <w:autoRedefine/>
    <w:uiPriority w:val="99"/>
    <w:qFormat/>
    <w:rsid w:val="00294A53"/>
    <w:pPr>
      <w:widowControl w:val="0"/>
      <w:suppressAutoHyphens/>
      <w:snapToGrid w:val="0"/>
      <w:spacing w:before="120" w:after="0" w:line="240" w:lineRule="auto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rsid w:val="00294A53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uiPriority w:val="99"/>
    <w:qFormat/>
    <w:rsid w:val="00294A53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qFormat/>
    <w:rsid w:val="00294A53"/>
    <w:pPr>
      <w:spacing w:before="480" w:after="36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NArticle">
    <w:name w:val="SNArticle"/>
    <w:basedOn w:val="Normal"/>
    <w:autoRedefine/>
    <w:qFormat/>
    <w:rsid w:val="00294A53"/>
    <w:pPr>
      <w:spacing w:before="240" w:after="24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tandard">
    <w:name w:val="Standard"/>
    <w:rsid w:val="00294A53"/>
    <w:pPr>
      <w:suppressAutoHyphens/>
      <w:autoSpaceDN w:val="0"/>
      <w:spacing w:after="160" w:line="259" w:lineRule="auto"/>
      <w:textAlignment w:val="baseline"/>
    </w:pPr>
    <w:rPr>
      <w:rFonts w:ascii="Calibri" w:eastAsia="宋体" w:hAnsi="Calibri" w:cs="Tahoma"/>
      <w:kern w:val="3"/>
    </w:rPr>
  </w:style>
  <w:style w:type="paragraph" w:customStyle="1" w:styleId="Textbody">
    <w:name w:val="Text body"/>
    <w:basedOn w:val="Standard"/>
    <w:rsid w:val="00294A5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rongEmphasis">
    <w:name w:val="Strong Emphasis"/>
    <w:rsid w:val="00294A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5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D0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D1BA7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D9"/>
  </w:style>
  <w:style w:type="paragraph" w:styleId="Footer">
    <w:name w:val="footer"/>
    <w:basedOn w:val="Normal"/>
    <w:link w:val="Foot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5892-0169-4A02-9B4D-36621EFF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Liu, Lei</cp:lastModifiedBy>
  <cp:revision>7</cp:revision>
  <dcterms:created xsi:type="dcterms:W3CDTF">2020-12-01T11:31:00Z</dcterms:created>
  <dcterms:modified xsi:type="dcterms:W3CDTF">2020-12-30T11:22:00Z</dcterms:modified>
</cp:coreProperties>
</file>