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Annettu:</w:t>
      </w:r>
      <w:r>
        <w:rPr>
          <w:sz w:val="16"/>
          <w:rFonts w:ascii="Verdana" w:hAnsi="Verdana"/>
        </w:rPr>
        <w:t xml:space="preserve"> </w:t>
      </w:r>
      <w:r>
        <w:rPr>
          <w:sz w:val="16"/>
          <w:rFonts w:ascii="Verdana" w:hAnsi="Verdana"/>
        </w:rPr>
        <w:t xml:space="preserve">15. maaliskuuta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Mediavälittäjien sääntelyä koskeva perussääntö valtion mediasopimuksen 96 §:n nojalla</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(MI-perussääntö)</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Peruste</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14.–28. huhtikuuta 2020 tehdyn Valtion mediasopimuksen (MStV) 96 §:n 1 virkkeen (... viite) perusteella [liittovaltion mediaviranomaisen nimi] vahvistaa yhteisymmärryksessä muiden liittovaltion mediaviranomaisten kanssa seuraavan perussäännön: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kohta:</w:t>
      </w:r>
      <w:r>
        <w:rPr>
          <w:b/>
          <w:sz w:val="22"/>
          <w:rFonts w:ascii="Calibri" w:hAnsi="Calibri"/>
        </w:rPr>
        <w:t xml:space="preserve"> </w:t>
      </w:r>
      <w:r>
        <w:rPr>
          <w:b/>
          <w:sz w:val="22"/>
          <w:rFonts w:ascii="Calibri" w:hAnsi="Calibri"/>
        </w:rPr>
        <w:t xml:space="preserve">Yleiset säännökset</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1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Tarkoitus ja tavoite</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MStV:n 96 §:n mukaisesti tässä perussäännössä säädetään mediavälittäjien ja mediatarjoajien sääntelyä koskevien säännösten aineellisista ja menettelyllisistä yksityiskohdista (MStV:n 91-95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Ohjesäännöllä pyritään turvaamaan mielipiteiden (tarjoamisen) moninaisuus.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Tätä perussääntöä sovellettaessa on otettava huomioon mediavälittäjien rooli asianomaisissa käyttäjäryhmissä.</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2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Soveltamisala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Perussäännön soveltamisalaan kuuluvat mediavälittäjät, integroidut mediavälittäjät ja niiden tarjoajat.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MStV:n 91 §:n (1) mukaan termi ”integroitu mediavälittäjä” kattaa välittäjätoiminnan integroinnin kolmansien osapuolten tarjontaan, joten kolmannen osapuolen tarjoamien palvelujen käyttäjät voivat käyttää välittäjätoimintoa.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Edellä 91 §:n 2. momentin 1. kohdan mukainen käyttäjämäärä on yksilöllisten kuukausittaisten käyttäjien summa.</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Jos mediavälittäjä viittaa 91 §:n 1. momentin 2. kohdan MStV-säännökseen, sen on esitettävä ja perusteltava käyttäjien lukumäärä kuukauden kuluessa ja toimitettava tutkintaa varten tarvittavat asiakirjat ja tiedot.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Jos välittäjätoimintoa ei ole vielä tarjottu tai sitä on tarjottu alle kuuteen kuukauteen, mediavälittäjän on laadittava liittovaltion toimivaltaisen mediaviranomaisen pyynnöstä ennuste 91 §:n 2 momentin 1 kohdan MStV mukaisesta käyttäjänumeroiden etenemisestä ja esitettävä uskottavat todisteet sekä toimitettava tutkimista varten tarvittavat asiakirjat ja tiedot.</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3 §</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Valtuutettu edustaja</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Valtuutettu edustaja voi olla luonnollinen henkilö tai oikeushenkilö.</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Luonnollisen henkilön kotipaikan tai asuinpaikan on oltava oikeushenkilön päätoimipaikan sääntömääräinen kotipaikka Saksan liittotasavallassa.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Siirrettävä osoite on ilmoitettava.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MStV:n 92 §:n 1 momentin mukaiset vaatimukset täyttyvät yleensä, jos valtuutettu edustaja nimetään telemedialain (TMG) 5 §:n 1 momentin ja 18 §:n 1 momentin MStV:n edellyttämien tietojen soveltamisalaan.</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Osa 2.</w:t>
      </w:r>
      <w:r>
        <w:rPr>
          <w:b/>
          <w:sz w:val="22"/>
          <w:rFonts w:ascii="Calibri" w:hAnsi="Calibri"/>
        </w:rPr>
        <w:t xml:space="preserve"> </w:t>
      </w:r>
      <w:r>
        <w:rPr>
          <w:b/>
          <w:sz w:val="22"/>
          <w:rFonts w:ascii="Calibri" w:hAnsi="Calibri"/>
        </w:rPr>
        <w:t xml:space="preserve">Avoimuus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4 §</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Tarkoitus ja tavoite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Tämän jakson säännöksillä pyritään varmistamaan, että mediavälittäjien käyttäjille luodaan asianmukainen avoimuus MStV:n 93 §:n 1 momentissa ja 6 §:ssä lueteltujen tietojen osalta (tiedot on tehtävä avoimeksi).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Tämän olisi erityisesti mahdollistettava tiedotusvälineiden välittäjän tietoon perustuva käyttö toimittajien ja toimituksellisten sisältöjen kokoamisessa, valinnassa ja esittelyssä.</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Lisäksi niissä esitellään journalistis-toimituksellisen sisällön tuottajat.</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5 §</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Muodolliset vaatimukset</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MStV:n 93 §:n 1 momentin mukaiset tiedot, MStV:n 93 §:n 3 momentin nojalla tehdyt muutokset ja 6 §:n mukaiset tiedot on ilmoitettava selkeästi saksaksi.</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Näkyvät tiedot ovat helposti havaittavissa MStV:n 93 §:ssä tarkoitetulla tavalla, jos ne asetetaan keskivertokäyttäjän selvästi havaittavaan asemaan ottaen huomioon mediavälittäjän tyypillinen käyttötilanne.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Näin on yleensä, jos läpinäkyvät tiedot ovat selvästi erotettavissa muusta sisällöstä ja ne liittyvät suoraan mediavälittäjän käyttöön liittyviin syöttö- tai navigointivaihtoehtoihin.</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Kun käytetään verkkolinkkiä, jossa viitataan avoimiin tietoihin, edellä mainittuja vaatimuksia sovelletaan vastaavasti.</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Näytettävissä olevat tiedot ovat välittömästi saatavilla MStV:n 93 §:ssä tarkoitetulla tavalla, jos ne ovat käyttäjälle havaittavia ilman merkittäviä välivaiheita.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Näin ei ole varsinkaan silloin, kun tiedot ovat saatavilla useammalla kuin kahdella verkkolinkillä ja/tai tietojen hakeminen riippuu ennakkorekisteröinnistä tai sisäänkirjautumisesta.</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Läpinäkyvät tiedot ovat aina saatavilla MStV:n 93 §:ssä tarkoitetulla tavalla, jos käyttäjä voi käyttää niitä milloin tahansa.</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Läpinäkyvät tiedot toimitetaan MStV:n 93 §:ssä tarkoitetulla ymmärrettävällä kielellä, jos ne voivat antaa keskivertokäyttäjälle peruskäsityksen 93 §:n 1 momentissa tarkoitetuista olosuhteista, joita tarvitaan mediavälittäjän tietoon perustuvaan käyttöön.</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Jos mediavälittäjän käyttö on perustuu pääasiassa äänen käyttämiseen, läpinäkyvät tiedot olisi myös käyttäjän pyynnöstä toistettava akustisesti, jolloin riittää akustinen merkintä siitä, mistä tiedot on toimitettava.</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6 §</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Tiedonantovelvoitteet</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Mediavälittäjän palveluntarjoaja on velvollinen tekemään avoimeksi perusteet, joilla määritetään sisällön saatavuus mediavälittäjälle ja sen säilyttäminen (93 §:n 1 momentin 1 kohtaan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Tätä varten mediavälittäjän on toimitettava erityisesti seuraavat tiedot:</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Kuvaus teknisistä ja taloudellisista sekä palveluntarjoajiin, käyttäjään ja sisältöön liittyvistä edellytyksistä, joilla määritetään, tehdäänkö sisältö havaittavaksi mediavälittäjän kautta.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Jos tietty sisältö suodatetaan, sitä alennetaan tai parannetaan havaittavuuden osalta, kun sitä käytetään tiedotusvälineiden välittäjänä, erityisesti automaattisten järjestelmien avulla, on ilmoitettava kyseisen sisällön luokka ja suodatuksen tai luokittelun tavoitteet, ja</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tiedot siitä, voivatko maksut tai muut suorat tai välilliset luontoisetuudet vaikuttaa mediavälittäjän sisällön saatavuuteen ja säilyttämiseen, ja jos näin on, miten ne voivat vaikuttaa.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Mediavälittäjän on 93 §:n 1 momentin 2 kohdan nojalla tehtävä läpinäkyvyys sisällön kokoamista, valintaa ja esittämistä ja niiden painotusta koskevista keskeisistä perusteista, mukaan lukien käytettyjen algoritmien toimintaa koskevat tiedot.</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Tätä varten mediavälittäjän on toimitettava erityisesti seuraavat tiedot:</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kuvaus mediavälittäjän käyttämistä yhdistämistä, valintaa ja esittelyä koskevista keskeisistä perusteista,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kuvaus keskeisten arviointiperusteiden suhteellisesta painotuksesta suhteessa toisiinsa ja muihin kuin keskusperusteisiin kriteereihin tekemättä jälkimmäistä avoimuutta,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kuvaus keskeisillä perusteilla tavoitelluista optimointitavoitteista,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tiedot siitä, vaikuttavatko maksut tai muut suorat tai välilliset korvaukset mediavälittäjän sisällön löydettävyyteen tai miten ne voivat vaikuttaa siihen suoraan tai epäsuorasti,</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kuvaus sisällön yhdistämisen, valinnan ja esittämisen perustana olevista prosessin perusvaiheista, mukaan lukien, mitkä henkilö- ja muut tiedot sisältyvät aggregointiin, valintaan ja esittelyyn,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tiedot käytetyn personoinnin tyypistä ja laajuudesta sekä siitä, jos on, arvioidaanko sisältöä asianomaisen käyttäjän kannalta,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tiedot siitä, voidaanko, ja jos on, millä tavalla käyttäjien käyttäytyminen mediavälittäjässä voi vaikuttaa sisällön yhdistämiseen, valintaan ja esittämiseen, mukaan lukien viitteitä mahdollisuuksista vaikuttaa käyttäjän käytettävissä asetusten ja osittaisten toimintojen kautta ja</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tiedot siitä, kohdellaanko mediavälittäjän omaa sisältöä, sidosyrityksen sisältöä (AktG-lain 15 §) vai yhteistyökumppaneiden sisältöä erityisellä tavalla yhteen kokoamisen, valinnan ja/tai esittelyn aikana, ja jos näin on, miten se käsittelee mediavälittäjän omaa sisältöä.</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Tärkeät muutokset perusteisiin, jotka on tehtävä läpinäkyviksi 93 §:n 1 momentin nojalla, on tehtävä välittömästi havaittaviksi.</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Tätä varten mediavälittäjän on pidettävä saatavillaan yleiskatsaus, josta käy ilmi ajan mittaan tehdyt merkittävät muutokset.</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Kaikki muut muutokset perusteisiin, jotka on tehtävä läpinäkyviksi 93 §:n 1 momentin nojalla, on julkistettava vähintään neljän kuukauden välein tämän perussäännön voimaantulosta.</w:t>
      </w:r>
      <w:r>
        <w:rPr>
          <w:sz w:val="22"/>
          <w:rFonts w:ascii="Calibri" w:hAnsi="Calibri"/>
        </w:rPr>
        <w:t xml:space="preserve"> </w:t>
      </w:r>
      <w:r>
        <w:rPr>
          <w:sz w:val="22"/>
          <w:rFonts w:ascii="Calibri" w:hAnsi="Calibri"/>
        </w:rPr>
        <w:t xml:space="preserve">Tämän mukaisesti sovelletaan 5 §:ää.</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Osa 3.</w:t>
      </w:r>
      <w:r>
        <w:rPr>
          <w:b/>
          <w:sz w:val="22"/>
          <w:rFonts w:ascii="Calibri" w:hAnsi="Calibri"/>
        </w:rPr>
        <w:t xml:space="preserve"> </w:t>
      </w:r>
      <w:r>
        <w:rPr>
          <w:b/>
          <w:sz w:val="22"/>
          <w:rFonts w:ascii="Calibri" w:hAnsi="Calibri"/>
        </w:rPr>
        <w:t xml:space="preserve">Syrjimättömyys</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7 pykälä</w:t>
      </w:r>
      <w:r>
        <w:rPr>
          <w:b/>
          <w:sz w:val="22"/>
          <w:rFonts w:ascii="Calibri" w:hAnsi="Calibri"/>
        </w:rPr>
        <w:br/>
      </w:r>
      <w:r>
        <w:rPr>
          <w:b/>
          <w:sz w:val="22"/>
          <w:rFonts w:ascii="Calibri" w:hAnsi="Calibri"/>
        </w:rPr>
        <w:t xml:space="preserve">Yleiset säännökset</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MStV:n 94 §:n 1 momentin mukainen mediavälittäjän velvollisuus sisältää myös toimittaja-toimituksellisen tarjouksen määriteltävissä olevat osat ja panokset.</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Määritettäessä erityisen suurta vaikutusvaltaa MStV:n 94 §:n 1 momentissa tarkoitetussa merkityksessä on ratkaisevaa, että mediavälittäjällä on ratkaiseva vaikutus mielipiteenmuodostusprosessissa esiintyvään journalisti-toimituksellisen sisällön havaittavuuteen.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Arvioinnissa voidaan ottaa huomioon erityisesti</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tiedotusvälineiden välittäjän asema asianomaisilla merkityksellisillä markkinoilla;</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yleiskuva käytöstä esimerkiksi käytettävissä olevan käyttövalikoiman, käyttäjänumeroiden, käyttäjien keston ja toiminnan tai käyttäjäkohtaisten näkemysten määrän perusteella.</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8 § Järjestelmäpoikkeama 94 §:n 2 momentin mukaisesti, ensimmäinen vaihtoehtoinen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Ratkaisevaa sen arvioimiseksi, sovelletaanko 94 §:n 2 momentin rikkomista ensimmäistä vaihtoehtoista MStV:tä</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ovat perusteet ja tiedot niiden perusteiden painotuksesta, jotka mediavälittäjä julkistaa täyttääkseen MStV:n 93 §:n 1 momentin mukaisen velvoitteensa, tai</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perusteet ja tiedot niiden perusteiden painotuksesta, jotka mediavälittäjän olisi julkaistava täyttääkseen MStV:n 93 §:n 1 momentin mukaisen velvoitteensa.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Edellä 94 §:n 2 momentissa tarkoitettu poikkeama, ensimmäinen vaihtoehtoinen MStV, katsotaan olevan olemassa erityisesti, jos mediavälittäjän tarjoaja</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ei sovella muita julkaistuja perusteita tai perusteita kuin ne, jotka on julkaistava 93 §:n 1 momentin 1 ja 2 MStV:n mukaisesti, tai</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poikkeaa sisällön kokoamista, valintaa ja esitystapaa koskevien keskeisten kriteerien julkaisemisesta.</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Jos 94 §:n 2 momentissa tarkoitettu poikkeama on järjestelmällinen, ensimmäinen vaihtoehtoinen MStV on järjestelmällinen, ja se on määritettävä kaikkien olosuhteiden kokonaiskuvan perusteella.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Erityisesti on otettava huomioon poikkeaman kesto, säännöllisyys, toisto ja aikataulu.</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Poikkeama on perusteltu, jos se johtuu objektiivisesti perustellusta syystä.</w:t>
      </w:r>
      <w:r>
        <w:rPr>
          <w:sz w:val="22"/>
          <w:rFonts w:ascii="Calibri" w:hAnsi="Calibri"/>
        </w:rPr>
        <w:t xml:space="preserve"> </w:t>
      </w:r>
      <w:r>
        <w:rPr>
          <w:sz w:val="22"/>
          <w:rFonts w:ascii="Calibri" w:hAnsi="Calibri"/>
        </w:rPr>
        <w:t xml:space="preserve">Syitä tähän voivat olla erityisesti</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oikeudelliset kiellot tai oikeudelliset velvoitteet;</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tekniset edellytykset esittämisessä käyttäjälle;</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palvelun eheyden suojaamista koskevat vaatimukset.</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Sitä, onko olemassa objektiivisesti perusteltu syy, arvioidaan sen jälkeen, kun asianosaisten etuja on punnittu, ottaen huomioon MStV:n tavoite varmistaa mielipiteiden moninaisuus.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9 §</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Kohtuuton tukkeutuminen 94 §:n 2 momentin mukaisesti, toinen vaihtoehto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Direktiivin 94 §:n 2 momentin toisessa vaihtoehtoisessa MStV:ssä tarkoitettu este on toimittaja-toimituksellisen tarjouksen saannin tai löytämisen välitön tai välillinen heikentyminen.</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Sovelletaan vastaavasti 8 §:n 1 momenttia.</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onko 94 §:n 2 momentissa tarkoitettu este, toinen vaihtoehtoinen MStV, määritetään järjestelmällisesti kaikkien olosuhteiden kokonaiskuvan perusteella.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Tutkimuksen kesto, säännöllisyys, toisto ja säännönmukaisuus on otettava huomioon.</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Esteen kohtuuton luonne arvioidaan osapuolten etujen välisen tasapainon perusteella ottaen huomioon MStV:n tavoite, joka on mielipiteiden moninaisuuden turvaaminen.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Tutkimuksen kohtuuton luonne voi johtua yksittäisistä kriteereistä tai useiden kriteerien yhteisvaikutuksesta.</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Osa 4.</w:t>
      </w:r>
      <w:r>
        <w:rPr>
          <w:b/>
          <w:sz w:val="22"/>
          <w:rFonts w:ascii="Calibri" w:hAnsi="Calibri"/>
        </w:rPr>
        <w:t xml:space="preserve"> </w:t>
      </w:r>
      <w:r>
        <w:rPr>
          <w:b/>
          <w:sz w:val="22"/>
          <w:rFonts w:ascii="Calibri" w:hAnsi="Calibri"/>
        </w:rPr>
        <w:t xml:space="preserve">Menettely ja tutkinta</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10 §</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ZAK:n toimivalta</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Tämän perussäännön puitteissa suoritettavia tehtäviä varten liittovaltion toimivaltaisen mediaviranomaisen (ZAK) toimilupa- ja valvontatoimikunta (ZAK) toimii sopivana elimenä (104 §:n 2 momentin virke 1 nro 1, 105 §:n 1 momentti 1 nro 10 MStV yhdessä ZAK:n työjärjestyksen – GVO ZAK) kanssa.</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Toimivaltaisen liittovaltion mediaviranomaisen on välittömästi välitettävä valitukset ZAK:lle 11 §:n mukaisen yhteisen toimiston välityksellä ja ilmoitettava sille viran puolesta suoritetuista tutkimuksista.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ZAK hoitaa asian käsittelyn, kunnes päätös on valmis.</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11 §</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Syrjimättömyysmenettely</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Liittovaltion toimivaltaisen viestintäviranomaisen on tutkittava ZAK:n välityksellä kantelun perusteella tai ilmiselvästi viran puolesta, rikkooko mediavälittäjä MStV:n 94 §:n 1 ja 2 momentin tai 8 ja 9 §:n säännöksiä.</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Oikeus hakea muutosta 94 §:n 3 momentin 1 MStV kohdassa tarkoitetulla tavalla</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toimittaja-toimituksellisen sisällön tarjoajat ja</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media-alustojen ja käyttöliittymien tarjoajat, jos ne valittavat tarjoamiensa journalistis-toimituksellisen sisällön pakettien syrjinnästä.</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Kantelijan on perusteltava valituksensa.</w:t>
      </w:r>
      <w:r>
        <w:rPr>
          <w:sz w:val="22"/>
          <w:rFonts w:ascii="Calibri" w:hAnsi="Calibri"/>
        </w:rPr>
        <w:t xml:space="preserve"> </w:t>
      </w:r>
      <w:r>
        <w:rPr>
          <w:sz w:val="22"/>
          <w:rFonts w:ascii="Calibri" w:hAnsi="Calibri"/>
        </w:rPr>
        <w:t xml:space="preserve">Tätä varten on esitettävä asianmukaiset todisteet, joista ilmenee riittävä näyttö väitetylle toimittaja-toimituksellisen sisällön syrjinnälle MStV:n 94 §:n 2 momentissa tai 8 ja 9 §:ssä tarkoitetulla tavalla.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Erityisesti voidaan toimittaa seuraavat tiedot:</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oman journalistis-toimituksellisen sisällön löydettävyyden arviointi mediavälittäjässä ja</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soveltuvat opinnot.</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Kantelijan on lisäksi mahdollisuuksien mukaan esitettävä asianmukaiset todisteet, joiden perusteella on riittävästi näyttöä siitä, että mediavälittäjällä on erityisen suuri vaikutus journalistis-toimituksellisen sisällön havaittavuuteen MStV:n 94 §:n 1 momentissa tarkoitetulla tavalla.</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On olemassa 94 §:n 3 momentin 2 MStV:n ja 1 kohdan nojalla ilmeinen tapaus, jos syrjintäkiellon rikkomisen taustalla olevat tosiseikat ovat selvästi tunnistettavissa kolmansille osapuolille.</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12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Korjaavat toimenpiteet</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Jos liittovaltion toimivaltainen mediaviranomainen toteaa ZAK:n välityksellä, että mediavälittäjä rikkoo MStV:n 92-94 §:n tai tämän perussäännön määräyksiä, mediavälittäjän on välittömästi oikaistava toimintansa.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Mediavälittäjän on toimitettava asianmukainen ja ymmärrettävä todiste oikaisusta liittovaltion toimivaltaiselle mediaviranomaiselle.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13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Tiedottaminen ja asiakirjojen toimittaminen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Todentaakseen mahdollisen rikkomisen mediavälittäjän on toimitettava kaikki tarvittavat tiedot, asetettava tiedot saataville ja toimitettava asiakirjoja.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Toimivaltainen liittovaltion mediaviranomainen voi erityisesti</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vaatia toimittamaan kaikki asiakirjat, jotka osoittavat 93 §:n 1 momentin 1 MStV kohdassa tarkoitetut perusteet tai keskeiset perusteet ja niiden painotushiekan, myös 93 §:n 1 momentin 2 MStV kohdassa tarkoitettujen algoritmien toimintaa;</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kuulla todistajina tiedotusvälineiden välittäjän työntekijöitä, jotka osallistuvat 93 §:n 1 momentin 1 kohdassa tarkoitettujen perusteiden määrittelyyn, tekniseen täytäntöönpanoon ja muuttamiseen tai keskeisiin perusteisiin ja niiden painotukseen sekä 93 §:n 1 momentin 2 MStV kohdassa tarkoitettuihin algoritmeihin;</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vaatia mediavälittäjältä todistusta tiedoista, jotka on tehtävä läpinäkyväksi MStV:n 93 §:n 1 momentin ja 6 §:n mukaisesti;</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vaatia sellaisten sopimusten, sitoumusten tai muiden velvoitteiden toimittamista, jotka liittyvät objektiivisesti sisällön saatavuuteen ja säilyttämiseen tiedotusvälineiden välittäjälle, erityisesti siltä osin kuin ne koskevat journalisti-toimituksellisen sisällön sisällyttämistä, esittämistä ja säilyttämistä.</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WEdellä 1 kohdassa tarkoitettuja asiakirjoja toimittaessaan mediavälittäjän on merkittävä ne asiakirjojen osat, jotka sisältävät liikesalaisuuksia.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Tässä tapauksessa on lisäksi toimitettava versio, jota kolmannet osapuolet voivat tarkastella liikesalaisuuksien paljastumatta.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Jos näin ei tehdä, liittovaltion mediaviranomainen voi hyväksyä tarkastuksen, ellei se ole tietoinen erityisistä olosuhteista, jotka eivät oikeuta tällaista olettamusta.</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Jos liittovaltion mediaviranomainen katsoo, että asiakirjojen merkitseminen liikesalaisuudeksi on perusteetonta, sen on annettava toimittajalle mahdollisuus esittää huomautuksia ennen kuin se päättää, myöntääkö se kolmansille osapuolille oikeuden tutustua asiakirjoihin.</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Osa 5.</w:t>
      </w:r>
      <w:r>
        <w:rPr>
          <w:b/>
          <w:sz w:val="22"/>
          <w:rFonts w:ascii="Calibri" w:hAnsi="Calibri"/>
        </w:rPr>
        <w:t xml:space="preserve"> </w:t>
      </w:r>
      <w:r>
        <w:rPr>
          <w:b/>
          <w:sz w:val="22"/>
          <w:rFonts w:ascii="Calibri" w:hAnsi="Calibri"/>
        </w:rPr>
        <w:t xml:space="preserve">Loppusäännökset</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14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Uudelleentarkastelu</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ZAK tarkistaa tämän perussäännön vähintään joka kolmas vuosi ottaen erityisesti huomioon</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tämän perussäännön käytännön soveltamisesta saadut kokemukset;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sääntelyalan teknisen ja taloudellisen kehityksen;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yksittäisten mediavälittäjien merkityksen yleisen mielipiteen muodostamisessa;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yhteissääntelyn kehityksen, kuten toimialan laajuiset sitoumukset;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avoimuutta ja syrjintää koskevan tutkimuksen kehittämisen;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tutkimuksen ja tieteen kehittämisen data-analyysin, tekoälyn ja koneoppimisen alalla.</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15 §</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Voimaantulo</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Tämä perussääntö tulee voimaan 1. syyskuuta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Jos kaikki liittovaltion tiedotusvälineet eivät ole säätäneet ja julkistaneet vastaavia perussääntöjä 31. elokuuta 2021 mennessä, tämä ohjesääntö poistuu käytöstä.</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Liittovaltion mediaviraston (DLM) johtajien konferenssin puheenjohtaja julkaisee internetissä kattokäsitteen ”die medienanstalten” alla, ovatko kaikki liittovaltion mediaviranomaiset säätäneet ja julkistaneet vastaavat säännöt virkkeessä 2 säädetyssä määräajassa.</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Ilmoitettu teknisiä määräyksiä ja tietoyhteiskunnan palveluja koskevia määräyksiä koskevien tietojen toimittamisessa noudatettavasta menettelystä 9.9.2015 annetun Euroopan parlamentin ja neuvoston direktiivin (EU) 2015/1535 mukaisesti</w:t>
      </w:r>
      <w:r>
        <w:rPr>
          <w:rFonts w:asciiTheme="minorHAnsi" w:hAnsiTheme="minorHAnsi"/>
        </w:rPr>
        <w:t xml:space="preserve"> (OJ L 241,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fi-FI"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