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322" w:rsidRPr="00FC0D01" w:rsidRDefault="00251322" w:rsidP="00251322">
      <w:pPr>
        <w:spacing w:before="120" w:line="320" w:lineRule="exact"/>
        <w:rPr>
          <w:sz w:val="16"/>
          <w:szCs w:val="16"/>
          <w:rFonts w:ascii="Verdana" w:hAnsi="Verdana"/>
        </w:rPr>
      </w:pPr>
      <w:r>
        <w:rPr>
          <w:sz w:val="16"/>
          <w:rFonts w:ascii="Verdana" w:hAnsi="Verdana"/>
        </w:rPr>
        <w:t xml:space="preserve">Kaip:</w:t>
      </w:r>
      <w:r>
        <w:rPr>
          <w:sz w:val="16"/>
          <w:rFonts w:ascii="Verdana" w:hAnsi="Verdana"/>
        </w:rPr>
        <w:t xml:space="preserve"> </w:t>
      </w:r>
      <w:r>
        <w:rPr>
          <w:sz w:val="16"/>
          <w:rFonts w:ascii="Verdana" w:hAnsi="Verdana"/>
        </w:rPr>
        <w:t xml:space="preserve">2021 m. kovo 15 d.</w:t>
      </w:r>
    </w:p>
    <w:p w:rsidR="002C21BC" w:rsidRPr="00B93BDE" w:rsidRDefault="009C24A4">
      <w:pPr>
        <w:rPr>
          <w:sz w:val="22"/>
          <w:szCs w:val="22"/>
          <w:rFonts w:ascii="Calibri" w:hAnsi="Calibri"/>
        </w:rPr>
      </w:pPr>
      <w:r>
        <w:rPr>
          <w:sz w:val="22"/>
          <w:rFonts w:ascii="Calibri" w:hAnsi="Calibri"/>
        </w:rPr>
        <w:t xml:space="preserve">__________________________________________________________________________________</w:t>
      </w:r>
    </w:p>
    <w:p w:rsidR="009C24A4" w:rsidRPr="009C24A4" w:rsidRDefault="009C24A4" w:rsidP="003564B3">
      <w:pPr>
        <w:autoSpaceDE w:val="0"/>
        <w:autoSpaceDN w:val="0"/>
        <w:adjustRightInd w:val="0"/>
        <w:spacing w:line="276" w:lineRule="auto"/>
        <w:jc w:val="center"/>
        <w:rPr>
          <w:rFonts w:ascii="Calibri" w:hAnsi="Calibri"/>
          <w:sz w:val="22"/>
          <w:szCs w:val="22"/>
        </w:rPr>
      </w:pPr>
    </w:p>
    <w:p w:rsidR="008C60A0" w:rsidRPr="008C60A0" w:rsidRDefault="00D87095" w:rsidP="003564B3">
      <w:pPr>
        <w:spacing w:line="276" w:lineRule="auto"/>
        <w:jc w:val="center"/>
        <w:rPr>
          <w:b/>
          <w:sz w:val="22"/>
          <w:szCs w:val="22"/>
          <w:rFonts w:ascii="Calibri" w:eastAsia="Calibri" w:hAnsi="Calibri"/>
        </w:rPr>
      </w:pPr>
      <w:r>
        <w:rPr>
          <w:b/>
          <w:sz w:val="22"/>
          <w:rFonts w:ascii="Calibri" w:hAnsi="Calibri"/>
        </w:rPr>
        <w:t xml:space="preserve">Žiniasklaidos tarpininkų reguliavimo statutas pagal Valstybinės žiniasklaidos sutarties 96 straipsnį</w:t>
      </w:r>
    </w:p>
    <w:p w:rsidR="008C60A0" w:rsidRPr="008C60A0" w:rsidRDefault="008C60A0" w:rsidP="003564B3">
      <w:pPr>
        <w:spacing w:line="276" w:lineRule="auto"/>
        <w:jc w:val="center"/>
        <w:rPr>
          <w:b/>
          <w:sz w:val="22"/>
          <w:szCs w:val="22"/>
          <w:rFonts w:ascii="Calibri" w:eastAsia="Calibri" w:hAnsi="Calibri"/>
        </w:rPr>
      </w:pPr>
      <w:r>
        <w:rPr>
          <w:b/>
          <w:sz w:val="22"/>
          <w:rFonts w:ascii="Calibri" w:hAnsi="Calibri"/>
        </w:rPr>
        <w:br/>
      </w:r>
      <w:r>
        <w:rPr>
          <w:b/>
          <w:sz w:val="22"/>
          <w:rFonts w:ascii="Calibri" w:hAnsi="Calibri"/>
        </w:rPr>
        <w:t xml:space="preserve">(MI statutas)</w:t>
      </w:r>
    </w:p>
    <w:p w:rsidR="008C60A0" w:rsidRPr="008C60A0" w:rsidRDefault="008C60A0" w:rsidP="003564B3">
      <w:pPr>
        <w:spacing w:line="276" w:lineRule="auto"/>
        <w:jc w:val="center"/>
        <w:rPr>
          <w:b/>
          <w:sz w:val="22"/>
          <w:szCs w:val="22"/>
          <w:rFonts w:ascii="Calibri" w:eastAsia="Calibri" w:hAnsi="Calibri"/>
        </w:rPr>
      </w:pPr>
      <w:r>
        <w:rPr>
          <w:sz w:val="22"/>
          <w:rFonts w:ascii="Calibri" w:hAnsi="Calibri"/>
        </w:rPr>
        <w:br/>
      </w:r>
      <w:r>
        <w:rPr>
          <w:sz w:val="22"/>
          <w:b/>
          <w:rFonts w:ascii="Calibri" w:hAnsi="Calibri"/>
        </w:rPr>
        <w:t xml:space="preserve">...</w:t>
      </w:r>
    </w:p>
    <w:p w:rsidR="008C60A0" w:rsidRPr="008C60A0" w:rsidRDefault="008C60A0" w:rsidP="003564B3">
      <w:pPr>
        <w:spacing w:line="276" w:lineRule="auto"/>
        <w:jc w:val="center"/>
        <w:rPr>
          <w:rFonts w:ascii="Calibri" w:eastAsia="Calibri" w:hAnsi="Calibri"/>
          <w:sz w:val="22"/>
          <w:szCs w:val="22"/>
          <w:lang w:eastAsia="en-US"/>
        </w:rPr>
      </w:pPr>
    </w:p>
    <w:p w:rsidR="008C60A0" w:rsidRPr="008C60A0" w:rsidRDefault="008C60A0" w:rsidP="003564B3">
      <w:pPr>
        <w:spacing w:line="276" w:lineRule="auto"/>
        <w:rPr>
          <w:bCs/>
          <w:sz w:val="22"/>
          <w:szCs w:val="22"/>
          <w:rFonts w:ascii="Calibri" w:eastAsia="Calibri" w:hAnsi="Calibri"/>
        </w:rPr>
      </w:pPr>
      <w:r>
        <w:rPr>
          <w:sz w:val="22"/>
          <w:rFonts w:ascii="Calibri" w:hAnsi="Calibri"/>
        </w:rPr>
        <w:t xml:space="preserve">Remiantis 2020 m. balandžio 14–28 d. Valstybinės žiniasklaidos sutarties (MStV) 96 straipsnio 1 sakiniu (... nuoroda), [federalinė valstybinės žiniasklaidos institucijos pavadinimas], susitarus su kitomis federalinės valstybinės žiniasklaidos institucijomis, priima šį statutą:</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1 skyrius.</w:t>
      </w:r>
      <w:r>
        <w:rPr>
          <w:b/>
          <w:sz w:val="22"/>
          <w:rFonts w:ascii="Calibri" w:hAnsi="Calibri"/>
        </w:rPr>
        <w:t xml:space="preserve"> </w:t>
      </w:r>
      <w:r>
        <w:rPr>
          <w:b/>
          <w:sz w:val="22"/>
          <w:rFonts w:ascii="Calibri" w:hAnsi="Calibri"/>
        </w:rPr>
        <w:t xml:space="preserve">Bendrosios nuostatos</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1 straipsnis</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Tikslas ir siekis</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1) Pagal MStV 96 straipsnį šis statutas reglamentuoja išsamią informaciją apie žiniasklaidos tarpininkų ir žiniasklaidos tarpininkų teikėjų reguliavimo teisinių nuostatų materialinę ir procedūrinę specifikaciją (straipsniai 91–95 MStV).</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2) Šis statutas padeda užtikrinti nuomonių įvairovę (pasiūlymo ir teikėjų įvairovę).</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3) Taikant šį statutą atsižvelgiama į žiniasklaidos tarpininkų vaidmenį atitinkamose vartotojų grupėse.</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2 straipsnis</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Taikymo sritis</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Įstatų taikymo sritis apima žiniasklaidos tarpininkus, integruotus žiniasklaidos tarpininkus ir jų teikėjus.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Sąvoka „integruotasis žiniasklaidos tarpininkas“ pagal MStV 91 straipsnio 1 dalį apima bet kokį tarpininko funkcijos integravimą į trečiųjų šalių pasiūlą, kuri leidžia trečiųjų šalių siūlomų paslaugų vartotojams naudotis tarpininko funkcija.</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2) Naudotojų skaičius pagal 91 straipsnio 2 dalies 1 pastraipą MStV yra unikalių mėnesio naudotojų suma.</w:t>
      </w:r>
      <w:r>
        <w:rPr>
          <w:sz w:val="22"/>
          <w:rFonts w:ascii="Calibri" w:hAnsi="Calibri"/>
        </w:rPr>
        <w:t xml:space="preserve"> </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3) Jei žiniasklaidos tarpininko teikėjas remiasi 91 straipsnio 2 dalies 1 punkto MStV reglamentu, jis kompetentingos federalinės valstybinės žiniasklaidos institucijos prašymu per mėnesį pateikia ir pagrindžia naudotojų skaičių bei pateikia tyrimui reikalingus dokumentus ir informaciją.</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4) Jei tarpininko funkcija dar nebuvo pasiūlyta arba buvo pasiūlyta trumpiau nei šešis mėnesius, žiniasklaidos tarpininko teikėjas kompetentingos federalinės valstybinės žiniasklaidos institucijos prašymu pateikia naudotojų numerių progresavimo prognozę, kaip apibrėžta 91 straipsnio 2 dalies 1 pastraipoje, ir pateikia patikimus įrodymus, taip pat pateikia tyrimui reikalingus dokumentus ir informaciją.</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3 straipsnis</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Įgaliotasis atstovas</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1) Įgaliotasis atstovas gali būti fizinis arba juridinis asmuo.</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Fizinių asmenų nuolatinė gyvenamoji vieta arba nuolatinė gyvenamoji vieta, juridinių asmenų pagrindinė verslo vieta turi būti Vokietijos Federacinėje Respublikoje.</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Nurodomas pašaukiamas adresas.</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3) Reikalavimai pagal 92 straipsnio 1 sakinio antrąjį sakinį MStV paprastai įvykdomi, jei įgaliotasis agentas yra paskirtas pagal Televizijos įstatymo (TMG) 5 straipsnio 1 dalį ir MStV 18 straipsnio 1 dalį.</w:t>
      </w: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2 skyrius.</w:t>
      </w:r>
      <w:r>
        <w:rPr>
          <w:b/>
          <w:sz w:val="22"/>
          <w:rFonts w:ascii="Calibri" w:hAnsi="Calibri"/>
        </w:rPr>
        <w:t xml:space="preserve"> </w:t>
      </w:r>
      <w:r>
        <w:rPr>
          <w:b/>
          <w:sz w:val="22"/>
          <w:rFonts w:ascii="Calibri" w:hAnsi="Calibri"/>
        </w:rPr>
        <w:t xml:space="preserve">Skaidrumas</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4 straipsnis</w:t>
      </w:r>
    </w:p>
    <w:p w:rsidR="00D87095" w:rsidRDefault="00D87095" w:rsidP="00D87095">
      <w:pPr>
        <w:spacing w:line="276" w:lineRule="auto"/>
        <w:jc w:val="center"/>
        <w:rPr>
          <w:b/>
          <w:sz w:val="22"/>
          <w:szCs w:val="22"/>
          <w:rFonts w:ascii="Calibri" w:eastAsia="Calibri" w:hAnsi="Calibri"/>
        </w:rPr>
      </w:pPr>
      <w:r>
        <w:rPr>
          <w:b/>
          <w:sz w:val="22"/>
          <w:rFonts w:ascii="Calibri" w:hAnsi="Calibri"/>
        </w:rPr>
        <w:t xml:space="preserve">Tikslas ir siekis</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Šio skirsnio nuostatomis siekiama užtikrinti tinkamą žiniasklaidos tarpininkų naudotojų skaidrumą, susijusį su MStV 93 straipsnio 1 dalyje ir 6 dalyje išvardyta informacija (informacija turi būti skaidri).</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Visų pirma tai turėtų sudaryti sąlygas žiniasklaidos tarpininkui naudotis informacija apie žurnalistinio redakcinio turinio kaupimą, atranką ir pateikimą.</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Jie taip pat kreipiasi į žurnalistų redakcinio turinio teikėjus.</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5 straipsnis</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Oficialūs reikalavimai</w:t>
      </w:r>
    </w:p>
    <w:p w:rsidR="00D87095" w:rsidRPr="00D87095" w:rsidRDefault="00D87095"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1) Informacija pagal MStV 93 straipsnio 1 dalį, pakeitimai pagal MStV 93 straipsnio 3 dalį ir informacija pagal 6 straipsnį turi būti skaidrūs vokiečių kalba.</w:t>
      </w:r>
    </w:p>
    <w:p w:rsidR="002A4057" w:rsidRPr="00D87095"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Informacija, kurią reikia padaryti skaidria, yra lengvai suprantama, kaip apibrėžta MStV 93 straipsnyje, jei ji yra aiškiai suvokiamoje padėtyje vidutiniam vartotojui, atsižvelgiant į tipinę žiniasklaidos tarpininko naudojimo padėtį.</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Paprastai taip yra tada, kai skaidrią informaciją galima aiškiai atskirti nuo likusio turinio ir ji yra tiesiogiai susijusi su įvesties ar navigacijos galimybėmis, kurios yra būtinos žiniasklaidos tarpininko naudojimui.</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Naudojant žiniatinklio nuorodą, kurioje daroma nuoroda į informaciją, kuri turi būti skaidri, atitinkamai taikomi pirmiau nurodyti reikalavimai.</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3)</w:t>
      </w:r>
      <w:r>
        <w:rPr>
          <w:sz w:val="22"/>
          <w:vertAlign w:val="superscript"/>
          <w:rFonts w:ascii="Calibri" w:hAnsi="Calibri"/>
        </w:rPr>
        <w:t xml:space="preserve">1</w:t>
      </w:r>
      <w:r>
        <w:rPr>
          <w:sz w:val="22"/>
          <w:rFonts w:ascii="Calibri" w:hAnsi="Calibri"/>
        </w:rPr>
        <w:t xml:space="preserve">Informacija, kuri turi būti skaidri, yra iš karto prieinama pagal MStV 93 straipsnį, jei ji vartotojui pastebima be reikšmingų tarpinių etapų.</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Tai ypač netaikoma, jei informacija yra prieinama su daugiau nei dviem interneto nuorodomis ir (arba) informacijos gavimas priklauso nuo išankstinės registracijos arba prisijungimo.</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4) Informacija, kuri turi būti skaidri, visada prieinama pagal MStV 93 straipsnį, jei naudotojas gali ja naudotis bet kuriuo metu.</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5) Informacija, kuri turi būti skaidri, pateikiama suprantama kalba, kaip apibrėžta MStV 93 straipsnyje, jei ji gali padėti vidutiniam naudotojui iš esmės suprasti aplinkybes, nurodytas MStV 93 straipsnio 1 dalyje, kurios reikalingos informacijai naudotis žiniasklaidos tarpininku.</w:t>
      </w:r>
    </w:p>
    <w:p w:rsidR="002A4057" w:rsidRDefault="002A4057"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6) Jei žiniasklaidos tarpininkas daugiausia naudojamas balsu, informacija, kurią reikia padaryti skaidria, vartotojo prašymu taip pat turėtų būti atgaminama akustiškai, o akustinis nurodymas, kur pateikiama skaidri informacija, yra pakankamas.</w:t>
      </w: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6 straipsnis</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Pareigos teikti informaciją</w:t>
      </w:r>
    </w:p>
    <w:p w:rsidR="00D87095" w:rsidRPr="00D87095" w:rsidRDefault="00D87095" w:rsidP="002A4057">
      <w:pPr>
        <w:spacing w:line="276" w:lineRule="auto"/>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 Žiniasklaidos tarpininko teikėjas privalo skaidriai nustatyti kriterijus, pagal kuriuos nustatoma prieiga prie turinio žiniasklaidos tarpininkui ir jo išsaugojimas (93 straipsnio 1 dalies 1 pastraipa).</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Šiuo tikslu žiniasklaidos tarpininko teikėjas visų pirma privalo pateikti šią informaciją:</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Techninių, ekonominių, su paslaugų teikėju susijusių, su naudotoju ir su turiniu susijusių sąlygų, pagal kurias nustatoma, ar turinys yra suvokiamas per žiniasklaidos tarpininką, aprašymas,</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tuo atveju, kai tam tikras turinys filtruojamas, mažinamas ar pagerinamas jautrumu, kai jis patenka į žiniasklaidos tarpininką ir lieka jame, visų pirma naudojant automatines sistemas, nurodoma atitinkamo turinio kategorija ir tikslai, kurių siekiama filtruojant ar klasifikuojant, ir</w:t>
      </w:r>
    </w:p>
    <w:p w:rsid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informacija apie tai, ar ir kaip (jei taip) prieigai prie turinio ir jo išsaugojimui žiniasklaidos tarpininke daro ar gali turėti įtakos mokėjimai ar kita tiesioginė ar netiesioginė nauda natūra</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Žiniasklaidos tarpininko teikėjas yra įpareigotas pagal 93 straipsnio 1 dalies 2 punktą užtikrinti, kad pagrindiniai turinio apibendrinimo, atrankos ir pateikimo kriterijai bei jų svoris, įskaitant informaciją apie naudojamų algoritmų veikimą, būtų skaidrūs.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Šiuo tikslu žiniasklaidos tarpininko teikėjas visų pirma privalo pateikti šią informaciją:</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pagrindinių žiniasklaidos paslaugų teikėjo taikomų sujungimo, atrankos ir pateikimo kriterijų aprašymą,</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pagrindinių kriterijų santykinio svorio aprašymas, atsižvelgiant į necentrinius kriterijus ir jų neskaidrumą,</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pagrindiniais kriterijais siekiamų optimizavimo tikslų aprašymą,</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informaciją apie tai, ar sumokėjus mokesčius ar kitus tiesioginius ar netiesioginius atlygio sumetimus, ir, jei taip, kaip žiniasklaidos tarpininke galima rasti turinį,</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pagrindinių proceso etapų, kuriais grindžiamas turinio apibendrinimas, atranka ir pateikimas, įskaitant tuos, kurie asmens ir kiti duomenys įtraukti į apibendrinimą, atranką ir pateikimą, aprašymą,</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informaciją apie naudotos individualizacijos tipą ir mastą, ar ir, jei taip, kaip vertinama turinio svarba atitinkamam naudotojui,</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informaciją apie tai, ar ir, jei taip, kokiu būdu naudotojo elgesys žiniasklaidos tarpininke gali turėti įtakos turinio kaupimui, atrankai ir pateikimui, įskaitant informaciją apie galimybes daryti įtaką vartotojui per nustatymus ir dalines funkcijas, ir</w:t>
      </w:r>
    </w:p>
    <w:p w:rsid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informaciją apie tai, ar žiniasklaidos tarpininko teikėjas nagrinėja savo turinį, susijusios bendrovės turinį (AktG įstatymo 15 straipsnis) arba bendradarbiavimo partnerių turinį specialiu būdu per sujungimo, atrankos ir (arba) pateikimo procesus, ir, jei taip, kaip tai daro.</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Svarbūs kriterijų, kurie turi būti padaryti skaidrūs pagal MStV 93 straipsnio 1 dalį, pakeitimai turi būti nedelsiant pastebimi.</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Šiuo tikslu žiniasklaidos tarpininko teikėjas turi galimybę susipažinti su apžvalga, rodančia reikšmingus pokyčius, padarytus per tam tikrą laiką.</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Visi kiti kriterijų, kurie turi būti padaryti skaidrūs pagal MStV 93 straipsnio 1 dalį, pakeitimai atskleidžiami ne rečiau kaip kas keturis mėnesius nuo šio statuto įsigaliojimo.</w:t>
      </w:r>
      <w:r>
        <w:rPr>
          <w:sz w:val="22"/>
          <w:rFonts w:ascii="Calibri" w:hAnsi="Calibri"/>
        </w:rPr>
        <w:t xml:space="preserve"> </w:t>
      </w:r>
      <w:r>
        <w:rPr>
          <w:sz w:val="22"/>
          <w:rFonts w:ascii="Calibri" w:hAnsi="Calibri"/>
        </w:rPr>
        <w:t xml:space="preserve">5 straipsnis atitinkamai taikomas.</w:t>
      </w:r>
    </w:p>
    <w:p w:rsidR="00D87095" w:rsidRDefault="00D87095" w:rsidP="002A4057">
      <w:pPr>
        <w:spacing w:line="276" w:lineRule="auto"/>
        <w:jc w:val="center"/>
        <w:rPr>
          <w:rFonts w:ascii="Calibri" w:eastAsia="Calibri" w:hAnsi="Calibri"/>
          <w:b/>
          <w:sz w:val="22"/>
          <w:szCs w:val="22"/>
          <w:lang w:eastAsia="en-US"/>
        </w:rPr>
      </w:pP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jc w:val="center"/>
        <w:rPr>
          <w:b/>
          <w:sz w:val="22"/>
          <w:szCs w:val="22"/>
          <w:rFonts w:ascii="Calibri" w:eastAsia="Calibri" w:hAnsi="Calibri"/>
        </w:rPr>
      </w:pPr>
      <w:r>
        <w:rPr>
          <w:b/>
          <w:sz w:val="22"/>
          <w:rFonts w:ascii="Calibri" w:hAnsi="Calibri"/>
        </w:rPr>
        <w:t xml:space="preserve">3 skyrius.</w:t>
      </w:r>
      <w:r>
        <w:rPr>
          <w:b/>
          <w:sz w:val="22"/>
          <w:rFonts w:ascii="Calibri" w:hAnsi="Calibri"/>
        </w:rPr>
        <w:t xml:space="preserve"> </w:t>
      </w:r>
      <w:r>
        <w:rPr>
          <w:b/>
          <w:sz w:val="22"/>
          <w:rFonts w:ascii="Calibri" w:hAnsi="Calibri"/>
        </w:rPr>
        <w:t xml:space="preserve">Nediskriminavimas</w:t>
      </w:r>
    </w:p>
    <w:p w:rsidR="00D87095" w:rsidRPr="00D87095" w:rsidRDefault="00D87095" w:rsidP="002A4057">
      <w:pPr>
        <w:spacing w:line="276" w:lineRule="auto"/>
        <w:jc w:val="center"/>
        <w:rPr>
          <w:rFonts w:ascii="Calibri" w:eastAsia="Calibri" w:hAnsi="Calibri"/>
          <w:b/>
          <w:sz w:val="22"/>
          <w:szCs w:val="22"/>
          <w:lang w:eastAsia="en-US"/>
        </w:rPr>
      </w:pPr>
    </w:p>
    <w:p w:rsidR="00D87095" w:rsidRDefault="00D87095" w:rsidP="002A4057">
      <w:pPr>
        <w:spacing w:line="276" w:lineRule="auto"/>
        <w:jc w:val="center"/>
        <w:rPr>
          <w:b/>
          <w:sz w:val="22"/>
          <w:szCs w:val="22"/>
          <w:rFonts w:ascii="Calibri" w:eastAsia="Calibri" w:hAnsi="Calibri"/>
        </w:rPr>
      </w:pPr>
      <w:r>
        <w:rPr>
          <w:b/>
          <w:sz w:val="22"/>
          <w:rFonts w:ascii="Calibri" w:hAnsi="Calibri"/>
        </w:rPr>
        <w:t xml:space="preserve">7 straipsnis</w:t>
      </w:r>
      <w:r>
        <w:rPr>
          <w:b/>
          <w:sz w:val="22"/>
          <w:rFonts w:ascii="Calibri" w:hAnsi="Calibri"/>
        </w:rPr>
        <w:br/>
      </w:r>
      <w:r>
        <w:rPr>
          <w:b/>
          <w:sz w:val="22"/>
          <w:rFonts w:ascii="Calibri" w:hAnsi="Calibri"/>
        </w:rPr>
        <w:t xml:space="preserve">Bendrosios nuostatos</w:t>
      </w:r>
    </w:p>
    <w:p w:rsidR="002A4057" w:rsidRPr="00D87095" w:rsidRDefault="002A4057" w:rsidP="002A4057">
      <w:pPr>
        <w:spacing w:line="276" w:lineRule="auto"/>
        <w:jc w:val="center"/>
        <w:rPr>
          <w:rFonts w:ascii="Calibri" w:eastAsia="Calibri" w:hAnsi="Calibri"/>
          <w:b/>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Žiniasklaidos tarpininko įsipareigojimas pagal MStV 94 skirsnio 1 dalį taip pat apima aiškias žurnalistų redakcinio pasiūlymo dalis ir įnašus.</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Nustatant ypač didelę įtaką MStV 94 straipsnio 1 dalies prasme, žiniasklaidos tarpininko įtaka žurnalistinio redakcinio turinio suvokimui nuomonės formavimo procese yra lemiama.</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Vertinant visų pirma galima atsižvelgti į:</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žiniasklaidos tarpininko padėtį atitinkamose susijusiose rinkose;</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bendrą naudojimo vaizdą, pavyzdžiui, atsižvelgiant į turimą naudojimo spektrą, naudotojų numerius, naudotojų trukmę ir veiklą arba kiekvieno naudotojo nuomonių skaičių.</w:t>
      </w:r>
      <w:r>
        <w:rPr>
          <w:sz w:val="22"/>
          <w:rFonts w:ascii="Calibri" w:hAnsi="Calibri"/>
        </w:rPr>
        <w:t xml:space="preserve"> </w:t>
      </w:r>
    </w:p>
    <w:p w:rsidR="002A4057" w:rsidRPr="002A4057"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8 straipsnis Sisteminis nukrypimas pagal 94 straipsnio 2 dalį, pirmasis alternatyvus MStV</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Lemiamas vertinant, ar taikomas 94 straipsnio 2 dalies pirmasis alternatyvus MStV pažeidimas</w:t>
      </w:r>
    </w:p>
    <w:p w:rsidR="00D87095" w:rsidRP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ar kriterijai ir informacija apie kriterijų, kuriuos žiniasklaidos tarpininkas skelbia, kad įvykdytų savo įsipareigojimą pagal MStV 93 straipsnio 1 dalį, svorį, arba</w:t>
      </w:r>
    </w:p>
    <w:p w:rsid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kriterijus ir informaciją apie kriterijų, kuriuos žiniasklaidos tarpininkas turėtų skelbti, kad įvykdytų savo įsipareigojimus pagal MStV 93 straipsnio 1 dalį, svarbą.</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Nukrypimas, kaip apibrėžta 94 straipsnio 2 dalyje, laikomas pirmuoju alternatyviu MStV, ypač jei žiniasklaidos tarpininko teikėjas</w:t>
      </w:r>
      <w:r>
        <w:rPr>
          <w:sz w:val="22"/>
          <w:rFonts w:ascii="Calibri" w:hAnsi="Calibri"/>
        </w:rPr>
        <w:t xml:space="preserve"> </w:t>
      </w:r>
    </w:p>
    <w:p w:rsidR="00D87095" w:rsidRP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netaiko paskelbtų kriterijų ar kriterijų, išskyrus tuos, kurie turi būti paskelbti pagal 93 straipsnio 1 dalies 1 ir 2 pastraipas, arba</w:t>
      </w:r>
    </w:p>
    <w:p w:rsid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nukrypsta nuo paskelbtų pagrindinių turinio apibendrinimo, atrankos ir pateikimo kriterijų.</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Kai, ar nukrypimas, kaip apibrėžta 94 straipsnio 2 dalyje, yra sistemingas, pirmoji alternatyva MStV yra sisteminga, remiantis bendru visų aplinkybių vertinimu.</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Visų pirma atsižvelgiama į nuokrypio trukmę, reguliarumą, pakartojimą ir tvarkaraštį.</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4) Nukrypimas pateisinamas, jei taip yra dėl objektyviai pagrįstos priežasties.</w:t>
      </w:r>
      <w:r>
        <w:rPr>
          <w:sz w:val="22"/>
          <w:rFonts w:ascii="Calibri" w:hAnsi="Calibri"/>
        </w:rPr>
        <w:t xml:space="preserve"> </w:t>
      </w:r>
      <w:r>
        <w:rPr>
          <w:sz w:val="22"/>
          <w:rFonts w:ascii="Calibri" w:hAnsi="Calibri"/>
        </w:rPr>
        <w:t xml:space="preserve">Priežastys, dėl kurių tai gali būti taikoma:</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teisiniai draudimai ar teisiniai įsipareigojimai;</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pateikimo naudotojui techninės sąlygos;</w:t>
      </w:r>
    </w:p>
    <w:p w:rsid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paslaugos vientisumo apsaugos reikalavimai.</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5) Įvertinus susijusių šalių interesus ir atsižvelgus į MStV tikslą užtikrinti nuomonių įvairovę, vertinama, ar yra objektyviai pagrįsta priežastis.</w:t>
      </w:r>
      <w:r>
        <w:rPr>
          <w:sz w:val="22"/>
          <w:rFonts w:ascii="Calibri" w:hAnsi="Calibri"/>
        </w:rPr>
        <w:t xml:space="preserve">  </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9 straipsnis</w:t>
      </w: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Nepagrįstas obstrukcija pagal 94 straipsnio 2 dalį, antroji alternatyvi MStV</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Kliūtis, kaip apibrėžta 94 straipsnio 2 dalyje, antroji alternatyva MStV yra tiesioginis ar netiesioginis sutrikimas, susijęs su prieiga prie žurnalistų redakcinio pasiūlymo arba jo randamumu.</w:t>
      </w: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Atitinkamai taikoma 8 straipsnio 1 dalis.</w:t>
      </w:r>
    </w:p>
    <w:p w:rsidR="006E5D47"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Kai 94 straipsnio 2 dalies prasme, antroji alternatyva MStV yra sisteminga, turi būti nustatoma remiantis bendru visų aplinkybių vertinimu.</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Būtina atsižvelgti į trukmę, reguliarumą, pasikartojimą ir reguliarumą.</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4) </w:t>
      </w:r>
      <w:r>
        <w:rPr>
          <w:sz w:val="22"/>
          <w:vertAlign w:val="superscript"/>
          <w:rFonts w:ascii="Calibri" w:hAnsi="Calibri"/>
        </w:rPr>
        <w:t xml:space="preserve">1</w:t>
      </w:r>
      <w:r>
        <w:rPr>
          <w:sz w:val="22"/>
          <w:rFonts w:ascii="Calibri" w:hAnsi="Calibri"/>
        </w:rPr>
        <w:t xml:space="preserve">Nepagrįstas kliūčių pobūdis vertinamas remiantis šalių interesų pusiausvyra, atsižvelgiant į MStV tikslą išsaugoti nuomonių įvairovę.</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Nepagrįstas kliūčių pobūdis gali atsirasti dėl atskirų kriterijų arba dėl kelių kriterijų kumuliacinės sąveikos.</w:t>
      </w:r>
      <w:r>
        <w:rPr>
          <w:sz w:val="22"/>
          <w:rFonts w:ascii="Calibri" w:hAnsi="Calibri"/>
        </w:rPr>
        <w:t xml:space="preserve">  </w:t>
      </w:r>
    </w:p>
    <w:p w:rsidR="00D87095" w:rsidRDefault="00D87095" w:rsidP="006E5D47">
      <w:pPr>
        <w:spacing w:line="276" w:lineRule="auto"/>
        <w:jc w:val="center"/>
        <w:rPr>
          <w:rFonts w:ascii="Calibri" w:eastAsia="Calibri" w:hAnsi="Calibri"/>
          <w:b/>
          <w:sz w:val="22"/>
          <w:szCs w:val="22"/>
          <w:lang w:eastAsia="en-US"/>
        </w:rPr>
      </w:pP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6E5D47" w:rsidP="006E5D47">
      <w:pPr>
        <w:spacing w:line="276" w:lineRule="auto"/>
        <w:jc w:val="center"/>
        <w:rPr>
          <w:b/>
          <w:sz w:val="22"/>
          <w:szCs w:val="22"/>
          <w:rFonts w:ascii="Calibri" w:eastAsia="Calibri" w:hAnsi="Calibri"/>
        </w:rPr>
      </w:pPr>
      <w:r>
        <w:rPr>
          <w:b/>
          <w:sz w:val="22"/>
          <w:rFonts w:ascii="Calibri" w:hAnsi="Calibri"/>
        </w:rPr>
        <w:t xml:space="preserve">4 skyrius.</w:t>
      </w:r>
      <w:r>
        <w:rPr>
          <w:b/>
          <w:sz w:val="22"/>
          <w:rFonts w:ascii="Calibri" w:hAnsi="Calibri"/>
        </w:rPr>
        <w:t xml:space="preserve"> </w:t>
      </w:r>
      <w:r>
        <w:rPr>
          <w:b/>
          <w:sz w:val="22"/>
          <w:rFonts w:ascii="Calibri" w:hAnsi="Calibri"/>
        </w:rPr>
        <w:t xml:space="preserve">Procedūra ir tyrimas</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10 straipsnis</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ZAK kompetencija</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Vykdant užduotis pagal šį statutą, kompetentingos federalinė valstybinės žiniasklaidos institucijos licencijavimo ir priežiūros komisija (ZAK) veikia kaip tinkamas organas (104 straipsnio, 2 dalies, 1 sakinys Nr. 1, 105 straipsnio, 1 dalies, 1 sakinys Nr. 10 MStV kartu su ZAK darbo tvarkos taisyklėmis – GVO ZAK).</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Kompetentinga federalinė valstybinės žiniasklaidos institucija nedelsdama per Jungtinę tarnybą perduoda skundus ZAK pagal 11 straipsnį ir informuoja ją apie „ex officio“ tyrimus.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ZAK nagrinėja bylą tol, kol bus priimtas sprendimas.</w:t>
      </w:r>
    </w:p>
    <w:p w:rsidR="006E5D47" w:rsidRPr="006E5D47"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11 straipsnis</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Nediskriminavimo procedūra</w:t>
      </w: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Kompetentinga federalinė valstybinės žiniasklaidos institucija, remdamasi skundu arba akivaizdžiai „ex officio“ atvejais, per ZAK nagrinėja, ar žiniasklaidos tarpininko teikėjas pažeidžia MStV 94 straipsnio 1 ir 2 dalių arba 8 ir 9 straipsnių nuostatas.</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Teisė paduoti apeliacinį skundą, kaip apibrėžta 94 straipsnio 3 dalies 1 sakinyje MStV suteikiama:</w:t>
      </w:r>
      <w:r>
        <w:rPr>
          <w:sz w:val="22"/>
          <w:rFonts w:ascii="Calibri" w:hAnsi="Calibri"/>
        </w:rPr>
        <w:t xml:space="preserve"> </w:t>
      </w:r>
    </w:p>
    <w:p w:rsidR="00D87095" w:rsidRP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žurnalistinio redakcinio turinio teikėjams ir</w:t>
      </w:r>
      <w:r>
        <w:rPr>
          <w:sz w:val="22"/>
          <w:rFonts w:ascii="Calibri" w:hAnsi="Calibri"/>
        </w:rPr>
        <w:t xml:space="preserve"> </w:t>
      </w:r>
    </w:p>
    <w:p w:rsid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žiniasklaidos platformų ir vartotojų sąsajų teikėjams, jei jie skundžiasi dėl jų siūlomo žurnalistinio redakcinio turinio paketų diskriminacijos.</w:t>
      </w:r>
    </w:p>
    <w:p w:rsidR="006E5D47" w:rsidRPr="00D87095" w:rsidRDefault="006E5D47" w:rsidP="006E5D47">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Skundo pateikėjas nurodo savo apeliacinio skundo priežastis.</w:t>
      </w:r>
      <w:r>
        <w:rPr>
          <w:sz w:val="22"/>
          <w:rFonts w:ascii="Calibri" w:hAnsi="Calibri"/>
        </w:rPr>
        <w:t xml:space="preserve"> </w:t>
      </w:r>
      <w:r>
        <w:rPr>
          <w:sz w:val="22"/>
          <w:rFonts w:ascii="Calibri" w:hAnsi="Calibri"/>
        </w:rPr>
        <w:t xml:space="preserve">Šiuo tikslu pateikiami atitinkami įrodymai, iš kurių bus gauta pakankamai įrodymų, pagrindžiančių tariamą jos žurnalistinio redakcinio turinio diskriminaciją, kaip apibrėžta MStV 94 straipsnio 2 dalyje arba 8 ir 9 dalyse.</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Visų pirma gali būti pateikta:</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vertinimas, ar žiniasklaidos tarpininke galima rasti savo žurnalistinį redakcinį turinį, ir</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tinkami tyrimai.</w:t>
      </w: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3</w:t>
      </w:r>
      <w:r>
        <w:rPr>
          <w:sz w:val="22"/>
          <w:rFonts w:ascii="Calibri" w:hAnsi="Calibri"/>
        </w:rPr>
        <w:t xml:space="preserve">Be to, jei įmanoma, skundo pateikėjas pateikia tinkamus įrodymus, kuriais remiantis yra pakankamai įrodymų, kad žiniasklaidos tarpininkas daro ypač didelę įtaką žurnalistų redakcinio turinio priimtinumui, kaip apibrėžta MStV 94 straipsnio 1 dalyje.</w:t>
      </w:r>
      <w:r>
        <w:rPr>
          <w:sz w:val="22"/>
          <w:rFonts w:ascii="Calibri" w:hAnsi="Calibri"/>
        </w:rPr>
        <w:t xml:space="preserve"> </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4) Akivaizdus atvejis pagal 94 straipsnio 3 dalies 2 sakinį MStV ir 1 dalį yra, jei trečiosios šalys aiškiai identifikuoja diskriminacijos draudimo pažeidimą pagrindžiančius faktus.</w:t>
      </w:r>
      <w:r>
        <w:rPr>
          <w:sz w:val="22"/>
          <w:rFonts w:ascii="Calibri" w:hAnsi="Calibri"/>
        </w:rPr>
        <w:t xml:space="preserve"> </w:t>
      </w:r>
    </w:p>
    <w:p w:rsidR="00D87095" w:rsidRPr="00D87095" w:rsidRDefault="00D87095"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12 straipsnis</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Ištaisymas</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Jei kompetentinga federalinė žiniasklaidos institucija per ZAK nustato, kad žiniasklaidos tarpininko teikėjas pažeidžia 92–94 straipsnius arba šio statuto nuostatas, žiniasklaidos tarpininko teikėjas nedelsdamas ištaiso tarpininką.</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Žiniasklaidos tarpininko teikėjas yra įpareigotas tinkamai ir suprantamai pateikti kompetentingai federalinės valstybinės žiniasklaidos institucijai ištaisymo įrodymus.</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13 straipsnis</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Informacija ir dokumentų pateikimas</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Siekiant patikrinti galimą pažeidimą, žiniasklaidos tarpininko teikėjas privalo pateikti visą būtiną informaciją, pateikti informaciją ir pateikti dokumentus.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Kompetentinga federalinės valstybinės žiniasklaidos institucija gali visų pirma</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reikalauti pateikti visus dokumentus, įrodančius kriterijus, kaip apibrėžta 93 straipsnio 1 dalies 1 punkte, arba pagrindinius kriterijus ir jų svertinį sandą, taip pat naudojamų algoritmų veikimą, kaip apibrėžta 93 straipsnio 1 dalies 2 punkte;</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kaip liudininkai išklauso žiniasklaidos tarpininko teikėjo darbuotojus, dalyvaujančius apibrėžiant, techniškai įgyvendinant ir keičiant kriterijus, kaip apibrėžta 93 straipsnio 1 dalies 1 punkte, MStV arba centriniuose kriterijuose ir jų svoriuose, taip pat algoritmuose, kaip apibrėžta 93 straipsnio 1 dalies 2 punkte;</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reikalauti iš žiniasklaidos tarpininko teikėjo pateikti prašymą dėl informacijos skaidrumo pagal MStV 93 straipsnio 1 dalį ir 6 dalį;</w:t>
      </w:r>
    </w:p>
    <w:p w:rsid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reikalauti, kad žiniasklaidos tarpininkui būtų pateikti sutartiniai susitarimai, įsipareigojimai ar kiti įsipareigojimai, kurie yra objektyviai susiję su turinio prieiga ir saugojimu, visų pirma tiek, kiek jie susiję su žurnalistinio redakcinio turinio įtraukimu, pateikimu ir saugojimu.</w:t>
      </w:r>
    </w:p>
    <w:p w:rsidR="00D622FF" w:rsidRPr="00D87095" w:rsidRDefault="00D622FF" w:rsidP="00D622FF">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Pateikdamas 1 dalyje nurodytus dokumentus, žiniasklaidos tarpininkas pažymi tas dokumentų dalis, kuriose yra verslo arba komercinių paslapčių.</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Šiuo atveju jos taip pat turi pateikti versiją, kurią, jų nuomone, trečiosios šalys gali peržiūrėti neatskleisdamos verslo ar komercinių paslapčių.</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Jei tai nebus padaryta, federalinė valstybinės žiniasklaidos institucija gali priimti sutikimą atlikti patikrinimą, nebent ji žino apie ypatingas aplinkybes, kurios nepateisina tokios prezumpcijos.</w:t>
      </w:r>
      <w:r>
        <w:rPr>
          <w:sz w:val="22"/>
          <w:rFonts w:ascii="Calibri" w:hAnsi="Calibri"/>
        </w:rPr>
        <w:t xml:space="preserve"> </w:t>
      </w:r>
      <w:r>
        <w:rPr>
          <w:sz w:val="22"/>
          <w:vertAlign w:val="superscript"/>
          <w:rFonts w:ascii="Calibri" w:hAnsi="Calibri"/>
        </w:rPr>
        <w:t xml:space="preserve">4</w:t>
      </w:r>
      <w:r>
        <w:rPr>
          <w:sz w:val="22"/>
          <w:rFonts w:ascii="Calibri" w:hAnsi="Calibri"/>
        </w:rPr>
        <w:t xml:space="preserve">Jei federalinė valstybinė žiniasklaidos institucija mano, kad dokumentų žymėjimas komercinėmis ar verslo paslaptimis yra nepagrįstas, ji turi suteikti teikėjui galimybę pateikti pastabas prieš nuspręsdama, ar suteikti galimybę susipažinti su trečiaisiais asmenimis.</w:t>
      </w:r>
    </w:p>
    <w:p w:rsid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 </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5 skyrius.</w:t>
      </w:r>
      <w:r>
        <w:rPr>
          <w:b/>
          <w:sz w:val="22"/>
          <w:rFonts w:ascii="Calibri" w:hAnsi="Calibri"/>
        </w:rPr>
        <w:t xml:space="preserve"> </w:t>
      </w:r>
      <w:r>
        <w:rPr>
          <w:b/>
          <w:sz w:val="22"/>
          <w:rFonts w:ascii="Calibri" w:hAnsi="Calibri"/>
        </w:rPr>
        <w:t xml:space="preserve">Baigiamosios nuostatos</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14 straipsnis</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Vertinimas</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DF0BF7">
      <w:pPr>
        <w:spacing w:after="200" w:line="276" w:lineRule="auto"/>
        <w:contextualSpacing/>
        <w:rPr>
          <w:sz w:val="22"/>
          <w:szCs w:val="22"/>
          <w:rFonts w:ascii="Calibri" w:eastAsia="Calibri" w:hAnsi="Calibri"/>
        </w:rPr>
      </w:pPr>
      <w:r>
        <w:rPr>
          <w:sz w:val="22"/>
          <w:rFonts w:ascii="Calibri" w:hAnsi="Calibri"/>
        </w:rPr>
        <w:t xml:space="preserve">ZAK peržiūri šį statutą ne rečiau kaip kas trejus metus, ypač atsižvelgdama į:</w:t>
      </w:r>
      <w:r>
        <w:rPr>
          <w:sz w:val="22"/>
          <w:rFonts w:ascii="Calibri" w:hAnsi="Calibri"/>
        </w:rPr>
        <w:tab/>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patirtį, įgytą taikant šį statutą;</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techninius ir ekonominius pokyčius reguliavimo srityje;</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atskirų žiniasklaidos tarpininkų svarbą formuojant viešąją nuomonę;</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bendro reguliavimo pokyčius, pvz., visos pramonės įsipareigojimus;</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mokslinių tyrimų, susijusių su skaidrumu ir diskriminacija, plėtra;</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mokslinių tyrimų ir mokslo plėtra duomenų analizės, dirbtinio intelekto ir mašininio mokymosi srityse.</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15 straipsnis</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Įsigaliojimas</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8C60A0" w:rsidRPr="008C60A0" w:rsidRDefault="006E5D47" w:rsidP="00DF0BF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Šis teisės aktas įsigalioja 2021 m. rugsėjo 1 d.</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Jei iki 2021 m. rugpjūčio 31 d. nebuvo priimti ir paskelbti atitinkami įstatai, šis statutas tampa nebeaktualus.</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Federalinių valstybinių žiniasklaidos institucijų (DLM) direktorių konferencijos pirmininkas internete, po skėtiniu prekės ženklu „die medienanstalten“, paskelbia, ar visos federalinės valstybinės žiniasklaidos institucijos per 2 sakinyje nurodytą laikotarpį priėmė ir paskelbė atitinkamus įstatus.</w:t>
      </w:r>
      <w:r w:rsidR="00CF50DB">
        <w:rPr>
          <w:rStyle w:val="Funotenzeichen"/>
          <w:rFonts w:asciiTheme="minorHAnsi" w:eastAsia="Calibri" w:hAnsiTheme="minorHAnsi" w:cstheme="minorHAnsi"/>
          <w:sz w:val="22"/>
          <w:szCs w:val="22"/>
          <w:lang w:eastAsia="en-US"/>
        </w:rPr>
        <w:footnoteReference w:id="1"/>
      </w:r>
    </w:p>
    <w:sectPr w:rsidR="008C60A0" w:rsidRPr="008C60A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DB6" w:rsidRDefault="00F32DB6" w:rsidP="00986629">
      <w:r>
        <w:separator/>
      </w:r>
    </w:p>
  </w:endnote>
  <w:endnote w:type="continuationSeparator" w:id="0">
    <w:p w:rsidR="00F32DB6" w:rsidRDefault="00F32DB6" w:rsidP="0098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1344168373"/>
      <w:docPartObj>
        <w:docPartGallery w:val="Page Numbers (Bottom of Page)"/>
        <w:docPartUnique/>
      </w:docPartObj>
    </w:sdtPr>
    <w:sdtEndPr/>
    <w:sdtContent>
      <w:p w:rsidR="00C41351" w:rsidRPr="00C41351" w:rsidRDefault="00C41351">
        <w:pPr>
          <w:pStyle w:val="Fuzeile"/>
          <w:jc w:val="center"/>
          <w:rPr>
            <w:sz w:val="22"/>
            <w:szCs w:val="22"/>
            <w:rFonts w:asciiTheme="minorHAnsi" w:hAnsiTheme="minorHAnsi" w:cstheme="minorHAnsi"/>
          </w:rPr>
        </w:pPr>
        <w:r w:rsidRPr="00C41351">
          <w:rPr>
            <w:sz w:val="22"/>
            <w:rFonts w:asciiTheme="minorHAnsi" w:hAnsiTheme="minorHAnsi" w:cstheme="minorHAnsi"/>
          </w:rPr>
          <w:fldChar w:fldCharType="begin"/>
        </w:r>
        <w:r w:rsidRPr="00C41351">
          <w:rPr>
            <w:sz w:val="22"/>
            <w:rFonts w:asciiTheme="minorHAnsi" w:hAnsiTheme="minorHAnsi" w:cstheme="minorHAnsi"/>
          </w:rPr>
          <w:instrText>PAGE   \* MERGEFORMAT</w:instrText>
        </w:r>
        <w:r w:rsidRPr="00C41351">
          <w:rPr>
            <w:sz w:val="22"/>
            <w:rFonts w:asciiTheme="minorHAnsi" w:hAnsiTheme="minorHAnsi" w:cstheme="minorHAnsi"/>
          </w:rPr>
          <w:fldChar w:fldCharType="separate"/>
        </w:r>
        <w:r w:rsidR="00673759">
          <w:rPr>
            <w:sz w:val="22"/>
            <w:rFonts w:asciiTheme="minorHAnsi" w:hAnsiTheme="minorHAnsi" w:cstheme="minorHAnsi"/>
          </w:rPr>
          <w:t>8</w:t>
        </w:r>
        <w:r w:rsidRPr="00C41351">
          <w:rPr>
            <w:sz w:val="22"/>
            <w:rFonts w:asciiTheme="minorHAnsi" w:hAnsiTheme="minorHAnsi" w:cstheme="minorHAnsi"/>
          </w:rPr>
          <w:fldChar w:fldCharType="end"/>
        </w:r>
      </w:p>
    </w:sdtContent>
  </w:sdt>
  <w:p w:rsidR="00793947" w:rsidRDefault="007939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DB6" w:rsidRDefault="00F32DB6" w:rsidP="00986629">
      <w:r>
        <w:separator/>
      </w:r>
    </w:p>
  </w:footnote>
  <w:footnote w:type="continuationSeparator" w:id="0">
    <w:p w:rsidR="00F32DB6" w:rsidRDefault="00F32DB6" w:rsidP="00986629">
      <w:r>
        <w:continuationSeparator/>
      </w:r>
    </w:p>
  </w:footnote>
  <w:footnote w:id="1">
    <w:p w:rsidR="00CF50DB" w:rsidRDefault="00CF50DB" w:rsidP="00CF50DB">
      <w:pPr>
        <w:pStyle w:val="Funotentext"/>
      </w:pPr>
      <w:r>
        <w:rPr>
          <w:rStyle w:val="Funotenzeichen"/>
        </w:rPr>
        <w:footnoteRef/>
      </w:r>
      <w:r>
        <w:t xml:space="preserve"> </w:t>
      </w:r>
      <w:r>
        <w:rPr>
          <w:rFonts w:asciiTheme="minorHAnsi" w:hAnsiTheme="minorHAnsi"/>
        </w:rPr>
        <w:t xml:space="preserve">Pranešta pagal 2015 m. rugsėjo 9 d. Europos Parlamento ir Tarybos direktyvą (ES) Nr. 2015/1535, kuria nustatoma informacijos apie techninius reglamentus ir informacinės visuomenės paslaugų taisykles teikimo tvarka (OJ L 241, 17.9.2015,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629" w:rsidRPr="00986629" w:rsidRDefault="00986629">
    <w:pPr>
      <w:pStyle w:val="Kopfzeile"/>
      <w:rPr>
        <w:sz w:val="16"/>
      </w:rPr>
    </w:pPr>
    <w:r>
      <w:rPr>
        <w:sz w:val="20"/>
      </w:rPr>
      <w:br/>
    </w:r>
    <w:r>
      <w:drawing>
        <wp:anchor distT="0" distB="0" distL="114300" distR="114300" simplePos="0" relativeHeight="251658240" behindDoc="0" locked="1" layoutInCell="1" allowOverlap="1">
          <wp:simplePos x="0" y="0"/>
          <wp:positionH relativeFrom="page">
            <wp:posOffset>4425950</wp:posOffset>
          </wp:positionH>
          <wp:positionV relativeFrom="page">
            <wp:posOffset>400685</wp:posOffset>
          </wp:positionV>
          <wp:extent cx="2172970" cy="510540"/>
          <wp:effectExtent l="0" t="0" r="0" b="3810"/>
          <wp:wrapNone/>
          <wp:docPr id="2"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97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br/>
    </w:r>
    <w:r>
      <w:rPr>
        <w:sz w:val="20"/>
      </w:rPr>
      <w:br/>
    </w:r>
  </w:p>
  <w:p w:rsidR="00986629" w:rsidRDefault="009866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E2F"/>
    <w:multiLevelType w:val="hybridMultilevel"/>
    <w:tmpl w:val="18DABDC4"/>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 w15:restartNumberingAfterBreak="0">
    <w:nsid w:val="06051896"/>
    <w:multiLevelType w:val="hybridMultilevel"/>
    <w:tmpl w:val="EFC056D6"/>
    <w:lvl w:ilvl="0" w:tplc="683A071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15:restartNumberingAfterBreak="0">
    <w:nsid w:val="07184E44"/>
    <w:multiLevelType w:val="hybridMultilevel"/>
    <w:tmpl w:val="90D252CA"/>
    <w:lvl w:ilvl="0" w:tplc="232480C8">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663BE0"/>
    <w:multiLevelType w:val="hybridMultilevel"/>
    <w:tmpl w:val="985221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A35CF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E5509B"/>
    <w:multiLevelType w:val="hybridMultilevel"/>
    <w:tmpl w:val="51242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7D09E5"/>
    <w:multiLevelType w:val="hybridMultilevel"/>
    <w:tmpl w:val="20A490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6E209C"/>
    <w:multiLevelType w:val="hybridMultilevel"/>
    <w:tmpl w:val="26E44CA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34F459E"/>
    <w:multiLevelType w:val="hybridMultilevel"/>
    <w:tmpl w:val="D2EC5AA2"/>
    <w:lvl w:ilvl="0" w:tplc="18A608C6">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107088F"/>
    <w:multiLevelType w:val="hybridMultilevel"/>
    <w:tmpl w:val="5A586D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ED627A"/>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D4295E"/>
    <w:multiLevelType w:val="hybridMultilevel"/>
    <w:tmpl w:val="5F7A48D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2" w15:restartNumberingAfterBreak="0">
    <w:nsid w:val="36ED5ED2"/>
    <w:multiLevelType w:val="hybridMultilevel"/>
    <w:tmpl w:val="102A79D4"/>
    <w:lvl w:ilvl="0" w:tplc="533E0752">
      <w:start w:val="4"/>
      <w:numFmt w:val="bullet"/>
      <w:lvlText w:val="•"/>
      <w:lvlJc w:val="left"/>
      <w:pPr>
        <w:ind w:left="1146" w:hanging="360"/>
      </w:pPr>
      <w:rPr>
        <w:rFonts w:ascii="Calibri" w:eastAsia="Times New Roman" w:hAnsi="Calibri" w:cs="Times New Roman"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3" w15:restartNumberingAfterBreak="0">
    <w:nsid w:val="38107676"/>
    <w:multiLevelType w:val="hybridMultilevel"/>
    <w:tmpl w:val="A37424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A021B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CE023A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FBF55E0"/>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611B0F"/>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0A4431"/>
    <w:multiLevelType w:val="hybridMultilevel"/>
    <w:tmpl w:val="2EBEBD2A"/>
    <w:lvl w:ilvl="0" w:tplc="71568D74">
      <w:start w:val="1"/>
      <w:numFmt w:val="decimal"/>
      <w:lvlText w:val="%1."/>
      <w:lvlJc w:val="left"/>
      <w:pPr>
        <w:ind w:left="720" w:hanging="360"/>
      </w:pPr>
      <w:rPr>
        <w:rFonts w:asciiTheme="minorHAnsi" w:hAnsiTheme="minorHAnsi"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DB1BCD"/>
    <w:multiLevelType w:val="hybridMultilevel"/>
    <w:tmpl w:val="AE6A8532"/>
    <w:lvl w:ilvl="0" w:tplc="2DF45302">
      <w:start w:val="1"/>
      <w:numFmt w:val="decimal"/>
      <w:lvlText w:val="%1."/>
      <w:lvlJc w:val="left"/>
      <w:pPr>
        <w:ind w:left="720" w:hanging="360"/>
      </w:pPr>
      <w:rPr>
        <w:strike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9371A26"/>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AAA1800"/>
    <w:multiLevelType w:val="hybridMultilevel"/>
    <w:tmpl w:val="FA22ABB6"/>
    <w:lvl w:ilvl="0" w:tplc="0407000F">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C8C61D4"/>
    <w:multiLevelType w:val="hybridMultilevel"/>
    <w:tmpl w:val="578E6428"/>
    <w:lvl w:ilvl="0" w:tplc="1E38CAD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3" w15:restartNumberingAfterBreak="0">
    <w:nsid w:val="4DCA13AA"/>
    <w:multiLevelType w:val="hybridMultilevel"/>
    <w:tmpl w:val="079668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FCB732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743BE5"/>
    <w:multiLevelType w:val="hybridMultilevel"/>
    <w:tmpl w:val="0E88EBC8"/>
    <w:lvl w:ilvl="0" w:tplc="274A954C">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8685FB1"/>
    <w:multiLevelType w:val="hybridMultilevel"/>
    <w:tmpl w:val="F01601A0"/>
    <w:lvl w:ilvl="0" w:tplc="24ECC678">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B4070C1"/>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DCF0F6C"/>
    <w:multiLevelType w:val="hybridMultilevel"/>
    <w:tmpl w:val="5356724C"/>
    <w:lvl w:ilvl="0" w:tplc="2D9C354C">
      <w:start w:val="1"/>
      <w:numFmt w:val="decimal"/>
      <w:lvlText w:val="%1."/>
      <w:lvlJc w:val="left"/>
      <w:pPr>
        <w:ind w:left="360" w:hanging="360"/>
      </w:pPr>
      <w:rPr>
        <w:rFonts w:asciiTheme="minorHAnsi" w:hAnsiTheme="minorHAnsi" w:cstheme="minorHAnsi"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F1B679E"/>
    <w:multiLevelType w:val="hybridMultilevel"/>
    <w:tmpl w:val="18E8C4F4"/>
    <w:lvl w:ilvl="0" w:tplc="ABD6BEBC">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FB310F1"/>
    <w:multiLevelType w:val="hybridMultilevel"/>
    <w:tmpl w:val="49C8E2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29256E5"/>
    <w:multiLevelType w:val="hybridMultilevel"/>
    <w:tmpl w:val="9C448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BF2FD9"/>
    <w:multiLevelType w:val="hybridMultilevel"/>
    <w:tmpl w:val="BC302260"/>
    <w:lvl w:ilvl="0" w:tplc="B422F4C4">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5901D5B"/>
    <w:multiLevelType w:val="hybridMultilevel"/>
    <w:tmpl w:val="37307526"/>
    <w:lvl w:ilvl="0" w:tplc="951E0C1C">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1715989"/>
    <w:multiLevelType w:val="hybridMultilevel"/>
    <w:tmpl w:val="C7B611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6507B0"/>
    <w:multiLevelType w:val="hybridMultilevel"/>
    <w:tmpl w:val="D9DA2D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7072854"/>
    <w:multiLevelType w:val="hybridMultilevel"/>
    <w:tmpl w:val="230E27C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AB94F96"/>
    <w:multiLevelType w:val="hybridMultilevel"/>
    <w:tmpl w:val="7F9018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B2C0987"/>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BD45114"/>
    <w:multiLevelType w:val="hybridMultilevel"/>
    <w:tmpl w:val="4FACE3C8"/>
    <w:lvl w:ilvl="0" w:tplc="9FF4C736">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DE8053D"/>
    <w:multiLevelType w:val="hybridMultilevel"/>
    <w:tmpl w:val="712C2D8E"/>
    <w:lvl w:ilvl="0" w:tplc="90C0BA88">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DFB5C93"/>
    <w:multiLevelType w:val="hybridMultilevel"/>
    <w:tmpl w:val="664E4A22"/>
    <w:lvl w:ilvl="0" w:tplc="0D56F5BE">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9"/>
  </w:num>
  <w:num w:numId="3">
    <w:abstractNumId w:val="13"/>
  </w:num>
  <w:num w:numId="4">
    <w:abstractNumId w:val="6"/>
  </w:num>
  <w:num w:numId="5">
    <w:abstractNumId w:val="11"/>
  </w:num>
  <w:num w:numId="6">
    <w:abstractNumId w:val="1"/>
  </w:num>
  <w:num w:numId="7">
    <w:abstractNumId w:val="0"/>
  </w:num>
  <w:num w:numId="8">
    <w:abstractNumId w:val="22"/>
  </w:num>
  <w:num w:numId="9">
    <w:abstractNumId w:val="31"/>
  </w:num>
  <w:num w:numId="10">
    <w:abstractNumId w:val="12"/>
  </w:num>
  <w:num w:numId="11">
    <w:abstractNumId w:val="4"/>
  </w:num>
  <w:num w:numId="12">
    <w:abstractNumId w:val="34"/>
  </w:num>
  <w:num w:numId="13">
    <w:abstractNumId w:val="23"/>
  </w:num>
  <w:num w:numId="14">
    <w:abstractNumId w:val="37"/>
  </w:num>
  <w:num w:numId="15">
    <w:abstractNumId w:val="5"/>
  </w:num>
  <w:num w:numId="16">
    <w:abstractNumId w:val="30"/>
  </w:num>
  <w:num w:numId="17">
    <w:abstractNumId w:val="36"/>
  </w:num>
  <w:num w:numId="18">
    <w:abstractNumId w:val="28"/>
  </w:num>
  <w:num w:numId="19">
    <w:abstractNumId w:val="35"/>
  </w:num>
  <w:num w:numId="20">
    <w:abstractNumId w:val="7"/>
  </w:num>
  <w:num w:numId="21">
    <w:abstractNumId w:val="18"/>
  </w:num>
  <w:num w:numId="22">
    <w:abstractNumId w:val="19"/>
  </w:num>
  <w:num w:numId="23">
    <w:abstractNumId w:val="21"/>
  </w:num>
  <w:num w:numId="24">
    <w:abstractNumId w:val="8"/>
  </w:num>
  <w:num w:numId="25">
    <w:abstractNumId w:val="25"/>
  </w:num>
  <w:num w:numId="26">
    <w:abstractNumId w:val="41"/>
  </w:num>
  <w:num w:numId="27">
    <w:abstractNumId w:val="40"/>
  </w:num>
  <w:num w:numId="28">
    <w:abstractNumId w:val="26"/>
  </w:num>
  <w:num w:numId="29">
    <w:abstractNumId w:val="39"/>
  </w:num>
  <w:num w:numId="30">
    <w:abstractNumId w:val="29"/>
  </w:num>
  <w:num w:numId="31">
    <w:abstractNumId w:val="32"/>
  </w:num>
  <w:num w:numId="32">
    <w:abstractNumId w:val="33"/>
  </w:num>
  <w:num w:numId="33">
    <w:abstractNumId w:val="2"/>
  </w:num>
  <w:num w:numId="34">
    <w:abstractNumId w:val="16"/>
  </w:num>
  <w:num w:numId="35">
    <w:abstractNumId w:val="20"/>
  </w:num>
  <w:num w:numId="36">
    <w:abstractNumId w:val="38"/>
  </w:num>
  <w:num w:numId="37">
    <w:abstractNumId w:val="24"/>
  </w:num>
  <w:num w:numId="38">
    <w:abstractNumId w:val="14"/>
  </w:num>
  <w:num w:numId="39">
    <w:abstractNumId w:val="27"/>
  </w:num>
  <w:num w:numId="40">
    <w:abstractNumId w:val="17"/>
  </w:num>
  <w:num w:numId="41">
    <w:abstractNumId w:val="1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25"/>
    <w:rsid w:val="000045F8"/>
    <w:rsid w:val="00011024"/>
    <w:rsid w:val="000C657E"/>
    <w:rsid w:val="00133120"/>
    <w:rsid w:val="001333BE"/>
    <w:rsid w:val="001607B9"/>
    <w:rsid w:val="001D1CDD"/>
    <w:rsid w:val="001D2E17"/>
    <w:rsid w:val="00202046"/>
    <w:rsid w:val="00251322"/>
    <w:rsid w:val="002644D4"/>
    <w:rsid w:val="00281091"/>
    <w:rsid w:val="002A4057"/>
    <w:rsid w:val="002A4368"/>
    <w:rsid w:val="002C21BC"/>
    <w:rsid w:val="003564B3"/>
    <w:rsid w:val="003C28A6"/>
    <w:rsid w:val="003D2EE7"/>
    <w:rsid w:val="003E6BAD"/>
    <w:rsid w:val="004303CE"/>
    <w:rsid w:val="0045797A"/>
    <w:rsid w:val="004F1AEC"/>
    <w:rsid w:val="00511D74"/>
    <w:rsid w:val="00521970"/>
    <w:rsid w:val="00575BA9"/>
    <w:rsid w:val="005C3C1E"/>
    <w:rsid w:val="005D5943"/>
    <w:rsid w:val="00650B4F"/>
    <w:rsid w:val="00673759"/>
    <w:rsid w:val="00691044"/>
    <w:rsid w:val="006E5D47"/>
    <w:rsid w:val="00702C72"/>
    <w:rsid w:val="007417F7"/>
    <w:rsid w:val="00793947"/>
    <w:rsid w:val="007D4A2A"/>
    <w:rsid w:val="00816EE9"/>
    <w:rsid w:val="00817E45"/>
    <w:rsid w:val="0083446E"/>
    <w:rsid w:val="00862E68"/>
    <w:rsid w:val="0089595F"/>
    <w:rsid w:val="008C60A0"/>
    <w:rsid w:val="008F77BA"/>
    <w:rsid w:val="009217BC"/>
    <w:rsid w:val="00986629"/>
    <w:rsid w:val="009C24A4"/>
    <w:rsid w:val="00AD10EE"/>
    <w:rsid w:val="00AE0EB4"/>
    <w:rsid w:val="00AE3223"/>
    <w:rsid w:val="00AF7A0C"/>
    <w:rsid w:val="00B126BF"/>
    <w:rsid w:val="00B21DD1"/>
    <w:rsid w:val="00B25AAD"/>
    <w:rsid w:val="00B50565"/>
    <w:rsid w:val="00B82C25"/>
    <w:rsid w:val="00B93BDE"/>
    <w:rsid w:val="00BA4949"/>
    <w:rsid w:val="00C41351"/>
    <w:rsid w:val="00C65B4D"/>
    <w:rsid w:val="00C902B9"/>
    <w:rsid w:val="00C90B7C"/>
    <w:rsid w:val="00CF50DB"/>
    <w:rsid w:val="00D234F3"/>
    <w:rsid w:val="00D622FF"/>
    <w:rsid w:val="00D87095"/>
    <w:rsid w:val="00DC1A2C"/>
    <w:rsid w:val="00DD3710"/>
    <w:rsid w:val="00DF0BF7"/>
    <w:rsid w:val="00E14290"/>
    <w:rsid w:val="00E52E94"/>
    <w:rsid w:val="00EF480D"/>
    <w:rsid w:val="00F32DB6"/>
    <w:rsid w:val="00F33CAE"/>
    <w:rsid w:val="00F40F94"/>
    <w:rsid w:val="00F65A92"/>
    <w:rsid w:val="00FA60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0877444-1310-4159-A6DA-9FFF7C70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jc w:val="center"/>
      <w:outlineLvl w:val="0"/>
    </w:pPr>
    <w:rPr>
      <w:rFonts w:ascii="Arial" w:hAnsi="Arial"/>
      <w:b/>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Default">
    <w:name w:val="Default"/>
    <w:rPr>
      <w:rFonts w:ascii="Calibri" w:hAnsi="Calibri"/>
      <w:color w:val="000000"/>
      <w:sz w:val="24"/>
    </w:rPr>
  </w:style>
  <w:style w:type="paragraph" w:styleId="Textkrper">
    <w:name w:val="Body Text"/>
    <w:basedOn w:val="Standard"/>
    <w:rPr>
      <w:rFonts w:ascii="Arial" w:hAnsi="Arial"/>
      <w:sz w:val="21"/>
    </w:rPr>
  </w:style>
  <w:style w:type="character" w:customStyle="1" w:styleId="KommentartextZchn">
    <w:name w:val="Kommentartext Zchn"/>
    <w:link w:val="Kommentartext"/>
    <w:locked/>
    <w:rPr>
      <w:lang w:val="lt-LT" w:eastAsia="de-DE" w:bidi="ar-SA"/>
    </w:rPr>
  </w:style>
  <w:style w:type="paragraph" w:styleId="Kopfzeile">
    <w:name w:val="header"/>
    <w:basedOn w:val="Standard"/>
    <w:link w:val="KopfzeileZchn"/>
    <w:rsid w:val="00986629"/>
    <w:pPr>
      <w:tabs>
        <w:tab w:val="center" w:pos="4536"/>
        <w:tab w:val="right" w:pos="9072"/>
      </w:tabs>
    </w:pPr>
  </w:style>
  <w:style w:type="character" w:customStyle="1" w:styleId="KopfzeileZchn">
    <w:name w:val="Kopfzeile Zchn"/>
    <w:link w:val="Kopfzeile"/>
    <w:uiPriority w:val="99"/>
    <w:rsid w:val="00986629"/>
    <w:rPr>
      <w:sz w:val="24"/>
      <w:szCs w:val="24"/>
    </w:rPr>
  </w:style>
  <w:style w:type="paragraph" w:styleId="Fuzeile">
    <w:name w:val="footer"/>
    <w:basedOn w:val="Standard"/>
    <w:link w:val="FuzeileZchn"/>
    <w:uiPriority w:val="99"/>
    <w:rsid w:val="00986629"/>
    <w:pPr>
      <w:tabs>
        <w:tab w:val="center" w:pos="4536"/>
        <w:tab w:val="right" w:pos="9072"/>
      </w:tabs>
    </w:pPr>
  </w:style>
  <w:style w:type="character" w:customStyle="1" w:styleId="FuzeileZchn">
    <w:name w:val="Fußzeile Zchn"/>
    <w:link w:val="Fuzeile"/>
    <w:uiPriority w:val="99"/>
    <w:rsid w:val="00986629"/>
    <w:rPr>
      <w:sz w:val="24"/>
      <w:szCs w:val="24"/>
    </w:rPr>
  </w:style>
  <w:style w:type="paragraph" w:customStyle="1" w:styleId="GGSZ">
    <w:name w:val="GGS ZÜ"/>
    <w:basedOn w:val="Standard"/>
    <w:link w:val="GGSZZchn"/>
    <w:uiPriority w:val="4"/>
    <w:qFormat/>
    <w:rsid w:val="005D5943"/>
    <w:pPr>
      <w:spacing w:before="120"/>
    </w:pPr>
    <w:rPr>
      <w:rFonts w:asciiTheme="minorHAnsi" w:hAnsiTheme="minorHAnsi"/>
      <w:b/>
      <w:sz w:val="22"/>
    </w:rPr>
  </w:style>
  <w:style w:type="character" w:customStyle="1" w:styleId="GGSZZchn">
    <w:name w:val="GGS ZÜ Zchn"/>
    <w:basedOn w:val="Absatz-Standardschriftart"/>
    <w:link w:val="GGSZ"/>
    <w:uiPriority w:val="4"/>
    <w:rsid w:val="005D5943"/>
    <w:rPr>
      <w:rFonts w:asciiTheme="minorHAnsi" w:hAnsiTheme="minorHAnsi"/>
      <w:b/>
      <w:sz w:val="22"/>
      <w:szCs w:val="24"/>
    </w:rPr>
  </w:style>
  <w:style w:type="paragraph" w:styleId="Listenabsatz">
    <w:name w:val="List Paragraph"/>
    <w:basedOn w:val="Standard"/>
    <w:uiPriority w:val="34"/>
    <w:qFormat/>
    <w:rsid w:val="00650B4F"/>
    <w:pPr>
      <w:ind w:left="720"/>
      <w:contextualSpacing/>
    </w:pPr>
  </w:style>
  <w:style w:type="paragraph" w:styleId="Funotentext">
    <w:name w:val="footnote text"/>
    <w:basedOn w:val="Standard"/>
    <w:link w:val="FunotentextZchn"/>
    <w:rsid w:val="00CF50DB"/>
    <w:rPr>
      <w:sz w:val="20"/>
      <w:szCs w:val="20"/>
    </w:rPr>
  </w:style>
  <w:style w:type="character" w:customStyle="1" w:styleId="FunotentextZchn">
    <w:name w:val="Fußnotentext Zchn"/>
    <w:basedOn w:val="Absatz-Standardschriftart"/>
    <w:link w:val="Funotentext"/>
    <w:rsid w:val="00CF50DB"/>
  </w:style>
  <w:style w:type="character" w:styleId="Funotenzeichen">
    <w:name w:val="footnote reference"/>
    <w:basedOn w:val="Absatz-Standardschriftart"/>
    <w:rsid w:val="00CF5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60007-F058-44F5-87D7-C0DBC8FA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2426</Words>
  <Characters>15768</Characters>
  <Application>Microsoft Office Word</Application>
  <DocSecurity>4</DocSecurity>
  <Lines>131</Lines>
  <Paragraphs>36</Paragraphs>
  <ScaleCrop>false</ScaleCrop>
  <HeadingPairs>
    <vt:vector size="2" baseType="variant">
      <vt:variant>
        <vt:lpstr>Titel</vt:lpstr>
      </vt:variant>
      <vt:variant>
        <vt:i4>1</vt:i4>
      </vt:variant>
    </vt:vector>
  </HeadingPairs>
  <TitlesOfParts>
    <vt:vector size="1" baseType="lpstr">
      <vt:lpstr>Geschäfts- und Verfahrensordnung</vt:lpstr>
    </vt:vector>
  </TitlesOfParts>
  <Company>Bayer. Sozialgerichtsbarkeit</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 und Verfahrensordnung</dc:title>
  <dc:subject/>
  <dc:creator>Sigmar.Roll</dc:creator>
  <cp:keywords/>
  <cp:lastModifiedBy>Redmann, Petra, EC2</cp:lastModifiedBy>
  <cp:revision>2</cp:revision>
  <cp:lastPrinted>2014-01-13T11:15:00Z</cp:lastPrinted>
  <dcterms:created xsi:type="dcterms:W3CDTF">2021-03-16T11:15:00Z</dcterms:created>
  <dcterms:modified xsi:type="dcterms:W3CDTF">2021-03-16T11:15:00Z</dcterms:modified>
</cp:coreProperties>
</file>