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22" w:rsidRPr="00FC0D01" w:rsidRDefault="00251322" w:rsidP="00251322">
      <w:pPr>
        <w:spacing w:before="120" w:line="320" w:lineRule="exact"/>
        <w:rPr>
          <w:sz w:val="16"/>
          <w:szCs w:val="16"/>
          <w:rFonts w:ascii="Verdana" w:hAnsi="Verdana"/>
        </w:rPr>
      </w:pPr>
      <w:r>
        <w:rPr>
          <w:sz w:val="16"/>
          <w:rFonts w:ascii="Verdana" w:hAnsi="Verdana"/>
        </w:rPr>
        <w:t xml:space="preserve">Zo dňa:</w:t>
      </w:r>
      <w:r>
        <w:rPr>
          <w:sz w:val="16"/>
          <w:rFonts w:ascii="Verdana" w:hAnsi="Verdana"/>
        </w:rPr>
        <w:t xml:space="preserve"> </w:t>
      </w:r>
      <w:r>
        <w:rPr>
          <w:sz w:val="16"/>
          <w:rFonts w:ascii="Verdana" w:hAnsi="Verdana"/>
        </w:rPr>
        <w:t xml:space="preserve">15. 3. 2021</w:t>
      </w:r>
    </w:p>
    <w:p w:rsidR="002C21BC" w:rsidRPr="00B93BDE" w:rsidRDefault="009C24A4">
      <w:pPr>
        <w:rPr>
          <w:sz w:val="22"/>
          <w:szCs w:val="22"/>
          <w:rFonts w:ascii="Calibri" w:hAnsi="Calibri"/>
        </w:rPr>
      </w:pPr>
      <w:r>
        <w:rPr>
          <w:sz w:val="22"/>
          <w:rFonts w:ascii="Calibri" w:hAnsi="Calibri"/>
        </w:rPr>
        <w:t xml:space="preserve">__________________________________________________________________________________</w:t>
      </w:r>
    </w:p>
    <w:p w:rsidR="009C24A4" w:rsidRPr="009C24A4" w:rsidRDefault="009C24A4" w:rsidP="003564B3">
      <w:pPr>
        <w:autoSpaceDE w:val="0"/>
        <w:autoSpaceDN w:val="0"/>
        <w:adjustRightInd w:val="0"/>
        <w:spacing w:line="276" w:lineRule="auto"/>
        <w:jc w:val="center"/>
        <w:rPr>
          <w:rFonts w:ascii="Calibri" w:hAnsi="Calibri"/>
          <w:sz w:val="22"/>
          <w:szCs w:val="22"/>
        </w:rPr>
      </w:pPr>
    </w:p>
    <w:p w:rsidR="008C60A0" w:rsidRPr="008C60A0" w:rsidRDefault="00D87095" w:rsidP="003564B3">
      <w:pPr>
        <w:spacing w:line="276" w:lineRule="auto"/>
        <w:jc w:val="center"/>
        <w:rPr>
          <w:b/>
          <w:sz w:val="22"/>
          <w:szCs w:val="22"/>
          <w:rFonts w:ascii="Calibri" w:eastAsia="Calibri" w:hAnsi="Calibri"/>
        </w:rPr>
      </w:pPr>
      <w:r>
        <w:rPr>
          <w:b/>
          <w:sz w:val="22"/>
          <w:rFonts w:ascii="Calibri" w:hAnsi="Calibri"/>
        </w:rPr>
        <w:t xml:space="preserve">Zákon o regulácií sprostredkovateľov médií podľa § 96 Štátnej zmluvy o médiách</w:t>
      </w:r>
    </w:p>
    <w:p w:rsidR="008C60A0" w:rsidRPr="008C60A0" w:rsidRDefault="008C60A0" w:rsidP="003564B3">
      <w:pPr>
        <w:spacing w:line="276" w:lineRule="auto"/>
        <w:jc w:val="center"/>
        <w:rPr>
          <w:b/>
          <w:sz w:val="22"/>
          <w:szCs w:val="22"/>
          <w:rFonts w:ascii="Calibri" w:eastAsia="Calibri" w:hAnsi="Calibri"/>
        </w:rPr>
      </w:pPr>
      <w:r>
        <w:rPr>
          <w:b/>
          <w:sz w:val="22"/>
          <w:rFonts w:ascii="Calibri" w:hAnsi="Calibri"/>
        </w:rPr>
        <w:br/>
      </w:r>
      <w:r>
        <w:rPr>
          <w:b/>
          <w:sz w:val="22"/>
          <w:rFonts w:ascii="Calibri" w:hAnsi="Calibri"/>
        </w:rPr>
        <w:t xml:space="preserve">(Zákon MI)</w:t>
      </w:r>
    </w:p>
    <w:p w:rsidR="008C60A0" w:rsidRPr="008C60A0" w:rsidRDefault="008C60A0" w:rsidP="003564B3">
      <w:pPr>
        <w:spacing w:line="276" w:lineRule="auto"/>
        <w:jc w:val="center"/>
        <w:rPr>
          <w:b/>
          <w:sz w:val="22"/>
          <w:szCs w:val="22"/>
          <w:rFonts w:ascii="Calibri" w:eastAsia="Calibri" w:hAnsi="Calibri"/>
        </w:rPr>
      </w:pPr>
      <w:r>
        <w:rPr>
          <w:sz w:val="22"/>
          <w:rFonts w:ascii="Calibri" w:hAnsi="Calibri"/>
        </w:rPr>
        <w:br/>
      </w:r>
      <w:r>
        <w:rPr>
          <w:sz w:val="22"/>
          <w:b/>
          <w:rFonts w:ascii="Calibri" w:hAnsi="Calibri"/>
        </w:rPr>
        <w:t xml:space="preserve">z...</w:t>
      </w:r>
    </w:p>
    <w:p w:rsidR="008C60A0" w:rsidRPr="008C60A0" w:rsidRDefault="008C60A0" w:rsidP="003564B3">
      <w:pPr>
        <w:spacing w:line="276" w:lineRule="auto"/>
        <w:jc w:val="center"/>
        <w:rPr>
          <w:rFonts w:ascii="Calibri" w:eastAsia="Calibri" w:hAnsi="Calibri"/>
          <w:sz w:val="22"/>
          <w:szCs w:val="22"/>
          <w:lang w:eastAsia="en-US"/>
        </w:rPr>
      </w:pPr>
    </w:p>
    <w:p w:rsidR="008C60A0" w:rsidRPr="008C60A0" w:rsidRDefault="008C60A0" w:rsidP="003564B3">
      <w:pPr>
        <w:spacing w:line="276" w:lineRule="auto"/>
        <w:rPr>
          <w:bCs/>
          <w:sz w:val="22"/>
          <w:szCs w:val="22"/>
          <w:rFonts w:ascii="Calibri" w:eastAsia="Calibri" w:hAnsi="Calibri"/>
        </w:rPr>
      </w:pPr>
      <w:r>
        <w:rPr>
          <w:sz w:val="22"/>
          <w:rFonts w:ascii="Calibri" w:hAnsi="Calibri"/>
        </w:rPr>
        <w:t xml:space="preserve">Na základe § 96 ods. 1 Štátnej zmluvy o médiách (MStV) od 14. do 28. apríla 2020 (... odkaz) [názov federálneho štátneho mediálneho orgánu] po dohode s ostatnými federálnymi štátnymi mediálnymi orgánmi týmto vydáva tento zákon:</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Oddiel 1:</w:t>
      </w:r>
      <w:r>
        <w:rPr>
          <w:b/>
          <w:sz w:val="22"/>
          <w:rFonts w:ascii="Calibri" w:hAnsi="Calibri"/>
        </w:rPr>
        <w:t xml:space="preserve"> </w:t>
      </w:r>
      <w:r>
        <w:rPr>
          <w:b/>
          <w:sz w:val="22"/>
          <w:rFonts w:ascii="Calibri" w:hAnsi="Calibri"/>
        </w:rPr>
        <w:t xml:space="preserve">Všeobecné ustanovenia</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1</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Účel a cieľ</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Podľa § 96 MStV tento zákon upravuje podrobnosti vecnej a procesnej špecifikácie právnych ustanovení pre reguláciu sprostredkovateľov médií a poskytovateľov sprostredkovateľov médií (§ 91 až 95 MStV).</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Tento zákon slúži na zabezpečenie rôznorodosti názorov (rozmanitosť ponuky a poskytovateľa).</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Pri uplatňovaní tohto zákona sa zohľadní riadiaca úloha sprostredkovateľov médií pre príslušné skupiny používateľov.</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2</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Rozsah pôsobnosti</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Rozsah pôsobnosti zákona zahŕňa sprostredkovateľov médií, začlenených sprostredkovateľov médií a ich poskytovateľov.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Pojem „začlenený sprostredkovateľ médií“ podľa § 91 ods. 1 MStV sa vzťahuje na akékoľvek začlenenie sprostredkovateľskej funkcie do ponúk tretích strán, ktoré umožňuje používateľom ponúk tretích strán využívať sprostredkovateľskú funkciu.</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Počet používateľov podľa § 91 ods. 2 pododseku 1 MStV je celkový počet jedinečných mesačných používateľov.</w:t>
      </w:r>
      <w:r>
        <w:rPr>
          <w:sz w:val="22"/>
          <w:rFonts w:ascii="Calibri" w:hAnsi="Calibri"/>
        </w:rPr>
        <w:t xml:space="preserve">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3) Ak sa poskytovateľ sprostredkovateľa médií odvolá na nariadenie v § 91 ods. 2 pododseku 1 MStV, na žiadosť príslušného federálneho štátneho mediálneho orgánu predloží a zdôvodní počet používateľov za jeden mesiac a predloží dokumenty a informácie potrebné pre preskúmanie.</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4) Ak sa sprostredkovateľská funkcia ešte neponúka alebo sa ponúka menej ako šesť mesiacov, poskytovateľ sprostredkovateľa médií na žiadosť príslušného federálneho štátneho mediálneho orgánu vypracuje prognózu vývoja počtu používateľov v zmysle § 91 ods. 2 pododseku 1 MStV, poskytne vierohodné dôkazy a predloží aj dokumenty a informácie potrebné na preskúmanie.</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3</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Poverený zástupca</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Povereným zástupcom môže byť fyzická alebo právnická osoba.</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Fyzické osoby musia mať svoje bydlisko alebo obvyklé miesto pobytu a právnické osoby musia mať sídlo hlavného miesta podnikateľskej činnosti v Spolkovej republike Nemecko.</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Uvedie sa adresa, na ktorú sa dá doručiť predvolanie.</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Požiadavky podľa § 92 ods. 1 vety 1, druhej polovice vety MStV sú zvyčajne splnené, ak je poverený zástupca určený v rozsahu informácií požadovaných v § 5 ods. 1 spolkového zákona o elektronických informačných a komunikačných službách (TMG) a § 18 ods. 1 MStV.</w:t>
      </w: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Oddiel 2:</w:t>
      </w:r>
      <w:r>
        <w:rPr>
          <w:b/>
          <w:sz w:val="22"/>
          <w:rFonts w:ascii="Calibri" w:hAnsi="Calibri"/>
        </w:rPr>
        <w:t xml:space="preserve"> </w:t>
      </w:r>
      <w:r>
        <w:rPr>
          <w:b/>
          <w:sz w:val="22"/>
          <w:rFonts w:ascii="Calibri" w:hAnsi="Calibri"/>
        </w:rPr>
        <w:t xml:space="preserve">Transparentnosť</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 4</w:t>
      </w:r>
    </w:p>
    <w:p w:rsidR="00D87095" w:rsidRDefault="00D87095" w:rsidP="00D87095">
      <w:pPr>
        <w:spacing w:line="276" w:lineRule="auto"/>
        <w:jc w:val="center"/>
        <w:rPr>
          <w:b/>
          <w:sz w:val="22"/>
          <w:szCs w:val="22"/>
          <w:rFonts w:ascii="Calibri" w:eastAsia="Calibri" w:hAnsi="Calibri"/>
        </w:rPr>
      </w:pPr>
      <w:r>
        <w:rPr>
          <w:b/>
          <w:sz w:val="22"/>
          <w:rFonts w:ascii="Calibri" w:hAnsi="Calibri"/>
        </w:rPr>
        <w:t xml:space="preserve">Účel a cieľ</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Zámerom ustanovení v tomto oddiele je zabezpečenie primeranej transparentnosti pre používateľov sprostredkovateľov médií, pokiaľ ide o informácie uvedené v § 93 ods. 1 MStV a v § 6 (informácie, ktoré majú byť transparentné).</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To by malo umožniť najmä informované využívanie sprostredkovateľa médií, pokiaľ ide o agregáciu, výber a prezentáciu novinársko-redakčného obsahu.</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Zaoberajú sa aj poskytovateľmi novinársko-redakčného obsahu.</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5</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Formálne požiadavky</w:t>
      </w:r>
    </w:p>
    <w:p w:rsidR="00D87095" w:rsidRPr="00D87095" w:rsidRDefault="00D87095"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1) Informácie podľa § 93 ods. 1 MStV, zmeny podľa § 93 ods. 3 MStV a informácie podľa § 6 musia byť transparentné v nemeckom jazyku.</w:t>
      </w:r>
    </w:p>
    <w:p w:rsidR="002A4057" w:rsidRPr="00D87095"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Informácia, ktorá má byť transparentná, je ľahko vnímateľná v zmysle § 93 MStV, ak je umiestnená v jasne vnímateľnej polohe pre priemerného používateľa, berúc do úvahy bežnú situáciu používania sprostredkovateľa médií.</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Zvyčajne platí, že informácie, ktoré majú byť transparentné, sa dajú jasne odlíšiť od ostatného obsahu a priamo súvisia so vstupnými alebo navigačnými možnosťami nevyhnutnými pre používanie sprostredkovateľa médií.</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Pri použití webového odkazu na informácie, ktoré majú byť transparentné, sa uvedené požiadavky uplatnia zodpovedajúcim spôsobom.</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3)</w:t>
      </w:r>
      <w:r>
        <w:rPr>
          <w:sz w:val="22"/>
          <w:vertAlign w:val="superscript"/>
          <w:rFonts w:ascii="Calibri" w:hAnsi="Calibri"/>
        </w:rPr>
        <w:t xml:space="preserve">1</w:t>
      </w:r>
      <w:r>
        <w:rPr>
          <w:sz w:val="22"/>
          <w:rFonts w:ascii="Calibri" w:hAnsi="Calibri"/>
        </w:rPr>
        <w:t xml:space="preserve">Informácie, ktoré majú byť transparentné, sú okamžite prístupné v zmysle § 93 MStV, ak sú vnímateľné pre používateľa bez podstatných medzikrokov.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To neplatí predovšetkým vtedy, ak sú informácie prístupné prostredníctvom viac ako dvoch webových odkazov a/alebo získanie informácií je podmienené predchádzajúcou registráciou alebo prihlásením.</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4) Informácie, ktoré majú byť transparentné, sú v zmysle § 93 MStV vždy dostupné, ak má k nim používateľ prístup kedykoľvek.</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5) Informácie, ktoré majú byť transparentné, sa poskytujú v zrozumiteľnom jazyku v zmysle § 93 MStV, ak priemernému používateľovi dokážu poskytnúť základné pochopenie okolností uvedených v § 93 ods. 1 MStV potrebných pre informované používanie sprostredkovateľa médií.</w:t>
      </w:r>
    </w:p>
    <w:p w:rsidR="002A4057" w:rsidRDefault="002A4057"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6) Ak je používanie sprostredkovateľa médií prevažne hlasové, informácie, ktoré majú byť transparentné, by sa mali na žiadosť používateľa reprodukovať aj akusticky, pričom postačuje akustické označenie toho, kde sa informácie, ktoré majú byť transparentné, poskytujú.</w:t>
      </w: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6</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Informačné povinnosti</w:t>
      </w:r>
    </w:p>
    <w:p w:rsidR="00D87095" w:rsidRPr="00D87095" w:rsidRDefault="00D87095" w:rsidP="002A4057">
      <w:pPr>
        <w:spacing w:line="276" w:lineRule="auto"/>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Poskytovateľ sprostredkovateľa médií je povinný zabezpečiť transparentnosť kritérií, ktoré určujú prístup mediálneho sprostredkovateľa k obsahu a jeho uchovávanie (§ 93 ods. 1 pododsek 1 MStV).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Na tento účel musí poskytovateľ sprostredkovateľa médií poskytnúť najmä tieto informácie:</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opis technických, ekonomických podmienok, podmienok súvisiacich s poskytovateľom, podmienok súvisiacich s používateľom a podmienok súvisiacich s obsahom, ktoré určujú, či je obsah vnímateľný prostredníctvom sprostredkovateľa médií,</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v prípade, že sa určitý obsah filtruje, alebo sa zvyšuje/znižuje jeho technická kvalita z hľadiska vnímateľnosti pri prístupe k mediálnemu sprostredkovateľovi a zotrvávaní v ňom, najmä používaním aj automatických systémov, uvedie sa príslušná kategória obsahu a ciele sledované jeho filtrovaním alebo zvyšovaním/znižovaním jeho technickej kvality a</w:t>
      </w:r>
    </w:p>
    <w:p w:rsid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informácie o tom, či a ako je alebo môžu byť prístup k obsahu a uchovávanie obsahu v sprostredkovateľovi médií ovplyvnené platbami alebo inými priamymi alebo nepriamymi vecnými výhodami.</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Poskytovateľ sprostredkovateľa médií je v zmysle § 93 ods. 1 pododseku 2 MStV povinný zabezpečiť transparentnosť centrálnych kritérií pre agregáciu, výber a prezentáciu obsahu a ich váhovania, vrátane informácií o fungovaní použitých algoritmov.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Na tento účel musí poskytovateľ sprostredkovateľa médií poskytnúť najmä tieto informácie:</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opis centrálnych kritérií pre agregáciu, výber a prezentáciu, ktoré poskytovateľ sprostredkovateľa médií používa,</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opis relatívnej váhy centrálnych kritérií vo vzájomnom vzťahu a vo vzťahu k necentrálnym kritériám bez toho, aby boli tieto kritériá transparentné,</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opis cieľov optimalizácie, ktoré centrálne kritériá sledujú,</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informácie o tom, či úhrady poplatkov alebo iné aspekty priameho alebo nepriameho odmeňovania majú dopad na možnosti vyhľadania obsahu v mediálnom sprostredkovateľovi a akým spôsobom,</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opis základných krokov procesu, ktorý je základom agregácie, výberu a prezentácie obsahu, vrátane toho, ktoré osobné a iné údaje sa zahrňujú do agregácie, výberu a prezentácie,</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informácie o type a rozsahu použitej personalizácie a o tom, či a ako sa posudzuje relevantnosť obsahu pre príslušného používateľa,</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informácie o tom, či a akým spôsobom môže správanie používateľa v sprostredkovateľovi médií ovplyvniť agregáciu, výber a prezentáciu obsahu, vrátane informácií o tom, aké možnosti má používateľ ich ovplyvniť prostredníctvom nastavení a čiastočných funkcií a</w:t>
      </w:r>
    </w:p>
    <w:p w:rsid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informácie o tom, či a ako poskytovateľ sprostredkovateľa médií zaobchádza so svojím vlastným obsahom, obsahom pridruženej spoločnosti [§ 15 zákona o akciovej spoločnosti (AktG)] alebo obsahom partnerov špeciálnym spôsobom pri agregácii, výbere a/alebo prezentácii.</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Dôležité zmeny kritérií, ktoré majú byť transparentné podľa § 93 ods. 1 MStV, musia byť okamžite vnímateľné.</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Na tento účel poskytovateľ sprostredkovateľa médií uchováva prehľad o významných zmenách uskutočnených v priebehu času.</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Všetky ostatné zmeny kritérií, ktoré majú byť transparentné podľa § 93 ods. 1 MStV, sa budú zverejňovať aspoň každé štyri mesiace od nadobudnutia účinnosti tohto zákona.</w:t>
      </w:r>
      <w:r>
        <w:rPr>
          <w:sz w:val="22"/>
          <w:rFonts w:ascii="Calibri" w:hAnsi="Calibri"/>
        </w:rPr>
        <w:t xml:space="preserve"> </w:t>
      </w:r>
      <w:r>
        <w:rPr>
          <w:sz w:val="22"/>
          <w:rFonts w:ascii="Calibri" w:hAnsi="Calibri"/>
        </w:rPr>
        <w:t xml:space="preserve">§ 5 sa uplatní zodpovedajúcim spôsobom.</w:t>
      </w:r>
    </w:p>
    <w:p w:rsidR="00D87095" w:rsidRDefault="00D87095" w:rsidP="002A4057">
      <w:pPr>
        <w:spacing w:line="276" w:lineRule="auto"/>
        <w:jc w:val="center"/>
        <w:rPr>
          <w:rFonts w:ascii="Calibri" w:eastAsia="Calibri" w:hAnsi="Calibri"/>
          <w:b/>
          <w:sz w:val="22"/>
          <w:szCs w:val="22"/>
          <w:lang w:eastAsia="en-US"/>
        </w:rPr>
      </w:pP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jc w:val="center"/>
        <w:rPr>
          <w:b/>
          <w:sz w:val="22"/>
          <w:szCs w:val="22"/>
          <w:rFonts w:ascii="Calibri" w:eastAsia="Calibri" w:hAnsi="Calibri"/>
        </w:rPr>
      </w:pPr>
      <w:r>
        <w:rPr>
          <w:b/>
          <w:sz w:val="22"/>
          <w:rFonts w:ascii="Calibri" w:hAnsi="Calibri"/>
        </w:rPr>
        <w:t xml:space="preserve">Oddiel 3:</w:t>
      </w:r>
      <w:r>
        <w:rPr>
          <w:b/>
          <w:sz w:val="22"/>
          <w:rFonts w:ascii="Calibri" w:hAnsi="Calibri"/>
        </w:rPr>
        <w:t xml:space="preserve"> </w:t>
      </w:r>
      <w:r>
        <w:rPr>
          <w:b/>
          <w:sz w:val="22"/>
          <w:rFonts w:ascii="Calibri" w:hAnsi="Calibri"/>
        </w:rPr>
        <w:t xml:space="preserve">Nediskriminácia</w:t>
      </w:r>
    </w:p>
    <w:p w:rsidR="00D87095" w:rsidRPr="00D87095" w:rsidRDefault="00D87095" w:rsidP="002A4057">
      <w:pPr>
        <w:spacing w:line="276" w:lineRule="auto"/>
        <w:jc w:val="center"/>
        <w:rPr>
          <w:rFonts w:ascii="Calibri" w:eastAsia="Calibri" w:hAnsi="Calibri"/>
          <w:b/>
          <w:sz w:val="22"/>
          <w:szCs w:val="22"/>
          <w:lang w:eastAsia="en-US"/>
        </w:rPr>
      </w:pPr>
    </w:p>
    <w:p w:rsidR="00D87095" w:rsidRDefault="00D87095" w:rsidP="002A4057">
      <w:pPr>
        <w:spacing w:line="276" w:lineRule="auto"/>
        <w:jc w:val="center"/>
        <w:rPr>
          <w:b/>
          <w:sz w:val="22"/>
          <w:szCs w:val="22"/>
          <w:rFonts w:ascii="Calibri" w:eastAsia="Calibri" w:hAnsi="Calibri"/>
        </w:rPr>
      </w:pPr>
      <w:r>
        <w:rPr>
          <w:b/>
          <w:sz w:val="22"/>
          <w:rFonts w:ascii="Calibri" w:hAnsi="Calibri"/>
        </w:rPr>
        <w:t xml:space="preserve">§ 7</w:t>
      </w:r>
      <w:r>
        <w:rPr>
          <w:b/>
          <w:sz w:val="22"/>
          <w:rFonts w:ascii="Calibri" w:hAnsi="Calibri"/>
        </w:rPr>
        <w:t xml:space="preserve"> </w:t>
      </w:r>
      <w:r>
        <w:rPr>
          <w:b/>
          <w:sz w:val="22"/>
          <w:rFonts w:ascii="Calibri" w:hAnsi="Calibri"/>
        </w:rPr>
        <w:t xml:space="preserve">Všeobecné ustanovenia</w:t>
      </w:r>
    </w:p>
    <w:p w:rsidR="002A4057" w:rsidRPr="00D87095" w:rsidRDefault="002A4057" w:rsidP="002A4057">
      <w:pPr>
        <w:spacing w:line="276" w:lineRule="auto"/>
        <w:jc w:val="center"/>
        <w:rPr>
          <w:rFonts w:ascii="Calibri" w:eastAsia="Calibri" w:hAnsi="Calibri"/>
          <w:b/>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Povinnosť sprostredkovateľa médií podľa § 94 ods. 1 MStV zahŕňa aj definovateľné časti a príspevky novinársko-redakčnej ponuky.</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Pri určovaní mimoriadne vysokého vplyvu v zmysle § 94 ods. 1 MStV je rozhodujúci vplyv sprostredkovateľa médií na vnímateľnosť novinársko-redakčného obsahu v rámci mienkotvorného procesu.</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Pri posúdení sa môže brať do úvahy najmä:</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postavenie sprostredkovateľa médií na príslušných relevantných trhoch;</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celkový pohľad na používanie, napríklad na základe dostupného rozsahu používania, počtu používateľov, trvania a aktivity používateľov alebo počtu zobrazení na používateľa.</w:t>
      </w:r>
      <w:r>
        <w:rPr>
          <w:sz w:val="22"/>
          <w:rFonts w:ascii="Calibri" w:hAnsi="Calibri"/>
        </w:rPr>
        <w:t xml:space="preserve"> </w:t>
      </w:r>
    </w:p>
    <w:p w:rsidR="002A4057" w:rsidRPr="002A4057"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 8</w:t>
      </w:r>
      <w:r>
        <w:rPr>
          <w:b/>
          <w:sz w:val="22"/>
          <w:rFonts w:ascii="Calibri" w:hAnsi="Calibri"/>
        </w:rPr>
        <w:br/>
      </w:r>
      <w:r>
        <w:rPr>
          <w:b/>
          <w:sz w:val="22"/>
          <w:rFonts w:ascii="Calibri" w:hAnsi="Calibri"/>
        </w:rPr>
        <w:t xml:space="preserve">Systematická odchýlka podľa § 94 ods. 2 prvej alternatívy MStV</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Rozhodujúce pre posúdenie, či ide o porušenie v zmysle § 94 ods. 2 prvej alternatívy MStV</w:t>
      </w:r>
    </w:p>
    <w:p w:rsidR="00D87095" w:rsidRP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sú kritériá a informácie o váhovaní kritérií, ktoré sprostredkovateľ médií uverejňuje s cieľom splniť svoju povinnosť podľa § 93 ods. 1 MStV alebo</w:t>
      </w:r>
    </w:p>
    <w:p w:rsid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kritériá a informácie o váhovaní kritérií, ktoré by sprostredkovateľ médií musel uverejniť, aby splnil svoju povinnosť podľa § 93 ods. 1 MStV.</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Odchýlka v zmysle § 94 ods. 2 prvej alternatívy MStV sa považuje za existujúcu, najmä ak poskytovateľ sprostredkovateľa médií:</w:t>
      </w:r>
      <w:r>
        <w:rPr>
          <w:sz w:val="22"/>
          <w:rFonts w:ascii="Calibri" w:hAnsi="Calibri"/>
        </w:rPr>
        <w:t xml:space="preserve"> </w:t>
      </w:r>
    </w:p>
    <w:p w:rsidR="00D87095" w:rsidRP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neuplatňuje zverejnené kritériá alebo uplatňuje iné kritériá ako tie, ktoré sa majú zverejniť podľa § 93 ods. 1 pododsekov 1 a 2 MStV, alebo</w:t>
      </w:r>
    </w:p>
    <w:p w:rsid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sa odchyľuje od zverejneného váhovania centrálnych kritérií agregácie, výberu a prezentácie obsahu.</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Či je odchýlka v zmysle § 94 ods. 2 prvej alternatívy MStV systematická, sa určí na základe celkového posúdenia všetkých okolností.</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Bude sa prihliadať najmä na trvanie, pravidelnosť, opakovanie a harmonogram odchýlky.</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4) Odchýlka je odôvodnená, ak je spôsobená objektívne odôvodnenými príčinami.</w:t>
      </w:r>
      <w:r>
        <w:rPr>
          <w:sz w:val="22"/>
          <w:rFonts w:ascii="Calibri" w:hAnsi="Calibri"/>
        </w:rPr>
        <w:t xml:space="preserve"> </w:t>
      </w:r>
      <w:r>
        <w:rPr>
          <w:sz w:val="22"/>
          <w:rFonts w:ascii="Calibri" w:hAnsi="Calibri"/>
        </w:rPr>
        <w:t xml:space="preserve">Príčiny môžu byť najmä</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právne zákazy alebo právne záväzky;</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technické podmienky pri prezentácii používateľovi;</w:t>
      </w:r>
    </w:p>
    <w:p w:rsid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požiadavky na ochranu integrity služby.</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5) Či existuje objektívne odôvodnený dôvod, sa posudzuje po zvážení záujmov zúčastnených strán, berúc do úvahy cieľ MStV zabezpečiť rozmanitosť názorov.</w:t>
      </w:r>
      <w:r>
        <w:rPr>
          <w:sz w:val="22"/>
          <w:rFonts w:ascii="Calibri" w:hAnsi="Calibri"/>
        </w:rPr>
        <w:t xml:space="preserve">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9</w:t>
      </w: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Neprimeraná obštrukcia podľa § 94 ods. 2 druhej alternatívy MStV</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Prekážkou v zmysle § 94 ods. 2 druhej alternatívy MStV je priame alebo nepriame zhoršenie, pokiaľ ide o možnosti prístupu k novinársko-redakčnej ponuke alebo jej vyhľadania.</w:t>
      </w: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Podľa toho sa uplatní § 8 ods. 1.</w:t>
      </w:r>
    </w:p>
    <w:p w:rsidR="006E5D47"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Či je obštrukcia v zmysle § 94 ods. 2 druhej alternatívy MStV systematická, sa určí na základe celkového posúdenia všetkých okolností.</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Musí sa zohľadniť trvanie, pravidelnosť a opakovanie obštrukcie.</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w:t>
      </w:r>
      <w:r>
        <w:rPr>
          <w:sz w:val="22"/>
          <w:vertAlign w:val="superscript"/>
          <w:rFonts w:ascii="Calibri" w:hAnsi="Calibri"/>
        </w:rPr>
        <w:t xml:space="preserve">1</w:t>
      </w:r>
      <w:r>
        <w:rPr>
          <w:sz w:val="22"/>
          <w:rFonts w:ascii="Calibri" w:hAnsi="Calibri"/>
        </w:rPr>
        <w:t xml:space="preserve">Neopodstatnený charakter prekážky sa posúdi na základe rovnováhy medzi záujmami strán, pričom sa bude brať do úvahy cieľ MStV chrániť rozmanitosť názorov.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Neopodstatnený charakter obštrukcie môže vyplývať z jednotlivých kritérií alebo z kumulatívnej interakcie viacerých kritérií.</w:t>
      </w:r>
      <w:r>
        <w:rPr>
          <w:sz w:val="22"/>
          <w:rFonts w:ascii="Calibri" w:hAnsi="Calibri"/>
        </w:rPr>
        <w:t xml:space="preserve">  </w:t>
      </w:r>
    </w:p>
    <w:p w:rsidR="00D87095" w:rsidRDefault="00D87095" w:rsidP="006E5D47">
      <w:pPr>
        <w:spacing w:line="276" w:lineRule="auto"/>
        <w:jc w:val="center"/>
        <w:rPr>
          <w:rFonts w:ascii="Calibri" w:eastAsia="Calibri" w:hAnsi="Calibri"/>
          <w:b/>
          <w:sz w:val="22"/>
          <w:szCs w:val="22"/>
          <w:lang w:eastAsia="en-US"/>
        </w:rPr>
      </w:pP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6E5D47" w:rsidP="006E5D47">
      <w:pPr>
        <w:spacing w:line="276" w:lineRule="auto"/>
        <w:jc w:val="center"/>
        <w:rPr>
          <w:b/>
          <w:sz w:val="22"/>
          <w:szCs w:val="22"/>
          <w:rFonts w:ascii="Calibri" w:eastAsia="Calibri" w:hAnsi="Calibri"/>
        </w:rPr>
      </w:pPr>
      <w:r>
        <w:rPr>
          <w:b/>
          <w:sz w:val="22"/>
          <w:rFonts w:ascii="Calibri" w:hAnsi="Calibri"/>
        </w:rPr>
        <w:t xml:space="preserve">Oddiel 4:</w:t>
      </w:r>
      <w:r>
        <w:rPr>
          <w:b/>
          <w:sz w:val="22"/>
          <w:rFonts w:ascii="Calibri" w:hAnsi="Calibri"/>
        </w:rPr>
        <w:t xml:space="preserve"> </w:t>
      </w:r>
      <w:r>
        <w:rPr>
          <w:b/>
          <w:sz w:val="22"/>
          <w:rFonts w:ascii="Calibri" w:hAnsi="Calibri"/>
        </w:rPr>
        <w:t xml:space="preserve">Postup a vyšetrovanie</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10</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Právomoci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Na plnenie úloh v rámci tohto zákona slúži ako vhodný orgán Komisia pre udeľovanie licencií a dohľad (ZAK) príslušného federálneho mediálneho orgánu (§ 104 ods. 2 veta 1, č. 1, § 105 ods. 1, veta 1, č. 10 MStV v spojení s rokovacím poriadkom ZAK – GVO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Príslušný federálny štátny mediálny orgán bezodkladne postúpi sťažnosti ZAK-u prostredníctvom spoločného úradu podľa § 11 a vyrozumie ho o prieskumnom konaní </w:t>
      </w:r>
      <w:r>
        <w:rPr>
          <w:sz w:val="22"/>
          <w:i/>
          <w:iCs/>
          <w:rFonts w:ascii="Calibri" w:hAnsi="Calibri"/>
        </w:rPr>
        <w:t xml:space="preserve">ex officio</w:t>
      </w:r>
      <w:r>
        <w:rPr>
          <w:sz w:val="22"/>
          <w:rFonts w:ascii="Calibri" w:hAnsi="Calibri"/>
        </w:rPr>
        <w:t xml:space="preserv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ZAK povedie konanie až do vypracovania rozhodnutia.</w:t>
      </w:r>
    </w:p>
    <w:p w:rsidR="006E5D47" w:rsidRPr="006E5D47"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 11</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Postup pre zabránenie diskriminácie</w:t>
      </w: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Príslušný federálny štátny mediálny orgán na základe sťažnosti alebo v zjavných prípadoch </w:t>
      </w:r>
      <w:r>
        <w:rPr>
          <w:sz w:val="22"/>
          <w:i/>
          <w:iCs/>
          <w:rFonts w:ascii="Calibri" w:hAnsi="Calibri"/>
        </w:rPr>
        <w:t xml:space="preserve">ex officio</w:t>
      </w:r>
      <w:r>
        <w:rPr>
          <w:sz w:val="22"/>
          <w:rFonts w:ascii="Calibri" w:hAnsi="Calibri"/>
        </w:rPr>
        <w:t xml:space="preserve"> preskúma prostredníctvom ZAK, či poskytovateľ sprostredkovateľa médií porušuje ustanovenia § 94 ods. 1 a 2 MStV alebo § 8 a 9.</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Právo odvolať sa v zmysle § 94 ods. 3 vety 1 MStV sa priznáva:</w:t>
      </w:r>
      <w:r>
        <w:rPr>
          <w:sz w:val="22"/>
          <w:rFonts w:ascii="Calibri" w:hAnsi="Calibri"/>
        </w:rPr>
        <w:t xml:space="preserve"> </w:t>
      </w:r>
    </w:p>
    <w:p w:rsidR="00D87095" w:rsidRP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poskytovateľom novinársko-redakčného obsahu a</w:t>
      </w:r>
      <w:r>
        <w:rPr>
          <w:sz w:val="22"/>
          <w:rFonts w:ascii="Calibri" w:hAnsi="Calibri"/>
        </w:rPr>
        <w:t xml:space="preserve"> </w:t>
      </w:r>
    </w:p>
    <w:p w:rsid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poskytovateľom mediálnych platforiem a používateľských rozhraní, pokiaľ sa sťažujú na diskrimináciu balíkov novinársko-redakčného obsahu, ktoré ponúkajú.</w:t>
      </w:r>
    </w:p>
    <w:p w:rsidR="006E5D47" w:rsidRPr="00D87095" w:rsidRDefault="006E5D47" w:rsidP="006E5D47">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Sťažovateľ uvedie dôvody svojho odvolania.</w:t>
      </w:r>
      <w:r>
        <w:rPr>
          <w:sz w:val="22"/>
          <w:rFonts w:ascii="Calibri" w:hAnsi="Calibri"/>
        </w:rPr>
        <w:t xml:space="preserve"> </w:t>
      </w:r>
      <w:r>
        <w:rPr>
          <w:sz w:val="22"/>
          <w:rFonts w:ascii="Calibri" w:hAnsi="Calibri"/>
        </w:rPr>
        <w:t xml:space="preserve">Na tento účel predloží vhodný dôkaz, ktorý dostatočne preukáže údajnú diskrimináciu jeho novinársko-redakčného obsahu v zmysle § 94 ods. 2 MStV alebo § 8 a 9.</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Môžu sa predložiť najmä tieto údaje:</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hodnotenia možností vyhľadania vlastného novinársko-redakčného obsahu v mediálnych sprostredkovateľoch a</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vhodné štúdie.</w:t>
      </w: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3</w:t>
      </w:r>
      <w:r>
        <w:rPr>
          <w:sz w:val="22"/>
          <w:rFonts w:ascii="Calibri" w:hAnsi="Calibri"/>
        </w:rPr>
        <w:t xml:space="preserve">Okrem toho, v prípadoch, kde je to možné, sťažovateľ poskytne vhodný dôkaz, ktorým sa dostatočne potvrdzuje obzvlášť vysoký vplyv sprostredkovateľa médií na vnímateľnosť novinársko-redakčného obsahu v zmysle § 94 ods. 1 MStV.</w:t>
      </w:r>
      <w:r>
        <w:rPr>
          <w:sz w:val="22"/>
          <w:rFonts w:ascii="Calibri" w:hAnsi="Calibri"/>
        </w:rPr>
        <w:t xml:space="preserve"> </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Zjavný prípad v zmysle § 94 ods. 3 vety 2 MStV a (1) nastane, ak sú skutočnosti, ktoré sú dôvodom porušenia zákazu diskriminácie, pre tretie strany jasne identifikovateľné.</w:t>
      </w:r>
      <w:r>
        <w:rPr>
          <w:sz w:val="22"/>
          <w:rFonts w:ascii="Calibri" w:hAnsi="Calibri"/>
        </w:rPr>
        <w:t xml:space="preserve"> </w:t>
      </w:r>
    </w:p>
    <w:p w:rsidR="00D87095" w:rsidRPr="00D87095" w:rsidRDefault="00D87095"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12</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Náprava</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Ak príslušný federálny štátny mediálny orgán prostredníctvom ZAK-u určí, že poskytovateľ sprostredkovateľa médií porušuje § 92 až 94 MStV alebo ustanovenia tohto zákona, poskytovateľ sprostredkovateľa médií okamžite zabezpečí nápravu.</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Poskytovateľ sprostredkovateľa médií je povinný poskytnúť dôkaz o náprave príslušnému federálnemu štátnemu mediálnemu orgánu vhodným a zrozumiteľným spôsobom.</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13</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Informovanie a predkladanie dokumentov</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Na overenie možného porušenia je poskytovateľ sprostredkovateľa médií povinný poskytnúť všetky potrebné informácie, sprístupniť informácie a predložiť dokumenty.</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Príslušný federálny štátny mediálny orgán môže najmä</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požadovať predloženie všetkej dokumentácie, ktorá preukazuje, že kritériá zodpovedajú § 93 ods. 1 pododseku 1 MStV alebo centrálne kritériá a ich váhovanie ako aj fungovanie použitých algoritmov zodpovedajú § 93 ods. 1 pododseku 2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ako svedkov vypočuť zamestnancov poskytovateľa sprostredkovateľa médií, ktorí sa podieľajú na definovaní, technickej realizácii a úprave kritérií v zmysle § 93 ods. 1 pododseku 1 MStV alebo centrálnych kritérií a ich váhovania, ako aj používaných algoritmov v zmysle § 93 ods. 1 pododseku 2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požadovať od poskytovateľa sprostredkovateľa médií vyhlásenie týkajúce sa informácií, ktoré majú byť transparentné, v zmysle § 93 ods. 1 MStV a § 6;</w:t>
      </w:r>
    </w:p>
    <w:p w:rsid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požadovať predloženie zmluvných dojednaní, záväzkov alebo iných povinností, ktoré objektívne súvisia s prístupom a uchovávaním obsahu sprostredkovateľom médií, najmä pokiaľ sa týkajú začlenenia, prezentácie a uchovávania novinársko-redakčného obsahu.</w:t>
      </w:r>
    </w:p>
    <w:p w:rsidR="00D622FF" w:rsidRPr="00D87095" w:rsidRDefault="00D622FF" w:rsidP="00D622FF">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Pri predkladaní dokumentov uvedených v odseku 1 sprostredkovateľ médií označí tie časti dokumentov, ktoré obsahujú podnikové alebo obchodné tajomstvo.</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V tomto prípade musí navyše predložiť verziu, ktorú z jeho pohľadu môžu prezerať tretie strany bez toho, aby došlo k prezradeniu podnikového alebo obchodného tajomstva.</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Ak sa tak nestane, federálny štátny mediálny orgán môže predpokladať súhlas s kontrolou, pokiaľ si nie je vedomý osobitných okolností, ktoré sú proti takej domnienke.</w:t>
      </w:r>
      <w:r>
        <w:rPr>
          <w:sz w:val="22"/>
          <w:rFonts w:ascii="Calibri" w:hAnsi="Calibri"/>
        </w:rPr>
        <w:t xml:space="preserve"> </w:t>
      </w:r>
      <w:r>
        <w:rPr>
          <w:sz w:val="22"/>
          <w:vertAlign w:val="superscript"/>
          <w:rFonts w:ascii="Calibri" w:hAnsi="Calibri"/>
        </w:rPr>
        <w:t xml:space="preserve">4</w:t>
      </w:r>
      <w:r>
        <w:rPr>
          <w:sz w:val="22"/>
          <w:rFonts w:ascii="Calibri" w:hAnsi="Calibri"/>
        </w:rPr>
        <w:t xml:space="preserve">Ak federálny štátny mediálny orgán bude považovať označenie dokumentov za podnikové alebo obchodné tajomstvo neopodstatnené, pred rozhodnutím o udelení prístupu tretím stranám musí poskytovateľovi poskytnúť možnosť vyjadriť sa.</w:t>
      </w:r>
    </w:p>
    <w:p w:rsid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 </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Oddiel 5:</w:t>
      </w:r>
      <w:r>
        <w:rPr>
          <w:b/>
          <w:sz w:val="22"/>
          <w:rFonts w:ascii="Calibri" w:hAnsi="Calibri"/>
        </w:rPr>
        <w:t xml:space="preserve"> </w:t>
      </w:r>
      <w:r>
        <w:rPr>
          <w:b/>
          <w:sz w:val="22"/>
          <w:rFonts w:ascii="Calibri" w:hAnsi="Calibri"/>
        </w:rPr>
        <w:t xml:space="preserve">Záverečné ustanovenia</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14</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Hodnotenie</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DF0BF7">
      <w:pPr>
        <w:spacing w:after="200" w:line="276" w:lineRule="auto"/>
        <w:contextualSpacing/>
        <w:rPr>
          <w:sz w:val="22"/>
          <w:szCs w:val="22"/>
          <w:rFonts w:ascii="Calibri" w:eastAsia="Calibri" w:hAnsi="Calibri"/>
        </w:rPr>
      </w:pPr>
      <w:r>
        <w:rPr>
          <w:sz w:val="22"/>
          <w:rFonts w:ascii="Calibri" w:hAnsi="Calibri"/>
        </w:rPr>
        <w:t xml:space="preserve">ZAK preskúma tento zákon aspoň každé tri roky, berúc do úvahy najmä</w:t>
      </w:r>
      <w:r>
        <w:rPr>
          <w:sz w:val="22"/>
          <w:rFonts w:ascii="Calibri" w:hAnsi="Calibri"/>
        </w:rPr>
        <w:tab/>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skúsenosti získané z praktického uplatňovania tohto zákona;</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technický a hospodársky vývoj v regulačnej oblasti;</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význam jednotlivých sprostredkovateľov médií pre tvorbu verejnej mienky;</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vývoj v oblasti koregulácie, napríklad celoodvetvové záväzky;</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vývoj v oblasti výskumu transparentnosti a diskriminácie;</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vývoj v oblasti výskumu analýzy dát, umelej inteligencie a strojového učenia.</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 15</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Nadobudnutie účinnosti</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8C60A0" w:rsidRPr="008C60A0" w:rsidRDefault="006E5D47" w:rsidP="00DF0BF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Tento zákon nadobúda účinnosť 1. septembra 2021.</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Ak do 31. augusta 2021 všetky federálne mediálne orgány neschvália a nezverejnia príslušné zákony, tento zákon sa stane zastaraný.</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Predseda Konferencie riaditeľov federálnych štátnych mediálnych orgánov (DLM) zverejní na internete pod zastrešujúcou značkou „die medienanstalten“, či všetky federálne štátne mediálne orgány schválili a zverejnili príslušné zákony v lehote uvedenej vo vete 2.</w:t>
      </w:r>
      <w:r w:rsidR="00CF50DB">
        <w:rPr>
          <w:rStyle w:val="Funotenzeichen"/>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B6" w:rsidRDefault="00F32DB6" w:rsidP="00986629">
      <w:r>
        <w:separator/>
      </w:r>
    </w:p>
  </w:endnote>
  <w:endnote w:type="continuationSeparator" w:id="0">
    <w:p w:rsidR="00F32DB6" w:rsidRDefault="00F32DB6"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344168373"/>
      <w:docPartObj>
        <w:docPartGallery w:val="Page Numbers (Bottom of Page)"/>
        <w:docPartUnique/>
      </w:docPartObj>
    </w:sdtPr>
    <w:sdtEndPr/>
    <w:sdtContent>
      <w:p w:rsidR="00C41351" w:rsidRPr="00C41351" w:rsidRDefault="00C41351">
        <w:pPr>
          <w:pStyle w:val="Fuzeile"/>
          <w:jc w:val="center"/>
          <w:rPr>
            <w:sz w:val="22"/>
            <w:szCs w:val="22"/>
            <w:rFonts w:asciiTheme="minorHAnsi" w:hAnsiTheme="minorHAnsi" w:cstheme="minorHAnsi"/>
          </w:rPr>
        </w:pPr>
        <w:r w:rsidRPr="00C41351">
          <w:rPr>
            <w:sz w:val="22"/>
            <w:rFonts w:asciiTheme="minorHAnsi" w:hAnsiTheme="minorHAnsi" w:cstheme="minorHAnsi"/>
          </w:rPr>
          <w:fldChar w:fldCharType="begin"/>
        </w:r>
        <w:r w:rsidRPr="00C41351">
          <w:rPr>
            <w:sz w:val="22"/>
            <w:rFonts w:asciiTheme="minorHAnsi" w:hAnsiTheme="minorHAnsi" w:cstheme="minorHAnsi"/>
          </w:rPr>
          <w:instrText>PAGE   \* MERGEFORMAT</w:instrText>
        </w:r>
        <w:r w:rsidRPr="00C41351">
          <w:rPr>
            <w:sz w:val="22"/>
            <w:rFonts w:asciiTheme="minorHAnsi" w:hAnsiTheme="minorHAnsi" w:cstheme="minorHAnsi"/>
          </w:rPr>
          <w:fldChar w:fldCharType="separate"/>
        </w:r>
        <w:r w:rsidR="00673759">
          <w:rPr>
            <w:sz w:val="22"/>
            <w:rFonts w:asciiTheme="minorHAnsi" w:hAnsiTheme="minorHAnsi" w:cstheme="minorHAnsi"/>
          </w:rPr>
          <w:t>8</w:t>
        </w:r>
        <w:r w:rsidRPr="00C41351">
          <w:rPr>
            <w:sz w:val="22"/>
            <w:rFonts w:asciiTheme="minorHAnsi" w:hAnsiTheme="minorHAnsi" w:cstheme="minorHAnsi"/>
          </w:rPr>
          <w:fldChar w:fldCharType="end"/>
        </w:r>
      </w:p>
    </w:sdtContent>
  </w:sdt>
  <w:p w:rsidR="00793947" w:rsidRDefault="007939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B6" w:rsidRDefault="00F32DB6" w:rsidP="00986629">
      <w:r>
        <w:separator/>
      </w:r>
    </w:p>
  </w:footnote>
  <w:footnote w:type="continuationSeparator" w:id="0">
    <w:p w:rsidR="00F32DB6" w:rsidRDefault="00F32DB6" w:rsidP="00986629">
      <w:r>
        <w:continuationSeparator/>
      </w:r>
    </w:p>
  </w:footnote>
  <w:footnote w:id="1">
    <w:p w:rsidR="00CF50DB" w:rsidRDefault="00CF50DB" w:rsidP="00CF50DB">
      <w:pPr>
        <w:pStyle w:val="Funotentext"/>
      </w:pPr>
      <w:r>
        <w:rPr>
          <w:rStyle w:val="Funotenzeichen"/>
        </w:rPr>
        <w:footnoteRef/>
      </w:r>
      <w:r>
        <w:t xml:space="preserve"> </w:t>
      </w:r>
      <w:r>
        <w:rPr>
          <w:rFonts w:asciiTheme="minorHAnsi" w:hAnsiTheme="minorHAnsi"/>
        </w:rPr>
        <w:t xml:space="preserve">Oznámené v súlade so smernicou Európskeho parlamentu a Rady (EÚ) 2015/1535 z 9. septembra 2015, ktorou sa stanovuje postup pri poskytovaní informácií v oblasti technických predpisov a pravidiel vzťahujúcich sa na služby informačnej spoločnosti (Ú. v. EÚ L 241, 17.9.2015, s. 1, Celex 32015L1535).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9" w:rsidRPr="00986629" w:rsidRDefault="00986629">
    <w:pPr>
      <w:pStyle w:val="Kopfzeile"/>
      <w:rPr>
        <w:sz w:val="16"/>
      </w:rPr>
    </w:pPr>
    <w:r>
      <w:rPr>
        <w:sz w:val="20"/>
      </w:rPr>
      <w:br/>
    </w:r>
    <w:r>
      <w:drawing>
        <wp:anchor distT="0" distB="0" distL="114300" distR="114300" simplePos="0" relativeHeight="251658240" behindDoc="0" locked="1" layoutInCell="1" allowOverlap="1">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rsidR="00986629" w:rsidRDefault="009866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86629"/>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Textkrper">
    <w:name w:val="Body Text"/>
    <w:basedOn w:val="Standard"/>
    <w:rPr>
      <w:rFonts w:ascii="Arial" w:hAnsi="Arial"/>
      <w:sz w:val="21"/>
    </w:rPr>
  </w:style>
  <w:style w:type="character" w:customStyle="1" w:styleId="KommentartextZchn">
    <w:name w:val="Kommentartext Zchn"/>
    <w:link w:val="Kommentartext"/>
    <w:locked/>
    <w:rPr>
      <w:lang w:val="sk-SK" w:eastAsia="de-DE" w:bidi="ar-SA"/>
    </w:rPr>
  </w:style>
  <w:style w:type="paragraph" w:styleId="Kopfzeile">
    <w:name w:val="header"/>
    <w:basedOn w:val="Standard"/>
    <w:link w:val="KopfzeileZchn"/>
    <w:rsid w:val="00986629"/>
    <w:pPr>
      <w:tabs>
        <w:tab w:val="center" w:pos="4536"/>
        <w:tab w:val="right" w:pos="9072"/>
      </w:tabs>
    </w:pPr>
  </w:style>
  <w:style w:type="character" w:customStyle="1" w:styleId="KopfzeileZchn">
    <w:name w:val="Kopfzeile Zchn"/>
    <w:link w:val="Kopfzeile"/>
    <w:uiPriority w:val="99"/>
    <w:rsid w:val="00986629"/>
    <w:rPr>
      <w:sz w:val="24"/>
      <w:szCs w:val="24"/>
    </w:rPr>
  </w:style>
  <w:style w:type="paragraph" w:styleId="Fuzeile">
    <w:name w:val="footer"/>
    <w:basedOn w:val="Standard"/>
    <w:link w:val="FuzeileZchn"/>
    <w:uiPriority w:val="99"/>
    <w:rsid w:val="00986629"/>
    <w:pPr>
      <w:tabs>
        <w:tab w:val="center" w:pos="4536"/>
        <w:tab w:val="right" w:pos="9072"/>
      </w:tabs>
    </w:pPr>
  </w:style>
  <w:style w:type="character" w:customStyle="1" w:styleId="FuzeileZchn">
    <w:name w:val="Fußzeile Zchn"/>
    <w:link w:val="Fuzeile"/>
    <w:uiPriority w:val="99"/>
    <w:rsid w:val="00986629"/>
    <w:rPr>
      <w:sz w:val="24"/>
      <w:szCs w:val="24"/>
    </w:rPr>
  </w:style>
  <w:style w:type="paragraph" w:customStyle="1" w:styleId="GGSZ">
    <w:name w:val="GGS ZÜ"/>
    <w:basedOn w:val="Standard"/>
    <w:link w:val="GGSZZchn"/>
    <w:uiPriority w:val="4"/>
    <w:qFormat/>
    <w:rsid w:val="005D5943"/>
    <w:pPr>
      <w:spacing w:before="120"/>
    </w:pPr>
    <w:rPr>
      <w:rFonts w:asciiTheme="minorHAnsi" w:hAnsiTheme="minorHAnsi"/>
      <w:b/>
      <w:sz w:val="22"/>
    </w:rPr>
  </w:style>
  <w:style w:type="character" w:customStyle="1" w:styleId="GGSZZchn">
    <w:name w:val="GGS ZÜ Zchn"/>
    <w:basedOn w:val="Absatz-Standardschriftart"/>
    <w:link w:val="GGSZ"/>
    <w:uiPriority w:val="4"/>
    <w:rsid w:val="005D5943"/>
    <w:rPr>
      <w:rFonts w:asciiTheme="minorHAnsi" w:hAnsiTheme="minorHAnsi"/>
      <w:b/>
      <w:sz w:val="22"/>
      <w:szCs w:val="24"/>
    </w:rPr>
  </w:style>
  <w:style w:type="paragraph" w:styleId="Listenabsatz">
    <w:name w:val="List Paragraph"/>
    <w:basedOn w:val="Standard"/>
    <w:uiPriority w:val="34"/>
    <w:qFormat/>
    <w:rsid w:val="00650B4F"/>
    <w:pPr>
      <w:ind w:left="720"/>
      <w:contextualSpacing/>
    </w:pPr>
  </w:style>
  <w:style w:type="paragraph" w:styleId="Funotentext">
    <w:name w:val="footnote text"/>
    <w:basedOn w:val="Standard"/>
    <w:link w:val="FunotentextZchn"/>
    <w:rsid w:val="00CF50DB"/>
    <w:rPr>
      <w:sz w:val="20"/>
      <w:szCs w:val="20"/>
    </w:rPr>
  </w:style>
  <w:style w:type="character" w:customStyle="1" w:styleId="FunotentextZchn">
    <w:name w:val="Fußnotentext Zchn"/>
    <w:basedOn w:val="Absatz-Standardschriftart"/>
    <w:link w:val="Funotentext"/>
    <w:rsid w:val="00CF50DB"/>
  </w:style>
  <w:style w:type="character" w:styleId="Funotenzeichen">
    <w:name w:val="footnote reference"/>
    <w:basedOn w:val="Absatz-Standardschriftar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15768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
  <cp:lastModifiedBy>Redmann, Petra, EC2</cp:lastModifiedBy>
  <cp:revision>2</cp:revision>
  <cp:lastPrinted>2014-01-13T11:15:00Z</cp:lastPrinted>
  <dcterms:created xsi:type="dcterms:W3CDTF">2021-03-16T11:15:00Z</dcterms:created>
  <dcterms:modified xsi:type="dcterms:W3CDTF">2021-03-16T11:15:00Z</dcterms:modified>
</cp:coreProperties>
</file>