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0430CA"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5187" r:id="rId9">
            <o:FieldCodes>\s</o:FieldCodes>
          </o:OLEObject>
        </w:object>
      </w:r>
    </w:p>
    <w:p w14:paraId="03189D6A" w14:textId="77777777" w:rsidR="00B04B23" w:rsidRDefault="00B04B23" w:rsidP="00B04B23">
      <w:pPr>
        <w:pStyle w:val="Heading1"/>
        <w:rPr>
          <w:sz w:val="38"/>
          <w:szCs w:val="38"/>
        </w:rPr>
      </w:pPr>
      <w:r>
        <w:rPr>
          <w:sz w:val="38"/>
        </w:rPr>
        <w:t>Zbirka predpisov Švedskega urada za akreditacijo in ocenjevanje skladnosti</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Objavila: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Objavljeno</w:t>
                            </w:r>
                            <w:r>
                              <w:rPr>
                                <w:sz w:val="20"/>
                              </w:rPr>
                              <w:br/>
                              <w:t>14. junija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Objavljeno</w:t>
                      </w:r>
                      <w:r>
                        <w:rPr>
                          <w:sz w:val="20"/>
                        </w:rPr>
                        <w:br/>
                      </w:r>
                      <w:r>
                        <w:rPr>
                          <w:sz w:val="20"/>
                        </w:rPr>
                        <w:t xml:space="preserve">14. junija 2022</w:t>
                      </w:r>
                    </w:p>
                  </w:txbxContent>
                </v:textbox>
                <w10:wrap anchorx="page" anchory="page"/>
              </v:shape>
            </w:pict>
          </mc:Fallback>
        </mc:AlternateContent>
      </w:r>
      <w:r>
        <w:t>Predpisi in splošne smernice Švedskega urada za akreditacijo in ocenjevanje skladnosti o dodatnih napravah za taksimetre,</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sprejeti 8. junija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Švedski urad za akreditacijo in ocenjevanje skladnosti (SWEDAC) na podlagi oddelka 1 poglavja 8 Odloka o taksi prometu (2012:238) in oddelka 3 Odloka o akreditaciji in ocenjevanju skladnosti (2011:811) določa</w:t>
      </w:r>
      <w:r w:rsidR="0008733F" w:rsidRPr="00FE333B">
        <w:rPr>
          <w:rStyle w:val="FootnoteReference"/>
        </w:rPr>
        <w:footnoteReference w:id="1"/>
      </w:r>
      <w:r>
        <w:t xml:space="preserve"> in sprejema naslednja splošna priporočila.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Področje uporabe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Oddelek 1</w:t>
      </w:r>
      <w:r>
        <w:tab/>
        <w:t xml:space="preserve">Ti predpisi vsebujejo določbe o zahtevah in oceni dodatne naprave, povezane s taksimetrom.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Opredelitev pojmov</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Oddelek 2</w:t>
      </w:r>
      <w:r>
        <w:tab/>
        <w:t>Za namene teh predpisov se besede in izrazi uporabljajo v smislu oddelka 2 STAFS 2022:1</w:t>
      </w:r>
      <w:r w:rsidRPr="00FE333B">
        <w:rPr>
          <w:vertAlign w:val="superscript"/>
        </w:rPr>
        <w:footnoteReference w:id="2"/>
      </w:r>
      <w:r>
        <w:t xml:space="preserve"> o taksimetrih. Poleg tega za namene teh uredb velja naslednje:</w:t>
      </w:r>
    </w:p>
    <w:p w14:paraId="6B746E35" w14:textId="451D46DD" w:rsidR="005E217A" w:rsidRDefault="00C05C06" w:rsidP="005C076B">
      <w:pPr>
        <w:pStyle w:val="BodyTextIndent"/>
        <w:tabs>
          <w:tab w:val="left" w:pos="518"/>
        </w:tabs>
        <w:spacing w:line="240" w:lineRule="auto"/>
        <w:rPr>
          <w:i/>
        </w:rPr>
      </w:pPr>
      <w:r>
        <w:t>1.</w:t>
      </w:r>
      <w:r>
        <w:rPr>
          <w:i/>
        </w:rPr>
        <w:t xml:space="preserve"> način plačila</w:t>
      </w:r>
      <w:r>
        <w:t>: obliko plačila, ne glede na to, ali se izvede elektronsko, v fizični obliki, z odobritvijo kredita ali na kakršen koli drug način;</w:t>
      </w:r>
    </w:p>
    <w:p w14:paraId="61238C1B" w14:textId="6D2F31BD" w:rsidR="00EA620F" w:rsidRPr="00FE333B" w:rsidRDefault="005E217A" w:rsidP="005C076B">
      <w:pPr>
        <w:pStyle w:val="BodyTextIndent"/>
        <w:tabs>
          <w:tab w:val="left" w:pos="518"/>
        </w:tabs>
        <w:spacing w:line="240" w:lineRule="auto"/>
      </w:pPr>
      <w:r>
        <w:t>2.</w:t>
      </w:r>
      <w:r>
        <w:rPr>
          <w:i/>
        </w:rPr>
        <w:t xml:space="preserve"> dodelitev vožnje</w:t>
      </w:r>
      <w:r>
        <w:t>: naročen prevoz v taksi prometu, ki se začne, ko taksimeter preide iz „nezaseden“ v „zaseden“ in se konča, ko se taksimeter premakne iz „ustavljen“ v „nezaseden“, in</w:t>
      </w:r>
    </w:p>
    <w:p w14:paraId="2BC2CA31" w14:textId="7F7A1FF8" w:rsidR="00EA620F" w:rsidRPr="00FE333B" w:rsidRDefault="005E217A" w:rsidP="005C076B">
      <w:pPr>
        <w:pStyle w:val="BodyTextIndent"/>
        <w:tabs>
          <w:tab w:val="left" w:pos="518"/>
        </w:tabs>
        <w:spacing w:line="240" w:lineRule="auto"/>
      </w:pPr>
      <w:r>
        <w:t xml:space="preserve">3. </w:t>
      </w:r>
      <w:r>
        <w:rPr>
          <w:i/>
        </w:rPr>
        <w:t>pregled tipa</w:t>
      </w:r>
      <w:r>
        <w:t xml:space="preserve">: postopek ugotavljanja skladnosti, pri katerem akreditirani organ pregleda tehnično zasnovo dodatne naprave ter zagotovi in izjavi, da izpolnjuje zahteve teh predpisov.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Zahteve za dodatno napravo</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Oddelek 3</w:t>
      </w:r>
      <w:r>
        <w:tab/>
        <w:t>Dodatna naprava mora izpolnjevati zahteve iz Dodatka k tem predpisom.</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t>Zahteve za proizvajalce dodatnih naprav</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Oddelek 4</w:t>
      </w:r>
      <w:r>
        <w:rPr>
          <w:b/>
        </w:rPr>
        <w:tab/>
      </w:r>
      <w:r>
        <w:t>Proizvajalec dodatnih naprav zagotovi, da so naprave načrtovane in izdelane v skladu z zahtevami iz Dodatka k tem predpisom.</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lastRenderedPageBreak/>
        <w:t>Oddelek 5</w:t>
      </w:r>
      <w:r>
        <w:tab/>
        <w:t>Proizvajalec ima dokumentiran sistem upravljanja s postopki in navodili za zagotovitev, da serijsko proizvedene naprave izpolnjujejo zahteve teh predpisov.</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Splošna priporočila</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Sistem upravljanja proizvajalca mora izpolnjevati zahteve SS-EN ISO 9001 (Sistem upravljanja kakovosti – zahteve) v delih, povezanih s serijsko proizvodnjo dodatnih naprav.</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Oddelek 6</w:t>
      </w:r>
      <w:r>
        <w:tab/>
        <w:t xml:space="preserve">Za zagotovitev, da dodatna naprava izpolnjuje zahteve iz teh predpisov, proizvajalec dodatno napravo predloži v ugotavljanje skladnosti tako, da izvede: </w:t>
      </w:r>
    </w:p>
    <w:p w14:paraId="531F931E" w14:textId="77777777" w:rsidR="00442040" w:rsidRPr="00FE333B" w:rsidRDefault="009E2A07" w:rsidP="0003705F">
      <w:pPr>
        <w:pStyle w:val="BodyText"/>
        <w:tabs>
          <w:tab w:val="left" w:pos="518"/>
        </w:tabs>
        <w:spacing w:line="240" w:lineRule="auto"/>
        <w:ind w:firstLine="227"/>
      </w:pPr>
      <w:r>
        <w:t>1. pregled tipa; in</w:t>
      </w:r>
    </w:p>
    <w:p w14:paraId="7D5BD3AA" w14:textId="77777777" w:rsidR="00442040" w:rsidRPr="00FE333B" w:rsidRDefault="00442040" w:rsidP="0003705F">
      <w:pPr>
        <w:pStyle w:val="BodyText"/>
        <w:tabs>
          <w:tab w:val="left" w:pos="518"/>
        </w:tabs>
        <w:spacing w:line="240" w:lineRule="auto"/>
        <w:ind w:firstLine="227"/>
      </w:pPr>
      <w:r>
        <w:t>2. oceno sistemov upravljanja za serijsko proizvodnjo dodatnih naprav.</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Oddelek 7</w:t>
      </w:r>
      <w:r>
        <w:tab/>
        <w:t xml:space="preserve">Če postopek ugotavljanja skladnosti pokaže, da dodatna naprava izpolnjuje zahteve iz teh predpisov, proizvajalec označi ohišje z:            </w:t>
      </w:r>
    </w:p>
    <w:p w14:paraId="48D5F83A" w14:textId="77777777" w:rsidR="00442040" w:rsidRPr="00FE333B" w:rsidRDefault="00442040" w:rsidP="0003705F">
      <w:pPr>
        <w:pStyle w:val="BodyTextIndent"/>
        <w:tabs>
          <w:tab w:val="left" w:pos="518"/>
        </w:tabs>
        <w:spacing w:line="240" w:lineRule="auto"/>
      </w:pPr>
      <w:r>
        <w:t xml:space="preserve">1. imenom proizvajalca; </w:t>
      </w:r>
    </w:p>
    <w:p w14:paraId="53A0AB27" w14:textId="77777777" w:rsidR="00442040" w:rsidRPr="00FE333B" w:rsidRDefault="00442040" w:rsidP="0003705F">
      <w:pPr>
        <w:pStyle w:val="BodyTextIndent"/>
        <w:tabs>
          <w:tab w:val="left" w:pos="518"/>
        </w:tabs>
        <w:spacing w:line="240" w:lineRule="auto"/>
      </w:pPr>
      <w:r>
        <w:t>2. serijsko številko dodatne naprave ali njenih različnih enot;</w:t>
      </w:r>
    </w:p>
    <w:p w14:paraId="55D2C817" w14:textId="77777777" w:rsidR="00442040" w:rsidRPr="00FE333B" w:rsidRDefault="00442040" w:rsidP="0003705F">
      <w:pPr>
        <w:pStyle w:val="BodyTextIndent"/>
        <w:tabs>
          <w:tab w:val="left" w:pos="518"/>
        </w:tabs>
        <w:spacing w:line="240" w:lineRule="auto"/>
      </w:pPr>
      <w:r>
        <w:t>3. številko certifikata in</w:t>
      </w:r>
    </w:p>
    <w:p w14:paraId="1252FACB" w14:textId="2C0BD053" w:rsidR="00442040" w:rsidRPr="00FE333B" w:rsidRDefault="00442040" w:rsidP="0003705F">
      <w:pPr>
        <w:pStyle w:val="BodyTextIndent"/>
        <w:tabs>
          <w:tab w:val="left" w:pos="518"/>
        </w:tabs>
        <w:spacing w:line="240" w:lineRule="auto"/>
      </w:pPr>
      <w:r>
        <w:t>4. oznako „STAFS 2022:2“.</w:t>
      </w:r>
    </w:p>
    <w:p w14:paraId="146BE875" w14:textId="77777777" w:rsidR="00C21D6F" w:rsidRPr="00FE333B" w:rsidRDefault="00C21D6F" w:rsidP="005C076B">
      <w:pPr>
        <w:pStyle w:val="BodyTextIndent"/>
        <w:tabs>
          <w:tab w:val="left" w:pos="518"/>
        </w:tabs>
        <w:spacing w:line="240" w:lineRule="auto"/>
      </w:pPr>
      <w:r>
        <w:t>Oznake so nameščene na mestu, primernem za pregled s strani organov, ter so jasne, neizbrisne in nedvoumne.</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Oddelek 8</w:t>
      </w:r>
      <w:r>
        <w:tab/>
        <w:t>Proizvajalec hrani izvod certifikata za dodatno napravo in njene priloge skupaj s tehnično dokumentacijo najmanj deset let po izdelavi zadnje dodatne naprave.</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Oddelek 9</w:t>
      </w:r>
      <w:r>
        <w:rPr>
          <w:sz w:val="23"/>
        </w:rPr>
        <w:tab/>
        <w:t>Proizvajalec zagotovi, da so dodatni napravi priložena navodila za uporabo. Navodila za uporabo morajo biti lahko razumljiva in morajo vsebovati vsaj opis, kako so v skladu s temi predpisi pridobljene vse predpisane proizvodnje na papirju ali v elektronski obliki, ter temperaturno območje in območje napetosti, v katerem deluje dodatna naprava.</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Ugotavljanje skladnosti</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Certifikacijski organ</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Oddelek 10</w:t>
      </w:r>
      <w:r>
        <w:rPr>
          <w:sz w:val="23"/>
        </w:rPr>
        <w:tab/>
        <w:t>Ugotavljanje skladnosti izvaja certifikacijski organ za proizvode, akreditirane za nalogo v skladu z Uredbo (ES) št. 765/2008 Evropskega parlamenta in Sveta z dne 9. julija 2008 o določitvi zahtev za akreditacijo in razveljavitvi Uredbe (EGS) št.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Vloga za pregled tipa in ocenjevanje sistema upravljanja</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Oddelek 11</w:t>
      </w:r>
      <w:r>
        <w:rPr>
          <w:sz w:val="23"/>
        </w:rPr>
        <w:tab/>
        <w:t xml:space="preserve">Vloga za pregled tipa in oceno sistemov upravljanja za serijsko proizvodnjo dodatne naprave se vloži pri certifikacijskem organu iz oddelka 10. Vloga vsebuje ustrezno tehnično dokumentacijo. Na podlagi dokumentacije je mogoče oceniti, ali dodatna naprava izpolnjuje zahteve teh predpisov. Tehnična dokumentacija vsebuje: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splošen opis naprave, ki vključuje klimatsko, mehansko in elektromagnetno okolje, v katerem je dodatna naprava namenjena uporabi, napajanje z energijo in druge dejavnike, ki so potrebni za delovanje dodatne naprave na predpisan način; </w:t>
      </w:r>
    </w:p>
    <w:p w14:paraId="19B3A5C3" w14:textId="77777777" w:rsidR="00724C69" w:rsidRPr="00FE333B" w:rsidRDefault="00B22E2C" w:rsidP="00B22E2C">
      <w:pPr>
        <w:tabs>
          <w:tab w:val="left" w:pos="462"/>
          <w:tab w:val="left" w:pos="602"/>
        </w:tabs>
        <w:ind w:firstLine="227"/>
        <w:jc w:val="both"/>
        <w:rPr>
          <w:sz w:val="23"/>
          <w:szCs w:val="23"/>
        </w:rPr>
      </w:pPr>
      <w:r>
        <w:rPr>
          <w:sz w:val="23"/>
        </w:rPr>
        <w:lastRenderedPageBreak/>
        <w:t>2.</w:t>
      </w:r>
      <w:r>
        <w:rPr>
          <w:sz w:val="23"/>
        </w:rPr>
        <w:tab/>
        <w:t xml:space="preserve">celotne projektne in proizvodne risbe ter sheme sestavnih delov, komponent in tokokrogov;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opis elektronskih delov dodatne naprave z risbami, diagrami, diagrami pretoka logičnih vezij in splošnimi informacijami, ki pojasnjujejo značilnosti in delovanje delov, vključno z opisom pečatov in značilnosti, ki jih zahteva točka 6 Dodatka k tem predpisom;</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opise in razlage, potrebne za razumevanje dokumentacije iz točk 2, 3 in 12, vključno z delovanjem naprave;</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rezultate projektnih izračunov in pregledov;</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ustrezne rezultate preskusov, kadar je to potrebno, da se dokaže, da naprava izpolnjuje zahteve iz teh predpisov v nazivnih pogojih delovanja in ob določenih motnjah v okolju;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certifikat o EU-pregledu tipa ali certifikat o EU-pregledu zasnove za taksimetre, ki vsebuje dele, enake tistim, ki jih vsebuje načrt;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pogoje za združljivost med dodatno napravo in taksimetrom;</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navodila za uporabo v skladu z oddelkom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navodila za namestitev;</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navedba kraja proizvodnje; in</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dokumentacija sistema upravljanja z opisom proizvodnih postopkov in notranjega spremljanja proizvajalca.</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Postopek za pregled tipa in ocenjevanje sistemov upravljanja</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Oddelek 12</w:t>
      </w:r>
      <w:r>
        <w:rPr>
          <w:sz w:val="23"/>
        </w:rPr>
        <w:tab/>
        <w:t>Certifikacijski organ med pregledom tipa na podlagi vloge proizvajalca oceni, ali dodatna naprava, ki je reprezentativna za pričakovano proizvodnjo, izpolnjuje zahteve iz Dodatka k tem predpisom.</w:t>
      </w:r>
    </w:p>
    <w:p w14:paraId="69EAB272" w14:textId="77777777" w:rsidR="00724C69" w:rsidRPr="00FE333B" w:rsidRDefault="00CD1FEC" w:rsidP="005C076B">
      <w:pPr>
        <w:tabs>
          <w:tab w:val="left" w:pos="462"/>
          <w:tab w:val="left" w:pos="602"/>
        </w:tabs>
        <w:ind w:firstLine="227"/>
        <w:jc w:val="both"/>
        <w:rPr>
          <w:sz w:val="23"/>
          <w:szCs w:val="23"/>
        </w:rPr>
      </w:pPr>
      <w:r>
        <w:rPr>
          <w:sz w:val="23"/>
        </w:rPr>
        <w:t>Certifikacijski organ opravi tudi oceno sistema upravljanja v zvezi s proizvodnimi postopki in lastnim spremljanjem proizvajalca ter revizijo na kraju samem v prostorih proizvajalca, da zagotovi, da je proizvajalec sposoben proizvajati proizvode, ki izpolnjujejo zahteve iz Dodatka k tem predpisom.</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Certifikati</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Oddelek 13</w:t>
      </w:r>
      <w:r>
        <w:rPr>
          <w:b/>
          <w:sz w:val="23"/>
        </w:rPr>
        <w:tab/>
      </w:r>
      <w:r>
        <w:rPr>
          <w:sz w:val="23"/>
        </w:rPr>
        <w:t>Če sta pregled tipa in ocena sistema upravljanja pokazala, da dodatna naprava izpolnjuje zahteve, lahko certifikacijski organ izda certifikat.</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Oddelek 14</w:t>
      </w:r>
      <w:r>
        <w:rPr>
          <w:sz w:val="23"/>
        </w:rPr>
        <w:tab/>
        <w:t>Certifikat in vse priloge k certifikatu vsebujejo informacije, potrebne za ugotavljanje skladnosti proizvedenih izdelkov s pregledano dodatno napravo ter za izvedbo namestitve in nadzora naprave v uporabi. V vsakem primeru informacije vključujejo:</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pogoje za združljivost taksimetra in dodatne naprave;</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ukrepe, potrebne za zagotovitev celovitosti naprave v zvezi z zapečatenjem in programsko opremo;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podatke, potrebne za identifikacijo naprave ali njenih sestavnih enot, in informacije, potrebne za preverjanje, ali naprava(-e) dokazuje(-jo) skladnost z dodatno(-imi) napravo(-ami);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po potrebi posebne informacije, potrebne za preverjanje značilnosti izdelanih naprav;</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ime in naslov proizvajalca ter po potrebi ime in naslov njegovega pooblaščenega zastopnika;</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sklepne ugotovitve pregleda; in</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vse pogoje za veljavnost potrdila.</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lastRenderedPageBreak/>
        <w:t>Oddelek 15</w:t>
      </w:r>
      <w:r>
        <w:rPr>
          <w:sz w:val="23"/>
        </w:rPr>
        <w:tab/>
        <w:t xml:space="preserve">Potrdilo velja deset let od datuma izdaje in se lahko hkrati podaljša za dodatnih deset let. </w:t>
      </w:r>
    </w:p>
    <w:p w14:paraId="33929620" w14:textId="77777777" w:rsidR="00724C69" w:rsidRPr="00FE333B" w:rsidRDefault="00724C69" w:rsidP="005C076B">
      <w:pPr>
        <w:tabs>
          <w:tab w:val="left" w:pos="462"/>
          <w:tab w:val="left" w:pos="602"/>
        </w:tabs>
        <w:ind w:firstLine="227"/>
        <w:jc w:val="both"/>
        <w:rPr>
          <w:sz w:val="23"/>
          <w:szCs w:val="23"/>
        </w:rPr>
      </w:pPr>
      <w:r>
        <w:rPr>
          <w:sz w:val="23"/>
        </w:rPr>
        <w:t>Pred podaljšanjem certifikata certifikacijski organ upošteva rezultate naključnih pregledov iz oddelka 17 in druge informacije, ki jih prejme certifikacijski organ, ter odloči o vseh potrebnih preskusih ali pregledih.</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Oddelek 16</w:t>
      </w:r>
      <w:r>
        <w:rPr>
          <w:sz w:val="23"/>
        </w:rPr>
        <w:tab/>
        <w:t>Certifikat v skladu s temi predpisi ni del certifikata o EU-pregledu tipa iz dokumenta STAFS 2016:1</w:t>
      </w:r>
      <w:r w:rsidRPr="00FE333B">
        <w:rPr>
          <w:rStyle w:val="FootnoteReference"/>
          <w:sz w:val="23"/>
          <w:szCs w:val="23"/>
        </w:rPr>
        <w:footnoteReference w:id="3"/>
      </w:r>
      <w:r>
        <w:rPr>
          <w:sz w:val="23"/>
        </w:rPr>
        <w:t xml:space="preserve"> o merilnih instrumentih.</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Zahteve za certifikacijski organ po izdaji certifikata</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Oddelek 17</w:t>
      </w:r>
      <w:r>
        <w:rPr>
          <w:sz w:val="23"/>
        </w:rPr>
        <w:tab/>
        <w:t>Certifikacijski organ vsako leto spremlja proizvajalčevo lastno spremljanje in izvede ustrezno naključno vzorčenje proizvodnje.</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Oddelek 18</w:t>
      </w:r>
      <w:r>
        <w:rPr>
          <w:b/>
          <w:sz w:val="23"/>
        </w:rPr>
        <w:tab/>
      </w:r>
      <w:r>
        <w:rPr>
          <w:sz w:val="23"/>
        </w:rPr>
        <w:t>Če proizvajalec obvesti o spremembah dodatne naprave, ki bi lahko vplivale na njegovo skladnost z zahtevami teh predpisov, certifikacijski organ ponovno preuči vprašanje odobritve. Če po oceni dodatna naprava še vedno izpolnjuje zahteve, certifikacijski organ izda nov certifikat.</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Oddelek 19</w:t>
      </w:r>
      <w:r>
        <w:rPr>
          <w:sz w:val="23"/>
        </w:rPr>
        <w:tab/>
        <w:t>Certifikacijski organ prekliče certifikat, če ugotovi, da dodatna naprava, ki jo je certificiral, ne izpolnjuje zahtev iz teh predpisov v uporabi.</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Oddelek 20</w:t>
      </w:r>
      <w:r>
        <w:rPr>
          <w:sz w:val="23"/>
        </w:rPr>
        <w:tab/>
        <w:t>Certifikacijski organ SWEDAC nemudoma predloži izdana potrdila in priloge k tem potrdilom. Certifikacijski organ obvesti tudi SWEDAC, če je potrdilo preklicano.</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Oddelek 21</w:t>
      </w:r>
      <w:r>
        <w:rPr>
          <w:sz w:val="23"/>
        </w:rPr>
        <w:tab/>
        <w:t>Certifikacijski organ hrani tehnično dokumentacijo, vključno z dokumentacijo, ki jo predloži proizvajalec, do konca veljavnosti certifikata.</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Drugo</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Oddelek 22</w:t>
      </w:r>
      <w:r>
        <w:rPr>
          <w:sz w:val="23"/>
        </w:rPr>
        <w:tab/>
        <w:t>SWEDAC lahko v posameznih primerih in ob določenih razlogih odobri izvzetje od uporabe teh predpisov.</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Ti predpisi začnejo veljati 1. oktobra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 temi predpisi se razveljavijo Predpisi in splošne smernice Švedskega urada za akreditacijo in ocenjevanje skladnosti (STAFS 2012:5) o dodatnih napravah za taksimetre.</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Certifikacijski organi, akreditirani za izvajanje ugotavljanja skladnosti v skladu s STAFS 2012:5</w:t>
      </w:r>
      <w:r>
        <w:t xml:space="preserve"> </w:t>
      </w:r>
      <w:r>
        <w:rPr>
          <w:rFonts w:ascii="Times New Roman" w:hAnsi="Times New Roman"/>
          <w:sz w:val="23"/>
        </w:rPr>
        <w:t>o dodatnih napravah za taksimetre, se štejejo za akreditirane za izvajanje ugotavljanja skladnosti v skladu z novim statutom.</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Stari predpisi se lahko še naprej uporabljajo, če je certifikacijski organ vlogo za pregled tipa prejel pred 1. oktobrom 2023. Vendar se potrdila, izdana na podlagi takega zahtevka, ne podaljšajo.</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V imenu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Priloga</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Zahteve za dodatno napravo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Dodatna naprava je zasnovana za temperature in vlago, v katerih naj bi se uporabljala. Kot minimalne zahteve je zasnovana za kondenzacijo vlažnosti zraka in vzdrži zgornjo temperaturo 55 °C in nižjo temperaturo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Dodatna naprava je skladna z mehanskim okoljskim razredom M3 v skladu s točko 1.3.2 Dodatka 1 k STAFS 2016:1 o merilnih instrumentih.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Dodatna naprava nima lastnosti, ki bi lahko olajšale goljufivo uporabo.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Dodatna naprava mora biti robustna, njeni sestavni materiali pa morajo biti primerni za delovne pogoje in okolje, v katerem naj bi se uporabljal. Zasnovan je tako, da pri trčenju po nepotrebnem ne poveča tveganja za telesne poškodbe.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Na predpisane značilnosti dodatne naprave ne sme nesprejemljivo vplivati priključitev katere koli druge naprave na dodatno napravo, katera koli značilnost priključene naprave ali katera koli oddaljena naprava, ki komunicira z dodatno napravo.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Dodatno napravo je mogoče fizično in elektronsko zapečatiti tako, da se pri uporabi taksimetra zagotovijo predpisane značilnosti. Sestavni deli dodatne naprave, ki so ključni za predpisane značilnosti, morajo biti zaščiteni pred zunanjim in notranjim vplivom. Vsa dejanja na dodatni napravi in pečatih morajo biti dobro vidna.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Tisti deli funkcij dodatne naprave, ki jih urejajo ti predpisi in so določeni s programsko opremo, so zaščiteni pred namernimi ali nenamernimi spremembami v skladu z naslednjim:</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Koda se shrani v pomnilnik, na vsebino katerega uporabnik ne more vplivati;</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Vsebina pomnilnika programske kode se samodejno preveri, ko je dodatna naprava priključena na napetost.</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Dodatna naprava ne sme vplivati na delovanje ali vsebino seštevalnika.</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Programska oprema, ki je ključnega pomena za predpisane značilnosti, mora imeti edinstveno navedbo različic programske opreme in kontrolno vsoto ter biti zavarovana pred drugimi vplivi, ki niso predpisani. Znaki intervencije so vidni razumno dolgo.</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Podatki, ki se pripravijo na papirju ali v elektronski obliki ali kot kaže dodatna naprava, in programska oprema, bistvena za predpisane značilnosti, ki se shranijo ali prenašajo, so ustrezno zaščiteni pred naključnim ali namernim popačenjem.</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Dodatna naprava je zasnovana tako, da lahko oprema taksimetra v vgrajenem stanju opravlja vse predpisane funkcije, ne da bi bile povezave naprave prekinjene ali spremenjene.</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Prvi odstavek se ne uporablja za funkcije, namenjene izključno uporabi med namestitvijo ali kadar preverjanje izvaja akreditirani ocenjevalni organ.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lastRenderedPageBreak/>
        <w:t xml:space="preserve">11. </w:t>
      </w:r>
      <w:r>
        <w:rPr>
          <w:sz w:val="23"/>
        </w:rPr>
        <w:tab/>
        <w:t>Če ima dodatna naprava s tem povezano programsko opremo, ki zagotavlja tudi druge funkcije, kot so predpisane, je programska oprema za predpisane značilnosti prepoznavna in nanjo na noben nesprejemljiv način ne vpliva nobena druga programska oprema.</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Dodatna naprava ustvari potrdilo, ko taksimeter preide iz delovnega položaja „zaustavljen“ v delovni položaj „nezaseden“. Vedno mora biti sposoben predložiti potrdilo o prejemu v papirni obliki in lahko predloži potrdilo o prejemu izključno v elektronski obliki. Dodatna naprava lahko predloži več potrdil za delno plačilo vozniške naloge. Če je treba znesek ali zneske fakturirati, enako velja za dobavnice. Vsako predloženo potrdilo o prejemu in dobavnici vsebuje vsaj naslednje informacije:</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ali je dokument potrdilo o prejemu ali dobavnica z navedbo „elektronski prejem“ oziroma „elektronski dobavnica“, če je dokument pripravljen v elektronski obliki;</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serijska številka potrdila o prejemu ali dobavnice z najmanj šestimi števkami v istem neprekinjenem zaporedju in naraščajočem zaporedju, vsaka serijska številka, ki ustreza vozniški nalogi, in, če je dodatna naprava sposobna predložiti potrdila za delno plačilo, serijska številka, ki ji sledi vezaj, in serijska številka trenutnega zneska, ki ga je treba plačati delno, pri čemer je serijska številka prvega obroka vozniškega dela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trenutni datum (ll.mm.dd),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ime in osebna identifikacijska številka, koordinacijska številka ali identifikacijska številka podjetja;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poštni naslov taksi družbe;</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voznikova koda ali identifikacijska številka voznika taksija;</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registrska številka taksi vozila;</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čas začetka vožnje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čas izvedbe delnega plačila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čas, ko je vožnja končana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prevožena razdalja med vožnjo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tarife, ki se uporabljajo med vožnjo, z ločeno predstavitvijo vrst tarif in tarifnih vrednosti;</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celovito poročilo o tem, kako in v kolikšni meri so bile tarife in ustrezne tarifne vrednosti uporabljene za izračun cene vozniških nalog, določene tako, da je razmerje med zaračunano ceno in izvedbo, vključno z morebitnimi dajatvami, jasno in ga je mogoče naknadno preveriti; in</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znesek, ki ga je treba plačati z ločeno predstavitvijo uporabljenega načina ali načinov plačila, znesek, plačan z vsakim načinom plačila, ter DDV in stopnjo DDV, ki je vključena v skupni znesek;</w:t>
      </w:r>
    </w:p>
    <w:p w14:paraId="03EA8286" w14:textId="77777777" w:rsidR="00724C69" w:rsidRPr="00FE333B" w:rsidRDefault="00724C69" w:rsidP="00971891">
      <w:pPr>
        <w:tabs>
          <w:tab w:val="left" w:pos="252"/>
          <w:tab w:val="left" w:pos="350"/>
        </w:tabs>
        <w:ind w:firstLine="227"/>
        <w:jc w:val="both"/>
        <w:rPr>
          <w:sz w:val="23"/>
          <w:szCs w:val="23"/>
        </w:rPr>
      </w:pPr>
      <w:r>
        <w:rPr>
          <w:sz w:val="23"/>
        </w:rPr>
        <w:t>Dodatna naprava je zasnovana tako, da se lahko kopije šestih zadnjih potrdil o prejemu ali dobavnic izdelajo na papirju. Kopija potrdila o prejemu ali dobavnice vsebuje besedo „KOPIA“ v isti vrstici kot serijska številka.</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Dodatna naprava je zasnovana tako, da se lahko poročilo o času vožnje, ki vsebuje naslednjo vsebino in obris, pripravi na papirju ob koncu vožnje: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„POROČILO O OBDOBJU VOŽNJE“;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serijska številka z najmanj šestimi števkami;</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ime in osebna identifikacijska številka, koordinacijska številka ali identifikacijska številka podjetja;</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registrska številka taksi vozila;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voznikova koda ali identifikacijska številka voznika taksija;</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lastRenderedPageBreak/>
        <w:t>6.</w:t>
      </w:r>
      <w:r>
        <w:rPr>
          <w:sz w:val="23"/>
        </w:rPr>
        <w:tab/>
        <w:t>številka certifikata in serijska številka taksimetra in dodatne naprave ter serijska številka vsake enote, če je dodatna naprava sestavljena iz več enot;</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indikacije različic programske opreme in kontrolne vsote za programsko opremo, vključeno v taksimeter in dodatno napravo;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konstanta taksimetra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datum zadnjega pečata (ll.mm.dd);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datum in čas začetka vožnje (ll.mm.dd,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datum in čas konca vožnje (llll.mm.dd,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prevožena razdalja med vožnjo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prevožena razdalja v času vožnje v obratovalnih nastavitvah „zaseden“ in „ustavljen“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število vozniških nalog, registriranih v času vožnje, z ločeno predstavitvijo serijskih številk prve in zadnje vožnje;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naslednje seštete vrednosti ob koncu obdobja vožnje, izražene z devetimi števkami brez vmesnih znakov, pri čemer je vsaka števka na začetku enaka nič in zaporedno nadomeščena z drugimi števkami, ko se seštevalniki povečajo:</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skupno razdaljo, ki jo prepotuje taksi;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skupno prevoženo razdaljo taksija na delovnem mestu „zaseden“;</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skupno število nalog za vožnjo;</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skupni znesek, zaračunan kot dodatni stroški; in</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skupni znesek, zaračunan kot prevoznina;</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znesek, pobran v obdobju vožnje za vsak način plačila, ter DDV in stopnja DDV, vključena v skupni znesek;</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prostor za določitev podatkov o času vožnje; in</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predstavitev vseh vozniških nalog, zabeleženih v času vožnje v zaporednem vrstnem redu, z zaporednimi serijskimi številkami za zadevni znesek, ki ga je treba plačati delno, če je dodatna naprava sposobna predložiti potrdila za delno plačilo, in z ločeno predstavitvijo informacij iz točk 12.1, 12.2, 12.8 do 12.12 in 12.14 tega dodatka;</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Dodatna naprava je zasnovana tako, da se lahko kopije poročil o času vožnje iz zadnjih dveh dni delovanja opreme za taksimeter in v vsakem primeru deset zadnjih obdobij vožnje pripravijo na papirju. </w:t>
      </w:r>
    </w:p>
    <w:p w14:paraId="4D21DCBC" w14:textId="77777777" w:rsidR="00724C69" w:rsidRPr="00FE333B" w:rsidRDefault="00724C69" w:rsidP="00971891">
      <w:pPr>
        <w:tabs>
          <w:tab w:val="left" w:pos="252"/>
          <w:tab w:val="left" w:pos="350"/>
        </w:tabs>
        <w:ind w:firstLine="227"/>
        <w:jc w:val="both"/>
        <w:rPr>
          <w:sz w:val="23"/>
          <w:szCs w:val="23"/>
        </w:rPr>
      </w:pPr>
      <w:r>
        <w:rPr>
          <w:sz w:val="23"/>
        </w:rPr>
        <w:t>Kopija poročila o času vožnje vključuje besedo „KOPIA“ („KOPIJA“) v vrstici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Informacije o vseh nalogah vožnje v skladu s točko 12 tega dodatka v zaporedju serijskih številk in o vseh obdobjih vožnje v skladu s točko 13 tega dodatka v zaporednem zaporedju se lahko digitalno in brezžično prenesejo v center za poročanje, kot je določeno v Zakonu (2014:1020) o poročevalskih centrih in rezervacijskih centrih za taksi promet.</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Dodatna naprava je zasnovana tako, da se lahko poročilo o pregledu taksimetra pripravi na papirju, ne glede na delovni položaj taksimetra. Vsebina in struktura poročila sta naslednji:</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„PREGLED TAKSIMETRA“;</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serijska številka z vsaj štirimi števkami;</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identifikacija organa ali organov, ki so izvedli ugotavljanje skladnosti taksimetra in dodatne naprave;</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številka certifikata in serijska številka taksimetra in dodatne naprave ter serijska številka vsake enote, če je dodatna naprava sestavljena iz več enot;</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5.</w:t>
      </w:r>
      <w:r>
        <w:rPr>
          <w:sz w:val="23"/>
        </w:rPr>
        <w:tab/>
        <w:t>indikacije različic programske opreme in kontrolne vsote za programsko opremo, vključeno v taksimeter in dodatno napravo;</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ime in osebna identifikacijska številka, koordinacijska številka ali identifikacijska številka podjetja;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poštni naslov taksi družbe;</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registrska številka taksi vozila;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voznikova koda ali identifikacijska številka voznika taksija;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naslednje seštete vrednosti, izražene z devetimi števkami brez vmesnih znakov, pri čemer je vsaka števka na začetku enaka nič in se zaporedno nadomestijo z drugimi števkami, ko se seštevalniki povečajo:</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skupno razdaljo, ki jo prepotuje taksi;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skupno prevoženo razdaljo taksija na delovnem mestu „zaseden“;</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skupno število nalog za vožnjo;</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skupni znesek, zaračunan kot dodatni stroški; in</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skupni znesek, zaračunan kot prevoznina;</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konstanta taksimetra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datum zadnjega inšpekcijskega pregleda in pečatenja (ll.mm.dd).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ime in poštni naslov inšpekcijskega organa;</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identifikacijska številka inšpekcijskega organa;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številka akreditacije inšpekcijskega organa,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serijska številka poročil o inšpekcijskem pregledu opreme za taksimeter;</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predstavitev vseh tarif, uporabljenih v taksimetru, z navedbo vrste tarife in tarifnih vrednosti;</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datum in čas začetka vožnje (ll.mm.dd,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čas začetka vožnje in prevožena razdalja med vožnjo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datum in čas proizvodnje (ll.mm.dd,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prostor za žig in uradni podpis nadzornega organa; in</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prostor za podpis voznika taksija ali drugega predstavnika taksi družbe.</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Dodatna naprava je zasnovana tako, da se lahko pregled opreme taksimetra prilagodi taksi vozilu, kot sledi. Dodatna naprava med pregledom izmerjene razdalje izračuna razmerje med konstanto nastavljenega taksimetra in prevoženo razdaljo, izmerjeno med pregledom, nato pa se na papirju pripravi poročilo. Vsebina in struktura poročila sta naslednji:</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„PREGLED PRILAGODITVE“;</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serijska številka z vsaj štirimi števkami;</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navedba organa ali organov, ki so izvedli ugotavljanje skladnosti taksimetra in dodatne naprave;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številka certifikata in serijska številka taksimetra in dodatne naprave ter serijska številka vsake enote, če je dodatna naprava sestavljena iz več enot;</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indikacije različic programske opreme in kontrolne vsote za programsko opremo, vključeno v taksimeter in dodatno napravo;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registrska številka taksi vozila;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voznikova koda ali identifikacijska številka voznika taksija;</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nastavljena konstanta taksimetra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izmerjena prevožena razdalja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deljeno z Vt, izraženo v odstotkih;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datum in čas proizvodnje (ll.mm.dd,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prostor za žig in uradni podpis nadzornega organa; in</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lastRenderedPageBreak/>
        <w:t>13.</w:t>
      </w:r>
      <w:r>
        <w:rPr>
          <w:sz w:val="23"/>
        </w:rPr>
        <w:tab/>
        <w:t>prostor za podpis voznika taksija ali drugega predstavnika taksi družbe.</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Za pripravo podatkov v papirni ali elektronski obliki se za prevoženo razdaljo in pretečeni čas uporabljajo naslednje merske enote:</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prevožena razdalja: kilometri; in</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pretečeni čas: sekunde, minute ali ure, kot je primerno za upoštevanje zahtevane ločljivosti in potrebe po izogibanju nesporazumom.</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Podatki, pridobljeni na papirju ali v elektronski obliki, so po potrebi skladni s seštevalniki taksimetra ali z vrednostmi, dodanimi k seštevalnikom taksimetra, kakor tudi drugače shranjenimi v taksimetru.</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Če je napajanje dodatne naprave izklopljeno, se podatki, ki jih je treba pripraviti na papirju ali v elektronski obliki, shranijo vsaj dve</w:t>
      </w:r>
      <w:r>
        <w:t xml:space="preserve"> leti.</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EAA2" w14:textId="77777777" w:rsidR="000430CA" w:rsidRDefault="000430CA" w:rsidP="00B04B23">
      <w:r>
        <w:separator/>
      </w:r>
    </w:p>
  </w:endnote>
  <w:endnote w:type="continuationSeparator" w:id="0">
    <w:p w14:paraId="59A36DC3" w14:textId="77777777" w:rsidR="000430CA" w:rsidRDefault="000430CA"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08D9" w14:textId="77777777" w:rsidR="000430CA" w:rsidRDefault="000430CA" w:rsidP="00B04B23">
      <w:r>
        <w:separator/>
      </w:r>
    </w:p>
  </w:footnote>
  <w:footnote w:type="continuationSeparator" w:id="0">
    <w:p w14:paraId="410D9325" w14:textId="77777777" w:rsidR="000430CA" w:rsidRDefault="000430CA"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Glej Direktivo (EU) 2015/1535 Evropskega parlamenta in Sveta z dne 9. septembra 2015 o določitvi postopka za zbiranje informacij na področju tehničnih predpisov in pravil za storitve informacijske družbe.</w:t>
      </w:r>
    </w:p>
  </w:footnote>
  <w:footnote w:id="2">
    <w:p w14:paraId="16617943" w14:textId="0E94B97B" w:rsidR="00D2004E" w:rsidRPr="008B1E1F" w:rsidRDefault="00D2004E" w:rsidP="00D2004E">
      <w:pPr>
        <w:pStyle w:val="FootnoteText"/>
      </w:pPr>
      <w:r>
        <w:rPr>
          <w:rStyle w:val="FootnoteReference"/>
        </w:rPr>
        <w:footnoteRef/>
      </w:r>
      <w:r>
        <w:t xml:space="preserve"> </w:t>
      </w:r>
      <w:r>
        <w:t xml:space="preserve">Predpisi </w:t>
      </w:r>
      <w:r>
        <w:t>Švedskega urada za akreditacijo in ocenjevanje skladnosti (STAFS 2022:1) o taksimetrih.</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Predpisi </w:t>
      </w:r>
      <w:r>
        <w:t>Švedskega urada za akreditacijo in ocenjevanje skladnosti (SWEDAC) (STAFS 2016:1) o merilnih instrumentih.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0CA"/>
    <w:rsid w:val="00043E04"/>
    <w:rsid w:val="00046DA3"/>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3014</Words>
  <Characters>18028</Characters>
  <Application>Microsoft Office Word</Application>
  <DocSecurity>0</DocSecurity>
  <Lines>462</Lines>
  <Paragraphs>219</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2022-09-07T12:12:00Z</dcterms:created>
  <dcterms:modified xsi:type="dcterms:W3CDTF">2022-09-07T12:12:00Z</dcterms:modified>
</cp:coreProperties>
</file>