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 xml:space="preserve">Ministar zdravstvene skrbi,</w:t>
      </w:r>
    </w:p>
    <w:p w14:paraId="4277AAE7" w14:textId="0746FA92" w:rsidR="001D3DA3" w:rsidRDefault="00AD598F" w:rsidP="008D3E19">
      <w:pPr>
        <w:pStyle w:val="NoSpacing"/>
        <w:spacing w:line="276" w:lineRule="auto"/>
        <w:rPr>
          <w:color w:val="000000" w:themeColor="text1"/>
        </w:rPr>
      </w:pPr>
      <w:r>
        <w:t xml:space="preserve"> </w:t>
      </w:r>
      <w:r>
        <w:br/>
      </w:r>
      <w:r>
        <w:t xml:space="preserve">uzimajući u obzir:</w:t>
      </w:r>
      <w:r>
        <w:t xml:space="preserve"> </w:t>
      </w:r>
      <w:r>
        <w:br/>
      </w:r>
    </w:p>
    <w:p w14:paraId="5EC1E4DA" w14:textId="77777777" w:rsidR="00BD77BD" w:rsidRDefault="00BD77BD" w:rsidP="00BD77BD">
      <w:pPr>
        <w:pStyle w:val="ListParagraph"/>
        <w:numPr>
          <w:ilvl w:val="0"/>
          <w:numId w:val="26"/>
        </w:numPr>
        <w:autoSpaceDN/>
        <w:spacing w:line="276" w:lineRule="auto"/>
        <w:textAlignment w:val="auto"/>
      </w:pPr>
      <w:r>
        <w:t xml:space="preserve">članke 36. i 38. Uredbe (EU) br. 1169/2011 Europskog parlamenta i Vijeća od 25. listopada 2011. o informiranju potrošača o hrani, izmjeni uredbi (EZ) br. 1924/2006 i (EZ) br. 1925/2006 Europskog parlamenta i Vijeća te o stavljanju izvan snage Direktive Komisije 87/250/EEZ, Direktive Vijeća 90/496/EEZ, Direktive Komisije 1999/10/EZ, Direktive 2000/13/EZ Europskog parlamenta i Vijeća, direktiva Komisije 2002/67/EZ i 2008/5/EZ i Uredbe Komisije (EZ) br. 608/2004 (SL L 304, 2011.),</w:t>
      </w:r>
    </w:p>
    <w:p w14:paraId="4F7579B4" w14:textId="00829AA7" w:rsidR="00BD77BD" w:rsidRDefault="00BD77BD" w:rsidP="00BD77BD">
      <w:pPr>
        <w:pStyle w:val="ListParagraph"/>
        <w:numPr>
          <w:ilvl w:val="0"/>
          <w:numId w:val="26"/>
        </w:numPr>
        <w:autoSpaceDN/>
        <w:spacing w:line="276" w:lineRule="auto"/>
        <w:textAlignment w:val="auto"/>
      </w:pPr>
      <w:r>
        <w:t xml:space="preserve">članke 8. i 23. Uredbe (EZ) br. 1924/2006 Europskog parlamenta i Vijeća od 20. prosinca 2006. o prehrambenim i zdravstvenim tvrdnjama koje se navode na hrani (SL 2006, L 404)</w:t>
      </w:r>
    </w:p>
    <w:p w14:paraId="2D73B211" w14:textId="2E98BB2D" w:rsidR="00BD77BD" w:rsidRPr="00BD77BD" w:rsidRDefault="00BD77BD" w:rsidP="00BD77BD">
      <w:pPr>
        <w:pStyle w:val="NoSpacing"/>
        <w:numPr>
          <w:ilvl w:val="0"/>
          <w:numId w:val="26"/>
        </w:numPr>
        <w:spacing w:line="276" w:lineRule="auto"/>
        <w:rPr>
          <w:color w:val="000000" w:themeColor="text1"/>
        </w:rPr>
      </w:pPr>
      <w:r>
        <w:t xml:space="preserve">članak 11.;</w:t>
      </w:r>
      <w:r>
        <w:t xml:space="preserve"> </w:t>
      </w:r>
      <w:r>
        <w:t xml:space="preserve">prvi i treći stavak Uredbe o Zakonu o robi o informacijama o hrani;</w:t>
      </w:r>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xml:space="preserve"> </w:t>
      </w:r>
    </w:p>
    <w:p w14:paraId="65467C1F" w14:textId="77777777" w:rsidR="001D3DA3" w:rsidRDefault="00AD598F" w:rsidP="008D3E19">
      <w:pPr>
        <w:pStyle w:val="NoSpacing"/>
        <w:spacing w:line="276" w:lineRule="auto"/>
      </w:pPr>
      <w:r>
        <w:t xml:space="preserve">donosi Uredbu:</w:t>
      </w:r>
    </w:p>
    <w:p w14:paraId="5C149CB5" w14:textId="77777777" w:rsidR="001D3DA3" w:rsidRDefault="00AD598F" w:rsidP="008D3E19">
      <w:pPr>
        <w:pStyle w:val="NoSpacing"/>
        <w:spacing w:line="276" w:lineRule="auto"/>
      </w:pPr>
      <w:r>
        <w:t xml:space="preserve"> </w:t>
      </w:r>
    </w:p>
    <w:p w14:paraId="1DCCB7BA" w14:textId="77777777" w:rsidR="00EE25A3" w:rsidRDefault="00CB0E9D" w:rsidP="008D3E19">
      <w:pPr>
        <w:pStyle w:val="NoSpacing"/>
        <w:spacing w:line="276" w:lineRule="auto"/>
        <w:rPr>
          <w:color w:val="000000" w:themeColor="text1"/>
        </w:rPr>
      </w:pPr>
      <w:r>
        <w:rPr>
          <w:b/>
        </w:rPr>
        <w:t xml:space="preserve">Članak 1.</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 xml:space="preserve">U ovoj se Uredbi primjenjuju sljedeći pojmovi i definicije:</w:t>
      </w:r>
    </w:p>
    <w:p w14:paraId="5CF05977" w14:textId="38C5D6EC" w:rsidR="00EE25A3" w:rsidRDefault="004126C3" w:rsidP="00D83FCC">
      <w:pPr>
        <w:pStyle w:val="NoSpacing"/>
        <w:spacing w:line="276" w:lineRule="auto"/>
        <w:rPr>
          <w:color w:val="000000" w:themeColor="text1"/>
        </w:rPr>
      </w:pPr>
      <w:r>
        <w:rPr>
          <w:color w:val="000000" w:themeColor="text1"/>
          <w:i/>
        </w:rPr>
        <w:br/>
      </w:r>
      <w:r>
        <w:rPr>
          <w:color w:val="000000" w:themeColor="text1"/>
          <w:i/>
        </w:rPr>
        <w:t xml:space="preserve">Nutri-Score:</w:t>
      </w:r>
      <w:r>
        <w:rPr>
          <w:color w:val="000000" w:themeColor="text1"/>
          <w:i/>
        </w:rPr>
        <w:t xml:space="preserve"> </w:t>
      </w:r>
      <w:r>
        <w:rPr>
          <w:color w:val="000000" w:themeColor="text1"/>
        </w:rPr>
        <w:t xml:space="preserve">Žig EU-a koji je pri Uredu Europske unije za intelektualno vlasništvo registrirao Santé publique France (l’agence nationale de santé publique); </w:t>
      </w:r>
      <w:r>
        <w:rPr>
          <w:color w:val="000000" w:themeColor="text1"/>
          <w:i/>
        </w:rPr>
        <w:br/>
      </w:r>
      <w:r>
        <w:t xml:space="preserve">uvjeti korištenja: pravila za korištenje oznake Nutri-Score, objavljeni na </w:t>
      </w:r>
      <w:r>
        <w:rPr>
          <w:b/>
        </w:rPr>
        <w:t xml:space="preserve">P.M</w:t>
      </w:r>
      <w:r>
        <w:t xml:space="preserve">, pod naslovom „Uvjeti za korištenje logotipa ‚Nutri-Score’, inačica od 10. srpnja 2020“.</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 xml:space="preserve">Članak 2.</w:t>
      </w:r>
    </w:p>
    <w:p w14:paraId="3122E91A" w14:textId="48F9899F" w:rsidR="00EE25A3" w:rsidRDefault="00A17BBC" w:rsidP="008D3E19">
      <w:pPr>
        <w:pStyle w:val="NoSpacing"/>
        <w:spacing w:line="276" w:lineRule="auto"/>
        <w:rPr>
          <w:color w:val="000000" w:themeColor="text1"/>
          <w:kern w:val="2"/>
        </w:rPr>
      </w:pPr>
      <w:r>
        <w:rPr>
          <w:color w:val="000000" w:themeColor="text1"/>
        </w:rPr>
        <w:br/>
      </w:r>
      <w:r>
        <w:rPr>
          <w:color w:val="000000" w:themeColor="text1"/>
        </w:rPr>
        <w:t xml:space="preserve">Logotip „Nutri-Score“ i uvjeti njegove uporabe označavaju se kao logotip za odabir hrane.</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 xml:space="preserve">Članak 3.</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Ovaj Sporazum stupa na snagu s učinkom od </w:t>
      </w:r>
      <w:r>
        <w:rPr>
          <w:b/>
        </w:rPr>
        <w:t xml:space="preserve">P.M.</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 xml:space="preserve">Članak 4.</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 xml:space="preserve">Ova Odluka navodi se kao:</w:t>
      </w:r>
      <w:r>
        <w:rPr>
          <w:color w:val="000000" w:themeColor="text1"/>
        </w:rPr>
        <w:t xml:space="preserve"> </w:t>
      </w:r>
      <w:r>
        <w:rPr>
          <w:color w:val="000000" w:themeColor="text1"/>
        </w:rPr>
        <w:t xml:space="preserve">Uredba o Zakonu o robi za logotip za odabir hrane</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 xml:space="preserve">Ova Uredba i objašnjenja objavljuju se u Službenom listu Vlade.</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 xml:space="preserve">Ministar zdravstvene skrbi,</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t xml:space="preserve">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t xml:space="preserve">NAPOMENE S OBJAŠNJENJIMA</w:t>
      </w:r>
      <w:r>
        <w:rPr>
          <w:b/>
        </w:rPr>
        <w:br/>
      </w:r>
    </w:p>
    <w:p w14:paraId="62AF9EB0" w14:textId="77777777" w:rsidR="007374B7" w:rsidRPr="007374B7" w:rsidRDefault="007374B7" w:rsidP="008D3E19">
      <w:pPr>
        <w:pStyle w:val="NoSpacing"/>
        <w:spacing w:line="276" w:lineRule="auto"/>
        <w:rPr>
          <w:b/>
          <w:bCs/>
        </w:rPr>
      </w:pPr>
      <w:r>
        <w:rPr>
          <w:b/>
        </w:rPr>
        <w:t xml:space="preserve">1.</w:t>
      </w:r>
      <w:r>
        <w:rPr>
          <w:b/>
        </w:rPr>
        <w:t xml:space="preserve"> </w:t>
      </w:r>
      <w:r>
        <w:rPr>
          <w:b/>
        </w:rPr>
        <w:t xml:space="preserve">Opće odredbe</w:t>
      </w:r>
    </w:p>
    <w:p w14:paraId="522F9288" w14:textId="42F9642B" w:rsidR="00CE650A" w:rsidRDefault="00D83FCC" w:rsidP="00D83FCC">
      <w:pPr>
        <w:pStyle w:val="NoSpacing"/>
        <w:spacing w:line="276" w:lineRule="auto"/>
        <w:rPr>
          <w:i/>
        </w:rPr>
      </w:pPr>
      <w:r>
        <w:rPr>
          <w:i/>
        </w:rPr>
        <w:br/>
      </w:r>
      <w:r>
        <w:rPr>
          <w:i/>
        </w:rPr>
        <w:t xml:space="preserve">Razlog</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 xml:space="preserve">Nacionalni sporazum o prevenciji</w:t>
      </w:r>
      <w:r w:rsidR="00125CD6">
        <w:rPr>
          <w:rStyle w:val="FootnoteReference"/>
        </w:rPr>
        <w:footnoteReference w:id="1"/>
      </w:r>
      <w:r>
        <w:t xml:space="preserve"> donesen je 23. studenoga 2018.</w:t>
      </w:r>
      <w:r>
        <w:t xml:space="preserve"> </w:t>
      </w:r>
      <w:r>
        <w:t xml:space="preserve">To uključuje sporazume koje su sklopili Vlada i više od 70 stranaka o uvođenju mjera za borbu protiv prekomjerne tjelesne težine, pušenja i problematike konzumacije alkohola.</w:t>
      </w:r>
      <w:r>
        <w:t xml:space="preserve"> </w:t>
      </w:r>
      <w:r>
        <w:t xml:space="preserve">Potpisnici su krovne organizacije za zdravstvenu skrb, organizacije pacijenata, poduzeća, općine i obrazovne ustanove.</w:t>
      </w:r>
      <w:r>
        <w:t xml:space="preserve"> </w:t>
      </w:r>
      <w:r>
        <w:t xml:space="preserve">Nacionalni sporazum o prevenciji uključuje niz mjera u području zdrave prehrane.</w:t>
      </w:r>
      <w:r>
        <w:t xml:space="preserve"> </w:t>
      </w:r>
      <w:r>
        <w:t xml:space="preserve">Zdrava prehrana važna je za sve, ne samo za osobe s prekomjernom tjelesnom težinom.</w:t>
      </w:r>
      <w:r>
        <w:t xml:space="preserve"> </w:t>
      </w:r>
      <w:r>
        <w:t xml:space="preserve">Kako bi se potrošačima olakšala svijest o zdravijim odabirima, u Nacionalnom sporazumu o prevenciji dogovoreno je da će vlada Nizozemske 2020. uvesti novi, općeprihvaćen logotip za odabir hrane.</w:t>
      </w:r>
      <w:r>
        <w:t xml:space="preserve">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 xml:space="preserve">Zahtjev je bio da se odabir logotipa temelji na pouzdanom i neovisnom istraživanju potrošača.</w:t>
      </w:r>
      <w:r>
        <w:t xml:space="preserve"> </w:t>
      </w:r>
      <w:r>
        <w:t xml:space="preserve">Također se smatralo da je od velike važnosti da logotip koji će se odabrati bude u skladu s načinom na koji ljudi donose svoje odluke: potrošačko shvaćanje moralo je imati glavnu ulogu.</w:t>
      </w:r>
      <w:r>
        <w:t xml:space="preserve"> </w:t>
      </w:r>
      <w:r>
        <w:t xml:space="preserve">Pri odabiru također treba uzeti u obzir piramidu pravilne prehrane i, naposljetku, treba uzeti u obzir razvoj na europskoj razini u pogledu logotipa za odabir hrane.</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 xml:space="preserve">Postupak</w:t>
      </w:r>
      <w:r>
        <w:rPr>
          <w:i/>
        </w:rPr>
        <w:br/>
      </w:r>
    </w:p>
    <w:p w14:paraId="15D74CD7" w14:textId="77777777" w:rsidR="004F54A5" w:rsidRDefault="004F54A5" w:rsidP="008D3E19">
      <w:pPr>
        <w:pStyle w:val="NoSpacing"/>
        <w:spacing w:line="276" w:lineRule="auto"/>
      </w:pPr>
      <w:r>
        <w:t xml:space="preserve">Od studenoga 2018. započeo je rad na provedbi navedenog sporazuma u Nacionalnom sporazumu o sprečavanju.</w:t>
      </w:r>
    </w:p>
    <w:p w14:paraId="7FAB8B53" w14:textId="77777777" w:rsidR="001110B2" w:rsidRDefault="0029125D" w:rsidP="008D3E19">
      <w:pPr>
        <w:pStyle w:val="NoSpacing"/>
        <w:spacing w:line="276" w:lineRule="auto"/>
      </w:pPr>
      <w:r>
        <w:t xml:space="preserve">Prilikom razrade uvjeta za odabir logotipa za odabir hrane provedeno je savjetovanje s različitim stranama.</w:t>
      </w:r>
      <w:r>
        <w:t xml:space="preserve"> </w:t>
      </w:r>
      <w:r>
        <w:t xml:space="preserve">U postupak donošenja odluke uključeni su Udruga potrošača, Zadruge za zdravstvo (Hartstichting, Nierstichting, Diabetesfonds), Centraal Bureau Levensmiddelenhandel (CBL), Federacija nizozemske prehrambene industrije (FNLI), Koninklijke Horeca Nederland (KHN), Vereniging Nederlandse Cateraars (Veneca), Centar za prehranu, RIVM i Ministarstvo poljoprivrede.</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 xml:space="preserve">Neovisno istraživanje potrošača</w:t>
      </w:r>
      <w:r w:rsidR="00A978BD">
        <w:rPr>
          <w:rStyle w:val="FootnoteReference"/>
        </w:rPr>
        <w:footnoteReference w:id="2"/>
      </w:r>
      <w:r>
        <w:t xml:space="preserve"> usporedilo je tri logotipa za odabir hrane koji se trenutačno koriste u europskim zemljama.</w:t>
      </w:r>
      <w:r>
        <w:t xml:space="preserve"> </w:t>
      </w:r>
      <w:r>
        <w:t xml:space="preserve">Ispitano je u kojoj mjeri ti logotipi pomažu potrošačima da donesu zdraviji izbor.</w:t>
      </w:r>
      <w:r>
        <w:t xml:space="preserve"> </w:t>
      </w:r>
      <w:r>
        <w:t xml:space="preserve">Anketa potrošača pokazuje da se s logotipom Nutri-Score potrošači mogu najbolje usmjeriti prema zdravijim izborima.</w:t>
      </w:r>
      <w:r>
        <w:t xml:space="preserve"> </w:t>
      </w:r>
      <w:r>
        <w:t xml:space="preserve">Na policama trgovina slični proizvodi mogu se lako i brzo usporediti: na prvi pogled, potrošači mogu vidjeti koji je proizvod zdraviji izbor.</w:t>
      </w:r>
      <w:r>
        <w:t xml:space="preserve"> </w:t>
      </w:r>
      <w:r>
        <w:t xml:space="preserve">Time se olakšava donošenje zdravijeg izbora.</w:t>
      </w:r>
      <w:r>
        <w:t xml:space="preserve">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 xml:space="preserve">Međutim, anketa potrošača pokazuje i da neki ispitanici više ne mogu donijeti zdraviju odluku u slučaju neodgovarajućih informacija na temelju piramide pravilne prehrane i logotipa.</w:t>
      </w:r>
      <w:r>
        <w:t xml:space="preserve"> </w:t>
      </w:r>
      <w:r>
        <w:t xml:space="preserve">RIVM i Centar za prehranu proveli su studiju na temu Nutri-Score,&amp;LT</w:t>
      </w:r>
      <w:r w:rsidR="00A978BD">
        <w:rPr>
          <w:rStyle w:val="FootnoteReference"/>
        </w:rPr>
        <w:footnoteReference w:id="3"/>
      </w:r>
      <w:r>
        <w:t xml:space="preserve">;</w:t>
      </w:r>
      <w:r>
        <w:t xml:space="preserve"> </w:t>
      </w:r>
      <w:r>
        <w:t xml:space="preserve">u kojoj je zaključeno da za se niz proizvoda u različitim kategorijama nutritivni savjeti Nutri-Score i Disk of Five ne podudaraju točno.</w:t>
      </w:r>
      <w:r>
        <w:t xml:space="preserve">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 xml:space="preserve">Na temelju rezultata istraga i u suradnji s prethodno navedenim strankama, državni tajnik za zdravstvo, socijalnu skrb i sport odlučio je Nutri-Score označiti logotipom za odabir hrane</w:t>
      </w:r>
      <w:r w:rsidR="00125CD6">
        <w:rPr>
          <w:rStyle w:val="FootnoteReference"/>
        </w:rPr>
        <w:footnoteReference w:id="4"/>
      </w:r>
      <w:r>
        <w:t xml:space="preserve">;</w:t>
      </w:r>
      <w:r>
        <w:t xml:space="preserve"> </w:t>
      </w:r>
      <w:r>
        <w:t xml:space="preserve">Međutim, osnovni izračun logotipa Nutri-Score treba prilagoditi tako da logotip može dovesti do što je manje moguće zabune među nizozemskim potrošačima u pogledu zdravijeg izbora.</w:t>
      </w:r>
      <w:r>
        <w:t xml:space="preserve">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Početkom 2020. državni tajnik obavijestio je francusku vladu o izboru logotipa Nutri-Score.</w:t>
      </w:r>
      <w:r>
        <w:t xml:space="preserve"> </w:t>
      </w:r>
      <w:r>
        <w:t xml:space="preserve">Nizozemska sudjeluje u međunarodnom savjetovanju u kojem se sklapaju sporazumi o provedbi i organizaciji.</w:t>
      </w:r>
      <w:r>
        <w:t xml:space="preserve"> </w:t>
      </w:r>
      <w:r>
        <w:t xml:space="preserve">Neovisni znanstveni odbor ispituje izračune na kojima se temelji Nutri-Score i ima zadaću osigurati da su prehrambeni kriteriji logotipa Nutri-Score usklađeni s prehrambenim smjernicama zemalja sudionica.</w:t>
      </w:r>
      <w:r>
        <w:t xml:space="preserve">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color w:val="333333"/>
          <w:rFonts w:eastAsia="Times New Roman" w:cs="Arial"/>
        </w:rPr>
      </w:pPr>
      <w:r>
        <w:rPr>
          <w:i/>
        </w:rPr>
        <w:t xml:space="preserve">Navod Nutri-Score</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rPr>
          <w:i/>
        </w:rPr>
        <w:t xml:space="preserve">Nutri-Score</w:t>
      </w:r>
      <w:r>
        <w:t xml:space="preserve"> dobrovoljni je logotip za odabir hrane koji pomaže potrošačima da donose zdravije odluke prilikom kupnje unutar skupine proizvoda.</w:t>
      </w:r>
      <w:r>
        <w:t xml:space="preserve"> </w:t>
      </w:r>
      <w:r>
        <w:rPr>
          <w:i/>
        </w:rPr>
        <w:t xml:space="preserve">Nutri-Score</w:t>
      </w:r>
      <w:r>
        <w:t xml:space="preserve"> utvrđuje se dodjeljivanjem bodova za količine bjelančevina, vlakana, voća, povrća, mahunarki i orašastih plodova sadržanih u hrani.</w:t>
      </w:r>
      <w:r>
        <w:t xml:space="preserve"> </w:t>
      </w:r>
      <w:r>
        <w:t xml:space="preserve">Bodovi se oduzimaju od te ocjene za energetski sadržaj (kilokalorije), količine šećera, zasićenih masti i soli.</w:t>
      </w:r>
      <w:r>
        <w:t xml:space="preserve"> </w:t>
      </w:r>
      <w:r>
        <w:t xml:space="preserve">Na temelju ukupnog rezultata, proizvod dobiva oznaku A, B, C, D ili E. Tamnozelena A predstavlja zdraviji sastav.</w:t>
      </w:r>
      <w:r>
        <w:t xml:space="preserve"> </w:t>
      </w:r>
      <w:r>
        <w:t xml:space="preserve">Proizvodi s manje zdravim sastavom dobivaju tamnonarančastu oznaku E. Ako poduzeća koja posluju s hranom primjenjuju </w:t>
      </w:r>
      <w:r>
        <w:rPr>
          <w:i/>
        </w:rPr>
        <w:t xml:space="preserve">Nutri-Score</w:t>
      </w:r>
      <w:r>
        <w:t xml:space="preserve">, moraju biti u skladu s uvjetima uporabe i staviti logotip na prednjoj strani hrane.</w:t>
      </w:r>
      <w:r>
        <w:t xml:space="preserve"> </w:t>
      </w:r>
      <w:r>
        <w:t xml:space="preserve">Ovo pomaže potrošačima da na prvi pogled vide koji je proizvod zdraviji izbor.</w:t>
      </w:r>
      <w:r>
        <w:br/>
      </w:r>
    </w:p>
    <w:p w14:paraId="023F652F" w14:textId="3742B79E" w:rsidR="00DC7A50" w:rsidRDefault="00D83FCC" w:rsidP="008D3E19">
      <w:pPr>
        <w:pStyle w:val="NoSpacing"/>
        <w:spacing w:line="276" w:lineRule="auto"/>
      </w:pPr>
      <w:r>
        <w:rPr>
          <w:color w:val="333333"/>
        </w:rPr>
        <w:t xml:space="preserve">Ovaj program označava </w:t>
      </w:r>
      <w:r>
        <w:rPr>
          <w:color w:val="333333"/>
          <w:i/>
        </w:rPr>
        <w:t xml:space="preserve">Nutri-Score</w:t>
      </w:r>
      <w:r>
        <w:rPr>
          <w:color w:val="333333"/>
        </w:rPr>
        <w:t xml:space="preserve"> kao logotip izbora hrane.</w:t>
      </w:r>
      <w:r>
        <w:rPr>
          <w:color w:val="333333"/>
        </w:rPr>
        <w:t xml:space="preserve"> </w:t>
      </w:r>
      <w:r>
        <w:rPr>
          <w:color w:val="000000" w:themeColor="text1"/>
        </w:rPr>
        <w:t xml:space="preserve">Uvjeti korištenja objavljuju se na internetskoj stranici dostupnoj poduzetnicima i široj javnosti.</w:t>
      </w:r>
      <w:r>
        <w:rPr>
          <w:color w:val="333333"/>
        </w:rPr>
        <w:t xml:space="preserve"> </w:t>
      </w:r>
      <w:r>
        <w:rPr>
          <w:color w:val="333333"/>
        </w:rPr>
        <w:t xml:space="preserve">U uvjetima korištenja navodi se da se pri korištenju logotipa Nutri-Score moraju poštovati zahtjevi grafičkog dizajna.</w:t>
      </w:r>
      <w:r>
        <w:rPr>
          <w:color w:val="333333"/>
        </w:rPr>
        <w:t xml:space="preserve"> </w:t>
      </w:r>
      <w:r>
        <w:rPr>
          <w:color w:val="333333"/>
        </w:rPr>
        <w:t xml:space="preserve">Grafički dizajn nameće zahtjeve u pogledu dimenzija logotipa, uporabe boje i postavljanja logotipa na ambalažu i komunikacijske medije.</w:t>
      </w:r>
      <w:r>
        <w:rPr>
          <w:color w:val="333333"/>
        </w:rPr>
        <w:t xml:space="preserve">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Budući da logotip nije obvezan, poduzeća koja posluju s hranom mogu razmotriti upotrebu logotipa </w:t>
      </w:r>
      <w:r>
        <w:rPr>
          <w:i/>
        </w:rPr>
        <w:t xml:space="preserve">Nutri-Score</w:t>
      </w:r>
      <w:r>
        <w:t xml:space="preserve"> kao logotipa za odabir hrane.</w:t>
      </w:r>
      <w:r>
        <w:t xml:space="preserve"> </w:t>
      </w:r>
      <w:r>
        <w:t xml:space="preserve">Ako poduzeće koje posluje s hranom tako odluči, mora biti u skladu sa zahtjevima utvrđenima u uvjetima uporabe.</w:t>
      </w:r>
      <w:r>
        <w:t xml:space="preserve"> </w:t>
      </w:r>
      <w:r>
        <w:rPr>
          <w:rStyle w:val="Marker"/>
          <w:color w:val="000000" w:themeColor="text1"/>
        </w:rPr>
        <w:t xml:space="preserve">Nutri-Score je žig Europske unije koji je registrirao nositelj Santé publique France (l’agence nationale de santé publique) pri Uredu Europske unije za intelektualno vlasništvo (EUIPO)</w:t>
      </w:r>
      <w:r>
        <w:rPr>
          <w:rStyle w:val="Marker"/>
          <w:color w:val="000000" w:themeColor="text1"/>
        </w:rPr>
        <w:t xml:space="preserve"> </w:t>
      </w:r>
      <w:r>
        <w:rPr>
          <w:rStyle w:val="Marker"/>
          <w:color w:val="000000" w:themeColor="text1"/>
        </w:rPr>
        <w:t xml:space="preserve">Pri primjeni logotipa Nutri-Score, ne samo da nositelj žiga treba poštovati uvjete uporabe žiga, nego i uzeti u obzir </w:t>
      </w:r>
      <w:r>
        <w:t xml:space="preserve">opća pravila o zaštiti žiga koja treba poštovati u području prava žiga, prava pravedne trgovine i kaznenog prava.</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 xml:space="preserve">Nacionalni pravni okvir</w:t>
      </w:r>
    </w:p>
    <w:p w14:paraId="57E6E4A9" w14:textId="230342F8" w:rsidR="00D8085E" w:rsidRPr="00A92440" w:rsidRDefault="004336A6" w:rsidP="008D3E19">
      <w:pPr>
        <w:pStyle w:val="NoSpacing"/>
        <w:spacing w:line="276" w:lineRule="auto"/>
      </w:pPr>
      <w:r>
        <w:rPr>
          <w:i/>
        </w:rPr>
        <w:br/>
      </w:r>
      <w:r>
        <w:rPr>
          <w:color w:val="000000" w:themeColor="text1"/>
        </w:rPr>
        <w:t xml:space="preserve">U članku 1. Uredbe o Zakonu o prehrambenim proizvodima logotip za odabir hrane definiran je kao logotip koji potrošačima olakšava odabir zdravije hrane u odnosu na sličnu hranu u kategoriji proizvoda.</w:t>
      </w:r>
      <w:r>
        <w:rPr>
          <w:color w:val="000000" w:themeColor="text1"/>
        </w:rPr>
        <w:t xml:space="preserve"> </w:t>
      </w:r>
      <w:r>
        <w:rPr>
          <w:color w:val="000000" w:themeColor="text1"/>
        </w:rPr>
        <w:t xml:space="preserve">U skladu s člankom 11. Uredbe o Zakonu o prehrambenim proizvodima, pri stavljanju hrane na tržište može se koristiti logotip odabira hrane, pod uvjetom da su ispunjeni uvjeti iz tog članka.</w:t>
      </w:r>
      <w:r>
        <w:rPr>
          <w:color w:val="000000" w:themeColor="text1"/>
        </w:rPr>
        <w:t xml:space="preserve"> </w:t>
      </w:r>
      <w:r>
        <w:t xml:space="preserve">U 2021. predviđena je izmjena Uredbe o Zakonu o robi o informacijama o hrani kojom se od industrije više ne zahtijeva da podnese zahtjev za odobrenje logotipa za odabir hrane.</w:t>
      </w:r>
      <w:r>
        <w:rPr>
          <w:color w:val="333333"/>
        </w:rPr>
        <w:t xml:space="preserve"> </w:t>
      </w:r>
      <w:r>
        <w:t xml:space="preserve">U vrijeme pisanja ovog objašnjenja, </w:t>
      </w:r>
      <w:r>
        <w:rPr>
          <w:color w:val="333333"/>
        </w:rPr>
        <w:t xml:space="preserve">izmjena Uredbe o Zakonu o robi o informacijama o hrani </w:t>
      </w:r>
      <w:r>
        <w:t xml:space="preserve">još nije objavljena u Službenom listu.</w:t>
      </w:r>
      <w:r>
        <w:t xml:space="preserve"> </w:t>
      </w:r>
      <w:r>
        <w:t xml:space="preserve">Načelo uzajamnog priznavanja podrazumijeva da država članica EU-a ne smije zabraniti prodaju robe koja je zakonito stavljena na tržište u drugoj državi članici EU-a na njezinu državnom području zbog toga što roba ne ispunjava njezine nacionalne propise.</w:t>
      </w:r>
      <w:r>
        <w:t xml:space="preserve"> </w:t>
      </w:r>
      <w:r>
        <w:t xml:space="preserve">Međutim, važno je da roba iz druge europske države članice pruži barem jednaku razinu zaštite.</w:t>
      </w:r>
      <w:r>
        <w:t xml:space="preserve"> </w:t>
      </w:r>
      <w:r>
        <w:t xml:space="preserve">Ova klauzula o uzajamnom priznavanju sadržana je u članku 13.d Zakona o robi. Stavljanje na tržište robe podrijetlom iz drugih europskih država članica nije zabranjeno na temelju zahtjeva utvrđenih u ovom režimu.</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b/>
          <w:color w:val="333333"/>
          <w:rFonts w:eastAsia="Times New Roman" w:cs="Arial"/>
        </w:rPr>
      </w:pPr>
      <w:r>
        <w:rPr>
          <w:b/>
          <w:color w:val="333333"/>
        </w:rPr>
        <w:t xml:space="preserve">2.</w:t>
      </w:r>
      <w:r>
        <w:rPr>
          <w:b/>
          <w:color w:val="333333"/>
        </w:rPr>
        <w:t xml:space="preserve"> </w:t>
      </w:r>
      <w:r>
        <w:rPr>
          <w:b/>
          <w:color w:val="333333"/>
        </w:rPr>
        <w:t xml:space="preserve">Učinak na regulatorno opterećenje</w:t>
      </w:r>
      <w:r>
        <w:rPr>
          <w:b/>
          <w:color w:val="333333"/>
        </w:rPr>
        <w:t xml:space="preserve">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color w:val="333333"/>
          <w:rFonts w:eastAsia="Times New Roman" w:cs="Arial"/>
        </w:rPr>
      </w:pPr>
      <w:r>
        <w:rPr>
          <w:color w:val="333333"/>
        </w:rPr>
        <w:t xml:space="preserve">Odbor za reviziju regulatornog opterećenja (ATR) nije odabrao predmet za službeno mišljenje jer ne utječe na regulatorno opterećenje građana i poduzeća.</w:t>
      </w:r>
      <w:r>
        <w:rPr>
          <w:color w:val="333333"/>
        </w:rPr>
        <w:br/>
      </w:r>
    </w:p>
    <w:p w14:paraId="254A27A8" w14:textId="77777777" w:rsidR="009D6971" w:rsidRDefault="007E23BC" w:rsidP="008D3E19">
      <w:pPr>
        <w:pStyle w:val="NoSpacing"/>
        <w:spacing w:line="276" w:lineRule="auto"/>
        <w:rPr>
          <w:b/>
          <w:color w:val="333333"/>
          <w:rFonts w:eastAsia="Times New Roman" w:cs="Arial"/>
        </w:rPr>
      </w:pPr>
      <w:r>
        <w:rPr>
          <w:b/>
          <w:color w:val="333333"/>
        </w:rPr>
        <w:t xml:space="preserve">3.</w:t>
      </w:r>
      <w:r>
        <w:rPr>
          <w:b/>
          <w:color w:val="333333"/>
        </w:rPr>
        <w:t xml:space="preserve"> </w:t>
      </w:r>
      <w:r>
        <w:rPr>
          <w:b/>
          <w:color w:val="333333"/>
        </w:rPr>
        <w:t xml:space="preserve">Zakon o redovitom savjetovanju o robi</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b/>
          <w:color w:val="333333"/>
          <w:rFonts w:eastAsia="Times New Roman" w:cs="Arial"/>
        </w:rPr>
      </w:pPr>
      <w:r>
        <w:t xml:space="preserve">Nacrt ove Naredbe podnesen je sudionicima Redovite savjetodavne skupine za Zakon o robi [„ROW“]</w:t>
      </w:r>
      <w:r w:rsidRPr="00B658D6">
        <w:rPr>
          <w:bCs/>
          <w:vertAlign w:val="superscript"/>
        </w:rPr>
        <w:footnoteReference w:id="5"/>
      </w:r>
      <w:r>
        <w:t xml:space="preserve">.</w:t>
      </w:r>
      <w:r>
        <w:t xml:space="preserve"> </w:t>
      </w:r>
      <w:r>
        <w:rPr>
          <w:b/>
        </w:rPr>
        <w:t xml:space="preserve">P.M.</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b/>
          <w:color w:val="333333"/>
          <w:rFonts w:eastAsia="Times New Roman" w:cs="Arial"/>
        </w:rPr>
      </w:pPr>
      <w:r>
        <w:rPr>
          <w:b/>
          <w:color w:val="333333"/>
        </w:rPr>
        <w:t xml:space="preserve">4.</w:t>
      </w:r>
      <w:r>
        <w:rPr>
          <w:b/>
          <w:color w:val="333333"/>
        </w:rPr>
        <w:t xml:space="preserve"> </w:t>
      </w:r>
      <w:r>
        <w:rPr>
          <w:b/>
          <w:color w:val="333333"/>
        </w:rPr>
        <w:t xml:space="preserve">Provedivost i izvedivost</w:t>
      </w:r>
    </w:p>
    <w:p w14:paraId="5ED04CEA" w14:textId="77777777" w:rsidR="00CA0B75" w:rsidRPr="00CA0B75" w:rsidRDefault="002A0E04" w:rsidP="008D3E19">
      <w:pPr>
        <w:pStyle w:val="NoSpacing"/>
        <w:spacing w:line="276" w:lineRule="auto"/>
        <w:rPr>
          <w:b/>
          <w:color w:val="333333"/>
          <w:rFonts w:eastAsia="Times New Roman" w:cs="Arial"/>
        </w:rPr>
      </w:pPr>
      <w:r>
        <w:rPr>
          <w:color w:val="333333"/>
          <w:b/>
        </w:rPr>
        <w:br/>
      </w:r>
      <w:r>
        <w:rPr>
          <w:color w:val="333333"/>
        </w:rPr>
        <w:t xml:space="preserve">NVWA je izradio taj program u smislu provedbe, izvedivosti i zaštite od prijevara.</w:t>
      </w:r>
      <w:r>
        <w:rPr>
          <w:color w:val="333333"/>
          <w:b/>
        </w:rPr>
        <w:t xml:space="preserve"> </w:t>
      </w:r>
      <w:r>
        <w:rPr>
          <w:color w:val="333333"/>
          <w:b/>
        </w:rPr>
        <w:t xml:space="preserve">P.M.</w:t>
      </w:r>
      <w:r>
        <w:rPr>
          <w:color w:val="333333"/>
          <w:b/>
        </w:rPr>
        <w:t xml:space="preserve">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b/>
          <w:color w:val="333333"/>
          <w:rFonts w:eastAsia="Times New Roman" w:cs="Arial"/>
        </w:rPr>
      </w:pPr>
      <w:r>
        <w:rPr>
          <w:b/>
          <w:color w:val="333333"/>
        </w:rPr>
        <w:t xml:space="preserve">5.</w:t>
      </w:r>
      <w:r>
        <w:rPr>
          <w:b/>
          <w:color w:val="333333"/>
        </w:rPr>
        <w:t xml:space="preserve"> </w:t>
      </w:r>
      <w:r>
        <w:rPr>
          <w:b/>
          <w:color w:val="333333"/>
        </w:rPr>
        <w:t xml:space="preserve">Obavijest</w:t>
      </w:r>
      <w:r>
        <w:rPr>
          <w:b/>
          <w:color w:val="333333"/>
        </w:rPr>
        <w:t xml:space="preserve">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color w:val="333333"/>
          <w:rFonts w:eastAsia="Times New Roman" w:cs="Arial"/>
        </w:rPr>
      </w:pPr>
      <w:r>
        <w:rPr>
          <w:color w:val="333333"/>
        </w:rPr>
        <w:t xml:space="preserve">Uredbom (EZ) br. 1924/2006 Europskog parlamenta i Vijeća od 20. prosinca 2006. o prehrambenim i zdravstvenim tvrdnjama koje se navode na hrani (SL 2006 L 404) (dalje u tekstu: Uredba o tvrdnjama) utvrđena su opća načela za sve tvrdnje koje se odnose na hranu.</w:t>
      </w:r>
      <w:r>
        <w:rPr>
          <w:color w:val="333333"/>
        </w:rPr>
        <w:t xml:space="preserve"> </w:t>
      </w:r>
      <w:r>
        <w:rPr>
          <w:color w:val="333333"/>
        </w:rPr>
        <w:t xml:space="preserve">Logotip za odabir hrane </w:t>
      </w:r>
      <w:r>
        <w:rPr>
          <w:color w:val="333333"/>
          <w:i/>
        </w:rPr>
        <w:t xml:space="preserve">Nutri-Score</w:t>
      </w:r>
      <w:r>
        <w:rPr>
          <w:color w:val="333333"/>
        </w:rPr>
        <w:t xml:space="preserve"> smatra se prehrambenom tvrdnjom iz članka 2. stavka 2. točke 4. ove Uredbe.</w:t>
      </w:r>
      <w:r>
        <w:rPr>
          <w:color w:val="333333"/>
        </w:rPr>
        <w:t xml:space="preserve"> </w:t>
      </w:r>
      <w:r>
        <w:rPr>
          <w:color w:val="333333"/>
        </w:rPr>
        <w:t xml:space="preserve">Člankom 8. stavkom 1. Uredbe o tvrdnjama dopuštaju se samo prehrambene tvrdnje navedene u Prilogu toj Uredbi.</w:t>
      </w:r>
      <w:r>
        <w:rPr>
          <w:color w:val="333333"/>
        </w:rPr>
        <w:t xml:space="preserve"> </w:t>
      </w:r>
      <w:r>
        <w:rPr>
          <w:color w:val="333333"/>
        </w:rPr>
        <w:t xml:space="preserve">Te prehrambene tvrdnje uvijek se odnose samo na količinu energije hrane ili na količinu jedne tvari ili hranjive tvari.</w:t>
      </w:r>
      <w:r>
        <w:rPr>
          <w:color w:val="333333"/>
        </w:rPr>
        <w:t xml:space="preserve"> </w:t>
      </w:r>
      <w:r>
        <w:rPr>
          <w:color w:val="333333"/>
        </w:rPr>
        <w:t xml:space="preserve">Logotip za odabir hrane </w:t>
      </w:r>
      <w:r>
        <w:rPr>
          <w:color w:val="333333"/>
          <w:i/>
        </w:rPr>
        <w:t xml:space="preserve">Nutri-Score</w:t>
      </w:r>
      <w:r>
        <w:rPr>
          <w:color w:val="333333"/>
        </w:rPr>
        <w:t xml:space="preserve"> nije prikladan za dodavanje tom Prilogu: pri izračunu </w:t>
      </w:r>
      <w:r>
        <w:rPr>
          <w:color w:val="333333"/>
          <w:i/>
        </w:rPr>
        <w:t xml:space="preserve">Nutri-Score</w:t>
      </w:r>
      <w:r>
        <w:rPr>
          <w:color w:val="333333"/>
        </w:rPr>
        <w:t xml:space="preserve"> uzima se u obzir cijeli sastav hrane.</w:t>
      </w:r>
      <w:r>
        <w:rPr>
          <w:color w:val="333333"/>
        </w:rPr>
        <w:t xml:space="preserve"> </w:t>
      </w:r>
      <w:r>
        <w:rPr>
          <w:color w:val="333333"/>
        </w:rPr>
        <w:t xml:space="preserve">Člankom 23. Uredbe o tvrdnjama od države članice zahtijeva se da obavijesti o uporabi tvrdnji na svojem državnom području ako takve tvrdnje nisu u skladu s Uredbom o tvrdnjama.</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color w:val="333333"/>
          <w:rFonts w:eastAsia="Times New Roman" w:cs="Arial"/>
        </w:rPr>
      </w:pPr>
      <w:r>
        <w:rPr>
          <w:color w:val="333333"/>
        </w:rPr>
        <w:t xml:space="preserve">Kako bi se zaštitilo odgovarajuće informiranje potrošača, članak 36. Uredbe (EU) br. 1169/2011 Europskog parlamenta i Vijeća od 25. listopada 2011. o informiranju potrošača o hrani</w:t>
      </w:r>
      <w:r>
        <w:rPr>
          <w:rStyle w:val="FootnoteReference"/>
          <w:rFonts w:eastAsia="Times New Roman" w:cs="Arial"/>
          <w:color w:val="333333"/>
        </w:rPr>
        <w:footnoteReference w:id="6"/>
      </w:r>
      <w:r>
        <w:rPr>
          <w:color w:val="333333"/>
        </w:rPr>
        <w:t xml:space="preserve"> trebao bi ispunjavati niz zahtjeva.</w:t>
      </w:r>
      <w:r>
        <w:rPr>
          <w:color w:val="333333"/>
        </w:rPr>
        <w:t xml:space="preserve"> </w:t>
      </w:r>
      <w:r>
        <w:rPr>
          <w:color w:val="333333"/>
        </w:rPr>
        <w:t xml:space="preserve">I u tom je kontekstu Komisija obaviještena o tekstu tog programa.</w:t>
      </w:r>
      <w:r>
        <w:rPr>
          <w:color w:val="333333"/>
        </w:rPr>
        <w:t xml:space="preserve">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b/>
          <w:color w:val="333333"/>
          <w:rFonts w:eastAsia="Times New Roman" w:cs="Arial"/>
        </w:rPr>
      </w:pPr>
      <w:r>
        <w:t xml:space="preserve">Nacrt programa dostavljen je Europskoj komisiji dana... kako bi zadovoljio </w:t>
      </w:r>
      <w:r>
        <w:rPr>
          <w:b/>
        </w:rPr>
        <w:t xml:space="preserve">P.M.</w:t>
      </w:r>
      <w:r>
        <w:t xml:space="preserve"> Nakon obavijesti </w:t>
      </w:r>
      <w:r>
        <w:rPr>
          <w:b/>
        </w:rPr>
        <w:t xml:space="preserve">P.M.</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3A5" w14:textId="77777777" w:rsidR="00631A11" w:rsidRDefault="00631A11">
      <w:pPr>
        <w:spacing w:line="240" w:lineRule="auto"/>
      </w:pPr>
      <w:r>
        <w:separator/>
      </w:r>
    </w:p>
  </w:endnote>
  <w:endnote w:type="continuationSeparator" w:id="0">
    <w:p w14:paraId="2661EBC7" w14:textId="77777777" w:rsidR="00631A11" w:rsidRDefault="00631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6377" w14:textId="77777777" w:rsidR="00631A11" w:rsidRDefault="00631A11">
      <w:pPr>
        <w:spacing w:line="240" w:lineRule="auto"/>
      </w:pPr>
      <w:r>
        <w:separator/>
      </w:r>
    </w:p>
  </w:footnote>
  <w:footnote w:type="continuationSeparator" w:id="0">
    <w:p w14:paraId="37F9A070" w14:textId="77777777" w:rsidR="00631A11" w:rsidRDefault="00631A11">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sz w:val="16"/>
          <w:rFonts w:ascii="Verdana" w:hAnsi="Verdana"/>
        </w:rPr>
        <w:t xml:space="preserve">Prilog dokumentima Vijeća II., 2018./2019., 32793, br. 339.</w:t>
      </w:r>
    </w:p>
  </w:footnote>
  <w:footnote w:id="2">
    <w:p w14:paraId="134DD927" w14:textId="0F382223" w:rsidR="00A978BD" w:rsidRDefault="00A978BD">
      <w:pPr>
        <w:pStyle w:val="FootnoteText"/>
      </w:pPr>
      <w:r>
        <w:rPr>
          <w:rStyle w:val="FootnoteReference"/>
        </w:rPr>
        <w:footnoteRef/>
      </w:r>
      <w:r>
        <w:rPr>
          <w:sz w:val="16"/>
          <w:rFonts w:ascii="Verdana" w:hAnsi="Verdana"/>
        </w:rPr>
        <w:t xml:space="preserve"> </w:t>
      </w:r>
      <w:r>
        <w:rPr>
          <w:sz w:val="16"/>
          <w:rFonts w:ascii="Verdana" w:hAnsi="Verdana"/>
        </w:rPr>
        <w:t xml:space="preserve">Motivaction, „</w:t>
      </w:r>
      <w:r>
        <w:rPr>
          <w:sz w:val="16"/>
          <w:i/>
          <w:rFonts w:ascii="Verdana" w:hAnsi="Verdana"/>
        </w:rPr>
        <w:t xml:space="preserve">Učinkovitost figurativnih oznaka triju logotipa za odabir hrane</w:t>
      </w:r>
      <w:r>
        <w:rPr>
          <w:sz w:val="16"/>
          <w:rFonts w:ascii="Verdana" w:hAnsi="Verdana"/>
        </w:rPr>
        <w:t xml:space="preserve">“, 30. listopada 2019., dostupno na </w:t>
      </w:r>
      <w:hyperlink r:id="rId1"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3">
    <w:p w14:paraId="2C905CC0" w14:textId="778258C7" w:rsidR="00A978BD" w:rsidRDefault="00A978BD">
      <w:pPr>
        <w:pStyle w:val="FootnoteText"/>
      </w:pPr>
      <w:r>
        <w:rPr>
          <w:rStyle w:val="FootnoteReference"/>
        </w:rPr>
        <w:footnoteRef/>
      </w:r>
      <w:r>
        <w:t xml:space="preserve"> </w:t>
      </w:r>
      <w:r>
        <w:rPr>
          <w:sz w:val="16"/>
          <w:rFonts w:ascii="Verdana" w:hAnsi="Verdana"/>
        </w:rPr>
        <w:t xml:space="preserve">Nacionalni institut za javno zdravlje i okoliš (RIVM) i Centar za prehranu, „</w:t>
      </w:r>
      <w:r>
        <w:rPr>
          <w:sz w:val="16"/>
          <w:i/>
          <w:rFonts w:ascii="Verdana" w:hAnsi="Verdana"/>
        </w:rPr>
        <w:t xml:space="preserve">Uredsko istraživanje logotipa za odabir hrane pod reflektorima</w:t>
      </w:r>
      <w:r>
        <w:rPr>
          <w:sz w:val="16"/>
          <w:rFonts w:ascii="Verdana" w:hAnsi="Verdana"/>
        </w:rPr>
        <w:t xml:space="preserve">“, 28. studenog 2019.</w:t>
      </w:r>
      <w:r>
        <w:rPr>
          <w:sz w:val="16"/>
          <w:rFonts w:ascii="Verdana" w:hAnsi="Verdana"/>
        </w:rPr>
        <w:t xml:space="preserve"> </w:t>
      </w:r>
      <w:r>
        <w:rPr>
          <w:sz w:val="16"/>
          <w:rFonts w:ascii="Verdana" w:hAnsi="Verdana"/>
        </w:rPr>
        <w:t xml:space="preserve">Dostupno na </w:t>
      </w:r>
      <w:hyperlink r:id="rId2"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4">
    <w:p w14:paraId="3942F257" w14:textId="77777777" w:rsidR="00125CD6" w:rsidRDefault="00125CD6">
      <w:pPr>
        <w:pStyle w:val="FootnoteText"/>
      </w:pPr>
      <w:r>
        <w:rPr>
          <w:rStyle w:val="FootnoteReference"/>
        </w:rPr>
        <w:footnoteRef/>
      </w:r>
      <w:r>
        <w:t xml:space="preserve"> </w:t>
      </w:r>
      <w:r>
        <w:rPr>
          <w:sz w:val="16"/>
          <w:rFonts w:ascii="Verdana" w:hAnsi="Verdana"/>
        </w:rPr>
        <w:t xml:space="preserve">Parlamentarni dokumenti II. 2019./2020., 32793, br. 459.</w:t>
      </w:r>
    </w:p>
  </w:footnote>
  <w:footnote w:id="5">
    <w:p w14:paraId="5857BD1C" w14:textId="77777777" w:rsidR="009D6971" w:rsidRPr="006B20B3" w:rsidRDefault="009D6971" w:rsidP="009D6971">
      <w:pPr>
        <w:pStyle w:val="FootnoteText"/>
        <w:rPr>
          <w:sz w:val="16"/>
          <w:szCs w:val="16"/>
          <w:rFonts w:ascii="Verdana" w:hAnsi="Verdana"/>
        </w:rPr>
      </w:pPr>
      <w:r>
        <w:rPr>
          <w:rStyle w:val="FootnoteReference"/>
          <w:rFonts w:ascii="Verdana" w:hAnsi="Verdana"/>
          <w:sz w:val="16"/>
          <w:szCs w:val="16"/>
        </w:rPr>
        <w:footnoteRef/>
      </w:r>
      <w:r>
        <w:rPr>
          <w:sz w:val="16"/>
          <w:rFonts w:ascii="Verdana" w:hAnsi="Verdana"/>
        </w:rPr>
        <w:t xml:space="preserve"> ROW se sastoji od predstavnika poduzeća (industrija i trgovina), potrošača, ministarstava (posebice Ministarstava javnog zdravlja, socijalne skrbi i sporta te Ministarstva poljoprivrede, zaštite prirode i kvalitete hrane) te nizozemske Agencije za sigurnost hrane i potrošačkih proizvoda [NVWA].</w:t>
      </w:r>
    </w:p>
  </w:footnote>
  <w:footnote w:id="6">
    <w:p w14:paraId="38FEBC48" w14:textId="77777777" w:rsidR="006C4D06" w:rsidRDefault="006C4D06" w:rsidP="006C4D06">
      <w:pPr>
        <w:pStyle w:val="FootnoteText"/>
      </w:pPr>
      <w:r>
        <w:rPr>
          <w:rStyle w:val="FootnoteReference"/>
        </w:rPr>
        <w:footnoteRef/>
      </w:r>
      <w:r>
        <w:t xml:space="preserve"> </w:t>
      </w:r>
      <w:r>
        <w:rPr>
          <w:sz w:val="16"/>
          <w:rFonts w:ascii="Verdana" w:hAnsi="Verdana"/>
        </w:rPr>
        <w:t xml:space="preserve">Puni naslov </w:t>
      </w:r>
      <w:r>
        <w:rPr>
          <w:sz w:val="16"/>
          <w:color w:val="333333"/>
          <w:rFonts w:ascii="Verdana" w:hAnsi="Verdana"/>
        </w:rPr>
        <w:t xml:space="preserve">Uredba (EU) br. 1169/2011 Europskog parlamenta i Vijeća od 25. listopada 2011. o informiranju potrošača o hrani, izmjeni uredbi (EZ) br. 1924/2006 i (EZ) br. 1925/2006 Europskog parlamenta i Vijeća te o stavljanju izvan snage Direktive Komisije 87/250/EEZ, Direktive Vijeća 90/496/EEZ, Direktive Komisije 1999/10/EZ, Direktive 2000/13/EZ Europskog parlamenta i Vijeća, direktiva Komisije 2002/67/EZ i 2008/5/EZ i Uredbe Komisije (EZ) br. 608/2004 (SL L 304.,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Stranica </w:t>
                          </w:r>
                          <w:r>
                            <w:fldChar w:fldCharType="begin"/>
                          </w:r>
                          <w:r>
                            <w:instrText>PAGE</w:instrText>
                          </w:r>
                          <w:r>
                            <w:fldChar w:fldCharType="separate"/>
                          </w:r>
                          <w:r w:rsidR="002A4E62">
                            <w:t>4</w:t>
                          </w:r>
                          <w:r>
                            <w:fldChar w:fldCharType="end"/>
                          </w:r>
                          <w:r>
                            <w:t xml:space="preserve"> od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Stranica </w:t>
                    </w:r>
                    <w:r>
                      <w:fldChar w:fldCharType="begin"/>
                    </w:r>
                    <w:r>
                      <w:instrText>PAGE</w:instrText>
                    </w:r>
                    <w:r>
                      <w:fldChar w:fldCharType="separate"/>
                    </w:r>
                    <w:r w:rsidR="002A4E62">
                      <w:t>4</w:t>
                    </w:r>
                    <w:r>
                      <w:fldChar w:fldCharType="end"/>
                    </w:r>
                    <w:r>
                      <w:t xml:space="preserve"> od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mc:AlternateContent>
        <mc:Choice Requires="wps">
          <w:drawing>
            <wp:anchor distT="0" distB="0" distL="114300" distR="114300" simplePos="0" relativeHeight="251662848" behindDoc="0" locked="0" layoutInCell="1" allowOverlap="1" wp14:anchorId="2BB507A8" wp14:editId="35A3B021">
              <wp:simplePos x="0" y="0"/>
              <wp:positionH relativeFrom="column">
                <wp:posOffset>3023870</wp:posOffset>
              </wp:positionH>
              <wp:positionV relativeFrom="paragraph">
                <wp:posOffset>828675</wp:posOffset>
              </wp:positionV>
              <wp:extent cx="2299335" cy="466725"/>
              <wp:effectExtent l="0" t="0" r="5715" b="9525"/>
              <wp:wrapNone/>
              <wp:docPr id="13" name="Text Box 13"/>
              <wp:cNvGraphicFramePr/>
              <a:graphic xmlns:a="http://schemas.openxmlformats.org/drawingml/2006/main">
                <a:graphicData uri="http://schemas.microsoft.com/office/word/2010/wordprocessingShape">
                  <wps:wsp>
                    <wps:cNvSpPr txBox="1"/>
                    <wps:spPr>
                      <a:xfrm>
                        <a:off x="0" y="0"/>
                        <a:ext cx="2299335" cy="466725"/>
                      </a:xfrm>
                      <a:prstGeom prst="rect">
                        <a:avLst/>
                      </a:prstGeom>
                      <a:solidFill>
                        <a:schemeClr val="lt1"/>
                      </a:solidFill>
                      <a:ln w="6350">
                        <a:noFill/>
                      </a:ln>
                    </wps:spPr>
                    <wps:txbx>
                      <w:txbxContent>
                        <w:p w14:paraId="79769891" w14:textId="5BFF1079" w:rsidR="008E3830" w:rsidRPr="008E3830" w:rsidRDefault="008E3830">
                          <w:pPr>
                            <w:rPr>
                              <w:b/>
                              <w:bCs/>
                            </w:rPr>
                          </w:pPr>
                          <w:r>
                            <w:rPr>
                              <w:b/>
                            </w:rPr>
                            <w:t xml:space="preserve">Ministarstvo javnog zdravstva, socijalne skrbi i sporta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8.1pt;margin-top:65.25pt;width:181.05pt;height:36.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" fillcolor="white [3201]" stroked="f" strokeweight=".5pt">
              <v:textbox>
                <w:txbxContent>
                  <w:p w14:paraId="79769891" w14:textId="5BFF1079" w:rsidR="008E3830" w:rsidRPr="008E3830" w:rsidRDefault="008E3830">
                    <w:pPr>
                      <w:rPr>
                        <w:b/>
                        <w:bCs/>
                      </w:rPr>
                    </w:pPr>
                    <w:r>
                      <w:rPr>
                        <w:b/>
                      </w:rPr>
                      <w:t xml:space="preserve">Ministarstvo javnog zdravstva, socijalne skrbi i sporta</w:t>
                    </w:r>
                  </w:p>
                </w:txbxContent>
              </v:textbox>
            </v:shape>
          </w:pict>
        </mc:Fallback>
      </mc:AlternateContent>
    </w:r>
    <w: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 xml:space="preserve">Uredba ministra zdravstvene skrbi – VGP,</w:t>
                          </w:r>
                        </w:p>
                        <w:p w14:paraId="6DDC92F8" w14:textId="77777777" w:rsidR="001D3DA3" w:rsidRDefault="00AD598F">
                          <w:r>
                            <w:t xml:space="preserve">o određivanju logotipa Nutri-Score kao logotipa za odabir hrane i uvjeta njegove uporabe (Uredba o označivanju logotipa za odabir hrane)</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Uredba ministra zdravstvene skrbi – VGP,</w:t>
                    </w:r>
                  </w:p>
                  <w:p w14:paraId="6DDC92F8" w14:textId="77777777" w:rsidR="001D3DA3" w:rsidRDefault="00AD598F">
                    <w:r>
                      <w:t xml:space="preserve">o određivanju logotipa Nutri-Score kao logotipa za odabir hrane i uvjeta njegove uporabe (Uredba o označivanju logotipa za odabir hrane)</w:t>
                    </w:r>
                  </w:p>
                </w:txbxContent>
              </v:textbox>
              <w10:wrap anchorx="page" anchory="page"/>
              <w10:anchorlock/>
            </v:shape>
          </w:pict>
        </mc:Fallback>
      </mc:AlternateContent>
    </w:r>
    <w: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Stranica </w:t>
                          </w:r>
                          <w:r>
                            <w:fldChar w:fldCharType="begin"/>
                          </w:r>
                          <w:r>
                            <w:instrText>PAGE</w:instrText>
                          </w:r>
                          <w:r>
                            <w:fldChar w:fldCharType="separate"/>
                          </w:r>
                          <w:r w:rsidR="002A4E62">
                            <w:t>1</w:t>
                          </w:r>
                          <w:r>
                            <w:fldChar w:fldCharType="end"/>
                          </w:r>
                          <w:r>
                            <w:t xml:space="preserve"> od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t xml:space="preserve">Stranica </w:t>
                    </w:r>
                    <w:r>
                      <w:fldChar w:fldCharType="begin"/>
                    </w:r>
                    <w:r>
                      <w:instrText>PAGE</w:instrText>
                    </w:r>
                    <w:r>
                      <w:fldChar w:fldCharType="separate"/>
                    </w:r>
                    <w:r w:rsidR="002A4E62">
                      <w:t>1</w:t>
                    </w:r>
                    <w:r>
                      <w:fldChar w:fldCharType="end"/>
                    </w:r>
                    <w:r>
                      <w:t xml:space="preserve"> od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498"/>
    <w:rsid w:val="00832798"/>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hr-HR"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&#65279;<?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5</TotalTime>
  <Pages>6</Pages>
  <Words>1589</Words>
  <Characters>9063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Liana Brili</cp:lastModifiedBy>
  <cp:revision>4</cp:revision>
  <cp:lastPrinted>2019-05-15T13:40:00Z</cp:lastPrinted>
  <dcterms:created xsi:type="dcterms:W3CDTF">2021-07-27T20:03:00Z</dcterms:created>
  <dcterms:modified xsi:type="dcterms:W3CDTF">2021-08-07T09:14:00Z</dcterms:modified>
</cp:coreProperties>
</file>