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r>
              <w:t>FRANCIJAS REPUBLIKA</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Ekoloģiskās pārejas un teritoriālās kohēzijas ministrija</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rPr>
      </w:pPr>
      <w:r>
        <w:rPr>
          <w:b/>
        </w:rPr>
        <w:t xml:space="preserve">_______________. Dekrēts Nr. ___________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par pienākumu piedāvāt pārdošanai nepārstrādātus, svaigus augļus un dārzeņus, kuru iepakojums nav pilnībā vai daļēji izgatavots no plastmasas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b/>
          <w:i/>
        </w:rPr>
        <w:t>Mērķauditorija:</w:t>
      </w:r>
      <w:r>
        <w:rPr>
          <w:i/>
        </w:rPr>
        <w:t xml:space="preserve"> mazumtirdzniecības vietas, kas specializējušās vai nav specializējušās augļu un dārzeņu pārdošanā veikalos un tirgos.</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b/>
          <w:i/>
        </w:rPr>
        <w:t>Priekšmets:</w:t>
      </w:r>
      <w:r>
        <w:rPr>
          <w:i/>
        </w:rPr>
        <w:t xml:space="preserve"> nosacījumi par to, kā īstenot pienākumu piedāvāt pārdošanai nepārstrādātus, svaigus augļus un dārzeņus, kuru iepakojums nav pilnībā vai daļēji izgatavots no plastmasas.</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b/>
          <w:i/>
        </w:rPr>
        <w:t>Stāšanās spēkā:</w:t>
      </w:r>
      <w:r>
        <w:rPr>
          <w:i/>
        </w:rPr>
        <w:t xml:space="preserve"> Dekrēts stājas spēkā nākamajā dienā pēc tā publicēšanas.</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b/>
          <w:i/>
        </w:rPr>
        <w:t>Paziņojums:</w:t>
      </w:r>
      <w:r>
        <w:rPr>
          <w:i/>
        </w:rPr>
        <w:t xml:space="preserve"> Dekrētā paredzēto nosacījumu nolūks īstenot noteikumu, kas iekļauts 2020. gada 10. februāra Likumā par cīņu pret atkritumiem un par aprites ekonomiku un kurā ir noteikts, ka visi mazumtirdzniecības uzņēmumi pārdošanai piedāvā tādus nepārstrādātus augļus un dārzeņus, kuru iepakojums nav no plastmasas.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Tajā ir precizēts, ka šis noteikums attiecas uz neapstrādātiem svaigiem augļiem un dārzeņiem, t. i., augļiem un dārzeņiem, kas pārdoti to sākotnējā stāvoklī vai ir apstrādāti, piemēram, tie ir tīrīti, apriezti, nosusināti vai žāvēti.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Tajā arī precizēta plastmasas iepakojuma definīcija. Tajā ir iekļauts saraksts ar svaigiem augļiem un dārzeņiem, uz kuriem šis pienākums neattiecas, jo, pārdodot nefasētā veidā, tie var bojāties.</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b/>
          <w:i/>
        </w:rPr>
        <w:t>Atsauces:</w:t>
      </w:r>
      <w:r>
        <w:rPr>
          <w:i/>
        </w:rPr>
        <w:t xml:space="preserve"> uz Vides kodeksu, kas grozīts ar Dekrētu, var atsaukties, izmantojot tā projekta versiju, kas izstrādāta šo grozījumu ietvaros un ir pieejama Légifrance tīmekļa vietnē (https://legifrance.gouv.fr).</w:t>
      </w:r>
    </w:p>
    <w:p w14:paraId="3B319840" w14:textId="77777777" w:rsidR="006E305A" w:rsidRPr="006E305A" w:rsidRDefault="006E305A" w:rsidP="006E305A">
      <w:pPr>
        <w:spacing w:before="600"/>
        <w:ind w:firstLine="709"/>
        <w:jc w:val="both"/>
        <w:rPr>
          <w:b/>
          <w:bCs/>
        </w:rPr>
      </w:pPr>
      <w:r>
        <w:rPr>
          <w:b/>
        </w:rPr>
        <w:t>Premjerministrs,</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Atsaucoties uz ekoloģiskās pārejas un teritoriālās kohēzijas ministra ziņojumu,</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ņemot vērā Komisijas 2011. gada 7. jūnija Īstenošanas regulu (ES) Nr. 543/2011, ar ko nosaka sīki izstrādātus noteikumus Padomes Regulas (EK) Nr. 1234/2007 piemērošanai attiecībā uz augļu un dārzeņu un pārstrādātu augļu un dārzeņu nozari, </w:t>
      </w:r>
    </w:p>
    <w:p w14:paraId="37F0C46A" w14:textId="434CC72A" w:rsidR="00A155FD" w:rsidRPr="00D61874" w:rsidRDefault="00A155FD" w:rsidP="005024FC">
      <w:pPr>
        <w:pStyle w:val="SNConsultation"/>
      </w:pPr>
      <w:r>
        <w:lastRenderedPageBreak/>
        <w:t xml:space="preserve">ņemot vērā Komisijas 2011. gada 19. decembra Īstenošanas regulu (ES) Nr. 1333/2011, ar ko nosaka banānu tirdzniecības standartus, noteikumus par to, kā pārbaudīt atbilstību minētajiem tirdzniecības standartiem, un prasības attiecībā uz paziņojumiem banānu nozarē,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ņemot vērā 2020. gada 10. februāra Likumu Nr. 2020-105 par cīņu pret atkritumiem un par aprites ekonomiku un it īpaši tā 77. pantu,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ņemot vērā Vides kodeksu, jo īpaši tā L. 541-15-10. pantu,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ņemot vērā 1955. gada 19. augusta Dekrētu Nr. 55–1126 par Patērētāju kodeksa L. 214–1. panta piemērošanu augļu un dārzeņu tirdzniecības jomā,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ņemot vērā piezīmes, kas tika paustas sabiedriskajā apspriešanā, kura notika starp 2022. gada </w:t>
      </w:r>
      <w:r>
        <w:rPr>
          <w:highlight w:val="yellow"/>
        </w:rPr>
        <w:t>XX/</w:t>
      </w:r>
      <w:r>
        <w:t xml:space="preserve"> decembri un 2023. gada </w:t>
      </w:r>
      <w:r>
        <w:rPr>
          <w:highlight w:val="yellow"/>
        </w:rPr>
        <w:t>XX.</w:t>
      </w:r>
      <w:r>
        <w:t xml:space="preserve"> janvāri, ievērojot Vides kodeksa L. 123–19–1. pantu,</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izdod šādu dekrētu.</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1. pants</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Vides kodeksa normatīvās daļas V sējuma IV daļas I nodaļas 10. iedaļu papildina ar šādu D. 541-334. pantu:</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“D. 541-334. pants. – I.</w:t>
      </w:r>
      <w:r>
        <w:t xml:space="preserve"> — L. 541–15–10. panta III daļas 16. punkta vajadzībām piemēro šādas definīcijas: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1. “Augļi un dārzeņi”ir augi vai to daļas, piemēram, stublāji, saknes, bumbuļi, lapas, augļi, sēklas, kas paredzētas lietošanai pārtikā, kā arī ēdamas sēnes;</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“Nepārstrādāti svaigi augļi un dārzeņi” ir svaigi augļi un dārzeņi, kuru sagatavošana atbilst šādām robežvērtībām: </w:t>
      </w:r>
    </w:p>
    <w:p w14:paraId="742076DE" w14:textId="77777777" w:rsidR="00FA2A1F" w:rsidRDefault="00FA2A1F" w:rsidP="005A05C8">
      <w:pPr>
        <w:ind w:firstLine="709"/>
        <w:jc w:val="both"/>
      </w:pPr>
    </w:p>
    <w:p w14:paraId="273AD17D" w14:textId="36E8A624" w:rsidR="005A05C8" w:rsidRDefault="003E05C5" w:rsidP="00FA2A1F">
      <w:pPr>
        <w:ind w:left="1134" w:hanging="425"/>
        <w:jc w:val="both"/>
      </w:pPr>
      <w:r>
        <w:t>–</w:t>
      </w:r>
      <w:r w:rsidR="005A05C8">
        <w:t> </w:t>
      </w:r>
      <w:r>
        <w:tab/>
      </w:r>
      <w:r w:rsidR="005A05C8">
        <w:t xml:space="preserve">tirdzniecības standarti, kas minēti Komisijas 2011. gada 7. jūnija Īstenošanas regulā (ES) Nr. 543/2011, ar ko nosaka sīki izstrādātus noteikumus Padomes Regulas (EK) Nr. 1234/2007 piemērošanai attiecībā uz augļu un dārzeņu un pārstrādātu augļu un dārzeņu nozari; </w:t>
      </w:r>
    </w:p>
    <w:p w14:paraId="4D8D69E8" w14:textId="0FA91244" w:rsidR="005A05C8" w:rsidRDefault="003E05C5" w:rsidP="00FA2A1F">
      <w:pPr>
        <w:ind w:left="1134" w:hanging="425"/>
        <w:jc w:val="both"/>
      </w:pPr>
      <w:r>
        <w:t>–</w:t>
      </w:r>
      <w:r w:rsidR="005A05C8">
        <w:t> </w:t>
      </w:r>
      <w:r>
        <w:tab/>
      </w:r>
      <w:r w:rsidR="005A05C8">
        <w:t xml:space="preserve">tirdzniecības standarti, kas minēti Komisijas 2011. gada 19. decembra Īstenošanas regulā (ES) Nr. 1333/2011, ar ko nosaka banānu tirdzniecības standartus, noteikumus par to, kā pārbaudīt atbilstību minētajiem tirdzniecības standartiem, un prasības paziņojumiem banānu nozarē; </w:t>
      </w:r>
    </w:p>
    <w:p w14:paraId="2C33E934" w14:textId="10CB26FB" w:rsidR="005A05C8" w:rsidRPr="005A05C8" w:rsidRDefault="003E05C5" w:rsidP="00FA2A1F">
      <w:pPr>
        <w:ind w:left="1134" w:hanging="425"/>
        <w:jc w:val="both"/>
      </w:pPr>
      <w:r>
        <w:t>–</w:t>
      </w:r>
      <w:r w:rsidR="005A05C8">
        <w:t> </w:t>
      </w:r>
      <w:r>
        <w:tab/>
      </w:r>
      <w:r w:rsidR="005A05C8">
        <w:t xml:space="preserve">rīkojumi, kas pieņemti saskaņā ar 4. pantu 1955. gada 19. augusta Dekrētā Nr. 55-1126 par Patērētāju kodeksa L. 214-1. panta piemērošanu augļu un dārzeņu tirdzniecības jomā;”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“Iepakojums” ir trauks, ārējais apvalks vai iepakojuma aiztaisīšanas ierīce, kas pilnībā vai daļēji pārklāj augļus un dārzeņus, kas veido patērētājam paredzētu preci un ir uzskatams par preces noformējumu tirdzniecības vietā;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4. “Plastmasas materiāls” ir materiāls, kā definēts Vides kodeksa D. 541-330. pantā.</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L. 541–15–10. panta III punkta 16. punkta otrajā teikumā minētie augļi un dārzeņi, kam piemīt bojāšanās risks, tos pārdodot bez taras, ir: </w:t>
      </w:r>
    </w:p>
    <w:p w14:paraId="5AC6333E" w14:textId="77777777" w:rsidR="00341726" w:rsidRDefault="00341726" w:rsidP="00341726">
      <w:pPr>
        <w:jc w:val="both"/>
      </w:pPr>
    </w:p>
    <w:p w14:paraId="72EBB9D2" w14:textId="076FA761" w:rsidR="00341726" w:rsidRDefault="003E05C5" w:rsidP="00341726">
      <w:pPr>
        <w:jc w:val="both"/>
      </w:pPr>
      <w:r>
        <w:t>–</w:t>
      </w:r>
      <w:r>
        <w:t xml:space="preserve"> </w:t>
      </w:r>
      <w:r w:rsidR="00341726">
        <w:t>lauka salāti, jaunie dzinumi, aromātiskie garšaugi, ēdamie ziedi, zeltaino (</w:t>
      </w:r>
      <w:r w:rsidR="00341726">
        <w:rPr>
          <w:i/>
          <w:iCs/>
        </w:rPr>
        <w:t>mung</w:t>
      </w:r>
      <w:r w:rsidR="00341726">
        <w:t>) pupiņu kāposti;</w:t>
      </w:r>
    </w:p>
    <w:p w14:paraId="5844973D" w14:textId="0CF5EDCB" w:rsidR="00341726" w:rsidRDefault="003E05C5" w:rsidP="00341726">
      <w:pPr>
        <w:jc w:val="both"/>
      </w:pPr>
      <w:r>
        <w:t>–</w:t>
      </w:r>
      <w:r w:rsidR="00341726">
        <w:t xml:space="preserve"> diedzētas sēklas;</w:t>
      </w:r>
    </w:p>
    <w:p w14:paraId="0BB479B0" w14:textId="017D42EB" w:rsidR="0016162C" w:rsidRDefault="003E05C5" w:rsidP="0016162C">
      <w:pPr>
        <w:jc w:val="both"/>
      </w:pPr>
      <w:r>
        <w:t>–</w:t>
      </w:r>
      <w:r w:rsidR="009B5670">
        <w:t xml:space="preserve"> nogatavināti augļi;</w:t>
      </w:r>
    </w:p>
    <w:p w14:paraId="6024C5B2" w14:textId="2C7254AB" w:rsidR="00B12D5E" w:rsidRDefault="003E05C5" w:rsidP="00341726">
      <w:pPr>
        <w:jc w:val="both"/>
      </w:pPr>
      <w:r>
        <w:t>–</w:t>
      </w:r>
      <w:r w:rsidR="0016162C">
        <w:t xml:space="preserve"> dzērvenes, brūklenes, fizāļi un mellenes, avenes, zemenes, kazenes, jāņogas, plūškoka ogas, ērkšķogas un korintes, upenes un kivi;</w:t>
      </w:r>
    </w:p>
    <w:p w14:paraId="5ED21BA4" w14:textId="1659A0FD" w:rsidR="00B12D5E" w:rsidRDefault="00B12D5E" w:rsidP="00B12D5E">
      <w:pPr>
        <w:jc w:val="both"/>
      </w:pPr>
      <w:r>
        <w:t> </w:t>
      </w:r>
      <w:r w:rsidR="003E05C5">
        <w:t>–</w:t>
      </w:r>
      <w:r>
        <w:t xml:space="preserve"> endīvijas;</w:t>
      </w:r>
    </w:p>
    <w:p w14:paraId="3D7B41BD" w14:textId="5EE8CA98" w:rsidR="00B12D5E" w:rsidRDefault="003E05C5" w:rsidP="00B12D5E">
      <w:pPr>
        <w:ind w:left="-5"/>
      </w:pPr>
      <w:r>
        <w:t>–</w:t>
      </w:r>
      <w:r w:rsidR="009B5670">
        <w:t xml:space="preserve"> sēnes;</w:t>
      </w:r>
    </w:p>
    <w:p w14:paraId="3C95BD5D" w14:textId="3BDCD497" w:rsidR="00B12D5E" w:rsidRDefault="003E05C5" w:rsidP="00B12D5E">
      <w:pPr>
        <w:ind w:left="-5"/>
      </w:pPr>
      <w:r>
        <w:t>–</w:t>
      </w:r>
      <w:r w:rsidR="009B5670">
        <w:t xml:space="preserve"> mazi burkāni;</w:t>
      </w:r>
    </w:p>
    <w:p w14:paraId="578E5A1F" w14:textId="6B19B200" w:rsidR="00B12D5E" w:rsidRDefault="003E05C5" w:rsidP="00B12D5E">
      <w:pPr>
        <w:ind w:left="-5"/>
      </w:pPr>
      <w:r>
        <w:t>–</w:t>
      </w:r>
      <w:r w:rsidR="00B12D5E">
        <w:t xml:space="preserve"> spināti un skābenes.”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2. pants</w:t>
      </w:r>
    </w:p>
    <w:p w14:paraId="683E9D53" w14:textId="77777777" w:rsidR="009C04CC" w:rsidRDefault="009C04CC" w:rsidP="00195C7C">
      <w:pPr>
        <w:ind w:firstLine="709"/>
        <w:jc w:val="both"/>
      </w:pPr>
    </w:p>
    <w:p w14:paraId="57BD3D37" w14:textId="2AAC4DD6" w:rsidR="00341726" w:rsidRDefault="009C04CC" w:rsidP="00341726">
      <w:pPr>
        <w:jc w:val="both"/>
      </w:pPr>
      <w:r>
        <w:t>Lai varētu realizēt krājumā esošos iepakojumus, līdz 2023. gada 31. decembrim iepakojumā, kas pilnībā vai daļēji izgatavots no plastmasas, var pārdot šādus augļus un dārzeņus:</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salātu tomāti, iegarenas sirds formas tomāti, ķiršu vai kokteiļu tomāti (miniatūras šķirnes); </w:t>
      </w:r>
    </w:p>
    <w:p w14:paraId="6FED6CDF" w14:textId="27E595B4" w:rsidR="00B12D5E" w:rsidRDefault="009B5670" w:rsidP="00B12D5E">
      <w:pPr>
        <w:pStyle w:val="ListParagraph"/>
        <w:numPr>
          <w:ilvl w:val="0"/>
          <w:numId w:val="23"/>
        </w:numPr>
      </w:pPr>
      <w:r>
        <w:t>sparģeļi;</w:t>
      </w:r>
    </w:p>
    <w:p w14:paraId="027696F5" w14:textId="6354DDB6" w:rsidR="00B12D5E" w:rsidRDefault="00B12D5E" w:rsidP="00B12D5E">
      <w:pPr>
        <w:pStyle w:val="ListParagraph"/>
        <w:numPr>
          <w:ilvl w:val="0"/>
          <w:numId w:val="23"/>
        </w:numPr>
      </w:pPr>
      <w:r>
        <w:t>brokoļi;</w:t>
      </w:r>
    </w:p>
    <w:p w14:paraId="1A89F6DE" w14:textId="068BB10A" w:rsidR="00B12D5E" w:rsidRDefault="00B12D5E" w:rsidP="00B12D5E">
      <w:pPr>
        <w:pStyle w:val="ListParagraph"/>
        <w:numPr>
          <w:ilvl w:val="0"/>
          <w:numId w:val="23"/>
        </w:numPr>
      </w:pPr>
      <w:r>
        <w:t>agrīni kartupeļi un agrīni burkāni;</w:t>
      </w:r>
    </w:p>
    <w:p w14:paraId="39D06F87" w14:textId="15776A2D" w:rsidR="00B12D5E" w:rsidRDefault="009B5670" w:rsidP="00B12D5E">
      <w:pPr>
        <w:pStyle w:val="ListParagraph"/>
        <w:numPr>
          <w:ilvl w:val="0"/>
          <w:numId w:val="23"/>
        </w:numPr>
      </w:pPr>
      <w:r>
        <w:t>salāti;</w:t>
      </w:r>
    </w:p>
    <w:p w14:paraId="79B57C4C" w14:textId="3F8C1E57" w:rsidR="00B12D5E" w:rsidRDefault="009B5670" w:rsidP="00341726">
      <w:pPr>
        <w:pStyle w:val="ListParagraph"/>
        <w:numPr>
          <w:ilvl w:val="0"/>
          <w:numId w:val="23"/>
        </w:numPr>
        <w:jc w:val="both"/>
      </w:pPr>
      <w:r>
        <w:t xml:space="preserve">agrīni sīpoli; </w:t>
      </w:r>
    </w:p>
    <w:p w14:paraId="1ECA92A8" w14:textId="1D34F630" w:rsidR="00B12D5E" w:rsidRDefault="009B5670" w:rsidP="00341726">
      <w:pPr>
        <w:pStyle w:val="ListParagraph"/>
        <w:numPr>
          <w:ilvl w:val="0"/>
          <w:numId w:val="23"/>
        </w:numPr>
        <w:jc w:val="both"/>
      </w:pPr>
      <w:r>
        <w:t>agrīni rāceņi;</w:t>
      </w:r>
    </w:p>
    <w:p w14:paraId="44ADB8B6" w14:textId="77777777" w:rsidR="00B12D5E" w:rsidRDefault="00341726" w:rsidP="00341726">
      <w:pPr>
        <w:pStyle w:val="ListParagraph"/>
        <w:numPr>
          <w:ilvl w:val="0"/>
          <w:numId w:val="23"/>
        </w:numPr>
        <w:jc w:val="both"/>
      </w:pPr>
      <w:r>
        <w:t xml:space="preserve">Briseles kāposti; </w:t>
      </w:r>
    </w:p>
    <w:p w14:paraId="627CA519" w14:textId="0D26E63D" w:rsidR="00B12D5E" w:rsidRDefault="009B5670" w:rsidP="00341726">
      <w:pPr>
        <w:pStyle w:val="ListParagraph"/>
        <w:numPr>
          <w:ilvl w:val="0"/>
          <w:numId w:val="23"/>
        </w:numPr>
        <w:jc w:val="both"/>
      </w:pPr>
      <w:r>
        <w:t>zaļās pupiņas;</w:t>
      </w:r>
    </w:p>
    <w:p w14:paraId="3DBEF345" w14:textId="77777777" w:rsidR="00B12D5E" w:rsidRDefault="00B12D5E" w:rsidP="00B12D5E">
      <w:pPr>
        <w:pStyle w:val="ListParagraph"/>
        <w:numPr>
          <w:ilvl w:val="0"/>
          <w:numId w:val="23"/>
        </w:numPr>
        <w:jc w:val="both"/>
      </w:pPr>
      <w:r>
        <w:t>ķirši;</w:t>
      </w:r>
    </w:p>
    <w:p w14:paraId="23F8FD80" w14:textId="5A9AD835" w:rsidR="00B12D5E" w:rsidRDefault="00341726" w:rsidP="00341726">
      <w:pPr>
        <w:pStyle w:val="ListParagraph"/>
        <w:numPr>
          <w:ilvl w:val="0"/>
          <w:numId w:val="23"/>
        </w:numPr>
        <w:jc w:val="both"/>
      </w:pPr>
      <w:r>
        <w:t>vīnogas;</w:t>
      </w:r>
    </w:p>
    <w:p w14:paraId="76FB16F4" w14:textId="4222A7F6" w:rsidR="00341726" w:rsidRDefault="00341726" w:rsidP="00341726">
      <w:pPr>
        <w:pStyle w:val="ListParagraph"/>
        <w:numPr>
          <w:ilvl w:val="0"/>
          <w:numId w:val="23"/>
        </w:numPr>
        <w:jc w:val="both"/>
      </w:pPr>
      <w:r>
        <w:t>persiki, nektarīni un aprikozes.</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3. pants</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Ekonomikas, finanšu un rūpniecības un digitālās suverenitātes ministrs, lauksaimniecības un pārtikas valsts ministrs, ekoloģiskās pārejas un teritoriālās kohēzijas ministrs un ekoloģiskās pārkārtošanās un teritoriālās kohēzijas ministra valsts sekretārs, kas ir atbildīgs par ekoloģiju, katrs ir atbildīgs par šī dekrēta īstenošanu, kas tiks publicēts Francijas Republikas </w:t>
      </w:r>
      <w:r>
        <w:rPr>
          <w:i/>
          <w:iCs/>
        </w:rPr>
        <w:t>Oficiālajā Vēstnesī</w:t>
      </w:r>
      <w:r>
        <w:t>.</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Datums: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AB382" w14:textId="77777777" w:rsidR="00703A20" w:rsidRDefault="00703A20" w:rsidP="00DA07F9">
      <w:r>
        <w:separator/>
      </w:r>
    </w:p>
  </w:endnote>
  <w:endnote w:type="continuationSeparator" w:id="0">
    <w:p w14:paraId="772203C8" w14:textId="77777777" w:rsidR="00703A20" w:rsidRDefault="00703A20"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08F4" w14:textId="77777777" w:rsidR="00703A20" w:rsidRDefault="00703A20" w:rsidP="00DA07F9">
      <w:r>
        <w:separator/>
      </w:r>
    </w:p>
  </w:footnote>
  <w:footnote w:type="continuationSeparator" w:id="0">
    <w:p w14:paraId="66E8B23E" w14:textId="77777777" w:rsidR="00703A20" w:rsidRDefault="00703A20"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2"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1"/>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05C5"/>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3A20"/>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850</Words>
  <Characters>4851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Dimitris Dimitriadis</cp:lastModifiedBy>
  <cp:revision>5</cp:revision>
  <cp:lastPrinted>2022-11-02T13:16:00Z</cp:lastPrinted>
  <dcterms:created xsi:type="dcterms:W3CDTF">2022-12-14T16:37:00Z</dcterms:created>
  <dcterms:modified xsi:type="dcterms:W3CDTF">2022-12-22T13:08:00Z</dcterms:modified>
</cp:coreProperties>
</file>