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292D" w14:textId="77777777" w:rsidR="00A2416E" w:rsidRDefault="00534832" w:rsidP="00FF7DC0">
      <w:pPr>
        <w:spacing w:before="92" w:line="221" w:lineRule="auto"/>
        <w:ind w:left="403" w:right="2325"/>
        <w:rPr>
          <w:b/>
          <w:sz w:val="36"/>
        </w:rPr>
      </w:pPr>
      <w:bookmarkStart w:id="0" w:name="Inledande_bestämmelser_och_definitioner"/>
      <w:bookmarkEnd w:id="0"/>
      <w:r>
        <w:rPr>
          <w:b/>
          <w:sz w:val="36"/>
        </w:rPr>
        <w:t>Wetboek van statuten van het Zweedse Energieagentschap</w:t>
      </w:r>
    </w:p>
    <w:p w14:paraId="347D5EC4" w14:textId="77777777" w:rsidR="00A2416E" w:rsidRDefault="00B32B66" w:rsidP="00FF7DC0">
      <w:pPr>
        <w:spacing w:before="148" w:line="262" w:lineRule="auto"/>
        <w:ind w:left="403" w:right="3856"/>
        <w:rPr>
          <w:sz w:val="16"/>
        </w:rPr>
      </w:pPr>
      <w:r>
        <w:pict w14:anchorId="18D320B1">
          <v:shape id="_x0000_s1028" style="position:absolute;left:0;text-align:left;margin-left:51pt;margin-top:29.9pt;width:380.35pt;height:.1pt;z-index:-251658240;mso-wrap-distance-left:0;mso-wrap-distance-right:0;mso-position-horizontal-relative:page" coordorigin="1020,598" coordsize="7607,0" path="m1020,598r7607,e" filled="f" strokeweight=".34994mm">
            <v:path arrowok="t"/>
            <w10:wrap type="topAndBottom" anchorx="page"/>
          </v:shape>
        </w:pict>
      </w:r>
      <w:r w:rsidR="00581354">
        <w:rPr>
          <w:sz w:val="16"/>
        </w:rPr>
        <w:t>Gepubliceerd door: Rikard Janson (Chief Legal Officer) ISSN 1650-7703</w:t>
      </w:r>
    </w:p>
    <w:p w14:paraId="48A9609E" w14:textId="77777777" w:rsidR="00A2416E" w:rsidRDefault="00A2416E">
      <w:pPr>
        <w:pStyle w:val="Brdtext"/>
        <w:spacing w:before="1"/>
        <w:rPr>
          <w:sz w:val="13"/>
        </w:rPr>
      </w:pPr>
    </w:p>
    <w:p w14:paraId="24EC6EF5" w14:textId="77777777" w:rsidR="00A2416E" w:rsidRDefault="00A2416E">
      <w:pPr>
        <w:rPr>
          <w:sz w:val="13"/>
        </w:rPr>
        <w:sectPr w:rsidR="00A2416E">
          <w:type w:val="continuous"/>
          <w:pgSz w:w="9360" w:h="13720"/>
          <w:pgMar w:top="900" w:right="580" w:bottom="280" w:left="620" w:header="720" w:footer="720" w:gutter="0"/>
          <w:cols w:space="720"/>
        </w:sectPr>
      </w:pPr>
    </w:p>
    <w:p w14:paraId="1D697384" w14:textId="77777777" w:rsidR="00A2416E" w:rsidRPr="00FF7DC0" w:rsidRDefault="00534832">
      <w:pPr>
        <w:pStyle w:val="Rubrik1"/>
        <w:spacing w:before="103" w:line="225" w:lineRule="auto"/>
        <w:ind w:left="400"/>
        <w:rPr>
          <w:sz w:val="24"/>
          <w:szCs w:val="24"/>
        </w:rPr>
      </w:pPr>
      <w:r w:rsidRPr="00FF7DC0">
        <w:rPr>
          <w:sz w:val="24"/>
          <w:szCs w:val="24"/>
        </w:rPr>
        <w:t>Voorschriften tot wijziging van de voorschriften van de Rijksdienst voor energie (STEMFS 2017:3) betreffende verslaglegging en berekeningen overeenkomstig de brandstofwet;</w:t>
      </w:r>
    </w:p>
    <w:p w14:paraId="71813F81" w14:textId="77777777" w:rsidR="00A2416E" w:rsidRDefault="00534832">
      <w:pPr>
        <w:pStyle w:val="Brdtext"/>
        <w:spacing w:before="188"/>
        <w:ind w:left="400"/>
        <w:jc w:val="both"/>
      </w:pPr>
      <w:r>
        <w:t>aangenomen op 20 januari 2021.</w:t>
      </w:r>
    </w:p>
    <w:p w14:paraId="066E2CAE" w14:textId="77777777" w:rsidR="00A2416E" w:rsidRDefault="00A2416E">
      <w:pPr>
        <w:pStyle w:val="Brdtext"/>
        <w:spacing w:before="6"/>
        <w:rPr>
          <w:sz w:val="17"/>
        </w:rPr>
      </w:pPr>
    </w:p>
    <w:p w14:paraId="4BB4C994" w14:textId="77777777" w:rsidR="00A2416E" w:rsidRDefault="00534832">
      <w:pPr>
        <w:pStyle w:val="Brdtext"/>
        <w:spacing w:line="273" w:lineRule="auto"/>
        <w:ind w:left="400"/>
        <w:jc w:val="both"/>
      </w:pPr>
      <w:r>
        <w:t>Op grond van § 13 van de Brandstofverordening (2011:346) bepaalt het Zweedse Energieagentschap dat de voorschriften van het Agentschap voor verslaglegging en berekening in overeenstemming met de Brandstofwet worden gewijzigd en als volgt worden geformuleerd:</w:t>
      </w:r>
    </w:p>
    <w:p w14:paraId="71A61FB5" w14:textId="77777777" w:rsidR="00A2416E" w:rsidRDefault="00534832" w:rsidP="00FF7DC0">
      <w:pPr>
        <w:pStyle w:val="Brdtext"/>
        <w:spacing w:before="173"/>
        <w:ind w:left="340" w:right="1678"/>
        <w:jc w:val="both"/>
      </w:pPr>
      <w:r>
        <w:t>er wordt een nieuw artikel - § 12a - ingevoerd en zes leden - §§ 2, 4-7, 12, 13 en 16 - worden als volgt gewijzigd.</w:t>
      </w:r>
    </w:p>
    <w:p w14:paraId="0D1B6701" w14:textId="77777777" w:rsidR="00A2416E" w:rsidRDefault="00A2416E">
      <w:pPr>
        <w:pStyle w:val="Brdtext"/>
        <w:spacing w:before="6"/>
        <w:rPr>
          <w:sz w:val="16"/>
        </w:rPr>
      </w:pPr>
    </w:p>
    <w:p w14:paraId="6F4B5BC4" w14:textId="77777777" w:rsidR="00A2416E" w:rsidRDefault="00534832">
      <w:pPr>
        <w:pStyle w:val="Rubrik2"/>
        <w:spacing w:before="0"/>
        <w:ind w:left="400"/>
        <w:jc w:val="both"/>
      </w:pPr>
      <w:r>
        <w:t>Inleidende bepalingen en definities</w:t>
      </w:r>
    </w:p>
    <w:p w14:paraId="390C5634" w14:textId="77777777" w:rsidR="00A2416E" w:rsidRDefault="00534832">
      <w:pPr>
        <w:pStyle w:val="Brdtext"/>
        <w:spacing w:before="140" w:line="273" w:lineRule="auto"/>
        <w:ind w:left="400"/>
        <w:jc w:val="both"/>
      </w:pPr>
      <w:r>
        <w:rPr>
          <w:b/>
        </w:rPr>
        <w:t>§ 2</w:t>
      </w:r>
      <w:r>
        <w:t xml:space="preserve"> De termen die in deze voorschriften worden gebruikt, hebben dezelfde betekenis als in de Brandstofwet (2011:319) en de Brandstofverordening (2011:346). De volgende begrippen worden gebruikt met de daarbij vermelde betekenis:</w:t>
      </w:r>
    </w:p>
    <w:p w14:paraId="2953E73A" w14:textId="77777777" w:rsidR="00A2416E" w:rsidRDefault="00534832">
      <w:pPr>
        <w:spacing w:before="3" w:line="364" w:lineRule="exact"/>
        <w:ind w:left="400" w:right="-11"/>
        <w:rPr>
          <w:sz w:val="19"/>
        </w:rPr>
      </w:pPr>
      <w:r>
        <w:rPr>
          <w:i/>
          <w:sz w:val="19"/>
        </w:rPr>
        <w:t>bio-component</w:t>
      </w:r>
      <w:r>
        <w:rPr>
          <w:sz w:val="19"/>
        </w:rPr>
        <w:t xml:space="preserve">: brandstofcomponent geproduceerd uit biomassa; </w:t>
      </w:r>
      <w:r>
        <w:rPr>
          <w:i/>
          <w:sz w:val="19"/>
        </w:rPr>
        <w:t xml:space="preserve">fossiele component: </w:t>
      </w:r>
      <w:r>
        <w:rPr>
          <w:sz w:val="19"/>
        </w:rPr>
        <w:t xml:space="preserve">brandstofcomponent van minerale oorsprong; </w:t>
      </w:r>
      <w:r>
        <w:rPr>
          <w:i/>
          <w:sz w:val="19"/>
        </w:rPr>
        <w:t>soort brandstof:</w:t>
      </w:r>
      <w:r>
        <w:rPr>
          <w:sz w:val="19"/>
        </w:rPr>
        <w:t xml:space="preserve"> een brandstof die overeenkomt met een bepaalde indeling overeenkomstig</w:t>
      </w:r>
    </w:p>
    <w:p w14:paraId="12DA69D9" w14:textId="77777777" w:rsidR="00A2416E" w:rsidRDefault="00534832">
      <w:pPr>
        <w:pStyle w:val="Brdtext"/>
        <w:spacing w:line="273" w:lineRule="auto"/>
        <w:ind w:left="400"/>
        <w:jc w:val="both"/>
      </w:pPr>
      <w:r>
        <w:t>§§ 3 tot en met 15 van de Brandstofwet (2011:319) of voldoet aan bepaalde nationale of internationale normen voor brandstoffen, eventuele overige brandstoffen die niet overeenkomen met of voldoen aan een indeling of norm, evenals elektriciteit die wordt gebruikt als brandstof;</w:t>
      </w:r>
    </w:p>
    <w:p w14:paraId="601B7223" w14:textId="77777777" w:rsidR="00A2416E" w:rsidRDefault="00534832">
      <w:pPr>
        <w:pStyle w:val="Brdtext"/>
        <w:spacing w:before="114" w:line="273" w:lineRule="auto"/>
        <w:ind w:left="400"/>
        <w:jc w:val="both"/>
      </w:pPr>
      <w:r>
        <w:rPr>
          <w:i/>
        </w:rPr>
        <w:t>product</w:t>
      </w:r>
      <w:r>
        <w:t>: verkocht product onder een bepaald soort brandstof. In de gevallen dat de leverancier meerdere verschillende brandstofproducten verkoopt die voldoen aan dezelfde specificaties of normen, worden de verschillende producten afzonderlijk gerapporteerd onder de betreffende productnaam;</w:t>
      </w:r>
    </w:p>
    <w:p w14:paraId="17F68D6C" w14:textId="77777777" w:rsidR="00A2416E" w:rsidRDefault="00534832">
      <w:pPr>
        <w:pStyle w:val="Brdtext"/>
        <w:spacing w:before="118" w:line="273" w:lineRule="auto"/>
        <w:ind w:left="400"/>
        <w:jc w:val="both"/>
      </w:pPr>
      <w:r>
        <w:rPr>
          <w:i/>
        </w:rPr>
        <w:t>emissievermindering</w:t>
      </w:r>
      <w:r>
        <w:t xml:space="preserve"> in eerdere fase: maatregel voor de vermindering van broeikasgasemissies die plaatsvindt voordat een grondstof wordt behandeld in een raffinaderij of andere installatie voor de productie van een fossiele brandstofcomponent.</w:t>
      </w:r>
    </w:p>
    <w:p w14:paraId="689C2081" w14:textId="77777777" w:rsidR="00A2416E" w:rsidRDefault="00534832">
      <w:pPr>
        <w:spacing w:before="107" w:line="225" w:lineRule="auto"/>
        <w:ind w:left="252" w:right="476"/>
        <w:rPr>
          <w:b/>
          <w:sz w:val="24"/>
        </w:rPr>
      </w:pPr>
      <w:r>
        <w:br w:type="column"/>
      </w:r>
      <w:r>
        <w:rPr>
          <w:b/>
          <w:sz w:val="24"/>
        </w:rPr>
        <w:t>STEMFS 2021:2</w:t>
      </w:r>
    </w:p>
    <w:p w14:paraId="054025C7" w14:textId="7EA9FA40" w:rsidR="00A2416E" w:rsidRDefault="00534832" w:rsidP="00FF7DC0">
      <w:pPr>
        <w:spacing w:before="60" w:line="256" w:lineRule="auto"/>
        <w:ind w:left="252" w:right="101"/>
        <w:rPr>
          <w:sz w:val="17"/>
        </w:rPr>
        <w:sectPr w:rsidR="00A2416E">
          <w:type w:val="continuous"/>
          <w:pgSz w:w="9360" w:h="13720"/>
          <w:pgMar w:top="900" w:right="580" w:bottom="280" w:left="620" w:header="720" w:footer="720" w:gutter="0"/>
          <w:cols w:num="2" w:space="720" w:equalWidth="0">
            <w:col w:w="6411" w:space="40"/>
            <w:col w:w="1709"/>
          </w:cols>
        </w:sectPr>
      </w:pPr>
      <w:r>
        <w:rPr>
          <w:sz w:val="17"/>
        </w:rPr>
        <w:t>Gepubliceerd op 2 februari 2021</w:t>
      </w:r>
    </w:p>
    <w:p w14:paraId="6C53A6E7" w14:textId="77777777" w:rsidR="00A2416E" w:rsidRDefault="00A2416E">
      <w:pPr>
        <w:pStyle w:val="Brdtext"/>
        <w:spacing w:before="11"/>
        <w:rPr>
          <w:sz w:val="23"/>
        </w:rPr>
      </w:pPr>
    </w:p>
    <w:p w14:paraId="6036D87D" w14:textId="77777777" w:rsidR="00A2416E" w:rsidRDefault="00B32B66">
      <w:pPr>
        <w:pStyle w:val="Brdtext"/>
        <w:spacing w:line="20" w:lineRule="exact"/>
        <w:ind w:left="390"/>
        <w:rPr>
          <w:sz w:val="2"/>
        </w:rPr>
      </w:pPr>
      <w:r>
        <w:rPr>
          <w:sz w:val="2"/>
        </w:rPr>
      </w:r>
      <w:r>
        <w:rPr>
          <w:sz w:val="2"/>
        </w:rPr>
        <w:pict w14:anchorId="079D94F6">
          <v:group id="_x0000_s1026" style="width:1in;height:1pt;mso-position-horizontal-relative:char;mso-position-vertical-relative:line" coordsize="1440,20">
            <v:line id="_x0000_s1027" style="position:absolute" from="0,10" to="1440,10" strokeweight="1pt"/>
            <w10:anchorlock/>
          </v:group>
        </w:pict>
      </w:r>
    </w:p>
    <w:p w14:paraId="6A0B2FC9" w14:textId="77777777" w:rsidR="00FF7DC0" w:rsidRDefault="00534832" w:rsidP="00FF7DC0">
      <w:pPr>
        <w:spacing w:before="31"/>
        <w:ind w:left="403" w:right="1531"/>
        <w:jc w:val="both"/>
        <w:rPr>
          <w:sz w:val="17"/>
        </w:rPr>
      </w:pPr>
      <w:r>
        <w:rPr>
          <w:sz w:val="10"/>
        </w:rPr>
        <w:t xml:space="preserve">1 </w:t>
      </w:r>
      <w:r>
        <w:rPr>
          <w:sz w:val="17"/>
        </w:rPr>
        <w:t>Zie Richtlijn (EU) 2015/1535 van het Europees Parlement en de Raad van 9 september 2015 betreffende een informatieprocedure op het gebied van technische voorschriften en regels betreffende de diensten van de informatiemaatschappij.</w:t>
      </w:r>
      <w:r>
        <w:rPr>
          <w:sz w:val="17"/>
        </w:rPr>
        <w:tab/>
      </w:r>
    </w:p>
    <w:p w14:paraId="3F7164F9" w14:textId="1D5753C9" w:rsidR="00A2416E" w:rsidRPr="00FF7DC0" w:rsidRDefault="00FF7DC0" w:rsidP="00FF7DC0">
      <w:pPr>
        <w:spacing w:before="31"/>
        <w:ind w:left="403"/>
        <w:jc w:val="both"/>
        <w:rPr>
          <w:sz w:val="17"/>
        </w:rPr>
      </w:pPr>
      <w:r>
        <w:rPr>
          <w:sz w:val="17"/>
        </w:rPr>
        <w:t xml:space="preserve">                                                                                                                                                                                  </w:t>
      </w:r>
      <w:r w:rsidR="00534832">
        <w:rPr>
          <w:rFonts w:ascii="HelveticaNeueLT Std Cn" w:hAnsi="HelveticaNeueLT Std Cn"/>
          <w:sz w:val="20"/>
        </w:rPr>
        <w:t>1</w:t>
      </w:r>
    </w:p>
    <w:p w14:paraId="7C3B7287" w14:textId="77777777" w:rsidR="00A2416E" w:rsidRDefault="00A2416E">
      <w:pPr>
        <w:spacing w:line="222"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0FA5AF97" w14:textId="77777777" w:rsidR="00A2416E" w:rsidRDefault="00534832">
      <w:pPr>
        <w:pStyle w:val="Rubrik2"/>
        <w:spacing w:line="228" w:lineRule="auto"/>
        <w:ind w:right="19"/>
      </w:pPr>
      <w:bookmarkStart w:id="1" w:name="Rapportering"/>
      <w:bookmarkEnd w:id="1"/>
      <w:r>
        <w:lastRenderedPageBreak/>
        <w:t>STEMFS 2021:2</w:t>
      </w:r>
    </w:p>
    <w:p w14:paraId="624DE1C9" w14:textId="77777777" w:rsidR="00A2416E" w:rsidRDefault="00534832">
      <w:pPr>
        <w:spacing w:before="63"/>
        <w:ind w:left="117"/>
        <w:rPr>
          <w:b/>
          <w:sz w:val="21"/>
        </w:rPr>
      </w:pPr>
      <w:r>
        <w:br w:type="column"/>
      </w:r>
      <w:r>
        <w:rPr>
          <w:b/>
          <w:sz w:val="21"/>
        </w:rPr>
        <w:t>Verslaglegging</w:t>
      </w:r>
    </w:p>
    <w:p w14:paraId="60DBC31F" w14:textId="77777777" w:rsidR="00A2416E" w:rsidRDefault="00534832">
      <w:pPr>
        <w:pStyle w:val="Liststycke"/>
        <w:numPr>
          <w:ilvl w:val="0"/>
          <w:numId w:val="5"/>
        </w:numPr>
        <w:tabs>
          <w:tab w:val="left" w:pos="308"/>
        </w:tabs>
        <w:spacing w:before="141" w:line="273" w:lineRule="auto"/>
        <w:ind w:right="438" w:firstLine="0"/>
        <w:jc w:val="both"/>
        <w:rPr>
          <w:sz w:val="19"/>
        </w:rPr>
      </w:pPr>
      <w:r>
        <w:rPr>
          <w:b/>
          <w:sz w:val="19"/>
        </w:rPr>
        <w:t>§</w:t>
      </w:r>
      <w:r>
        <w:rPr>
          <w:sz w:val="19"/>
        </w:rPr>
        <w:t> In het emissieverslag worden alle brandstofproducten vermeld die de brandstofleverancier heeft geleverd en waarvoor een belastingplicht is ontstaan overeenkomstig hoofdstuk 5 van wet (1994:1776) betreffende de energiebelasting gedurende het jaar waarop het verslag betrekking heeft, met informatie over</w:t>
      </w:r>
    </w:p>
    <w:p w14:paraId="69D953B3" w14:textId="77777777" w:rsidR="00A2416E" w:rsidRDefault="00534832">
      <w:pPr>
        <w:pStyle w:val="Liststycke"/>
        <w:numPr>
          <w:ilvl w:val="0"/>
          <w:numId w:val="4"/>
        </w:numPr>
        <w:tabs>
          <w:tab w:val="left" w:pos="316"/>
        </w:tabs>
        <w:spacing w:before="69"/>
        <w:rPr>
          <w:sz w:val="19"/>
        </w:rPr>
      </w:pPr>
      <w:r>
        <w:rPr>
          <w:sz w:val="19"/>
        </w:rPr>
        <w:t>hoeveelheid;</w:t>
      </w:r>
    </w:p>
    <w:p w14:paraId="516CF941" w14:textId="77777777" w:rsidR="00A2416E" w:rsidRDefault="00534832">
      <w:pPr>
        <w:pStyle w:val="Liststycke"/>
        <w:numPr>
          <w:ilvl w:val="0"/>
          <w:numId w:val="4"/>
        </w:numPr>
        <w:tabs>
          <w:tab w:val="left" w:pos="316"/>
        </w:tabs>
        <w:rPr>
          <w:sz w:val="19"/>
        </w:rPr>
      </w:pPr>
      <w:r>
        <w:rPr>
          <w:sz w:val="19"/>
        </w:rPr>
        <w:t>netto calorische waarde</w:t>
      </w:r>
    </w:p>
    <w:p w14:paraId="5CA31CC9" w14:textId="77777777" w:rsidR="00A2416E" w:rsidRDefault="00534832">
      <w:pPr>
        <w:pStyle w:val="Liststycke"/>
        <w:numPr>
          <w:ilvl w:val="0"/>
          <w:numId w:val="4"/>
        </w:numPr>
        <w:tabs>
          <w:tab w:val="left" w:pos="316"/>
        </w:tabs>
        <w:rPr>
          <w:sz w:val="19"/>
        </w:rPr>
      </w:pPr>
      <w:r>
        <w:rPr>
          <w:sz w:val="19"/>
        </w:rPr>
        <w:t>de energiebron van de geleverde elektriciteit in gevallen waarin de elektriciteit een oorsprongsmarkering heeft.</w:t>
      </w:r>
    </w:p>
    <w:p w14:paraId="7894339E" w14:textId="77777777" w:rsidR="00A2416E" w:rsidRDefault="00A2416E">
      <w:pPr>
        <w:pStyle w:val="Brdtext"/>
        <w:spacing w:before="5"/>
        <w:rPr>
          <w:sz w:val="22"/>
        </w:rPr>
      </w:pPr>
    </w:p>
    <w:p w14:paraId="688D241D" w14:textId="77777777" w:rsidR="00A2416E" w:rsidRDefault="00534832">
      <w:pPr>
        <w:pStyle w:val="Liststycke"/>
        <w:numPr>
          <w:ilvl w:val="0"/>
          <w:numId w:val="5"/>
        </w:numPr>
        <w:tabs>
          <w:tab w:val="left" w:pos="277"/>
        </w:tabs>
        <w:spacing w:before="0" w:line="273" w:lineRule="auto"/>
        <w:ind w:right="438" w:firstLine="0"/>
        <w:rPr>
          <w:sz w:val="19"/>
        </w:rPr>
      </w:pPr>
      <w:r>
        <w:rPr>
          <w:b/>
          <w:sz w:val="19"/>
        </w:rPr>
        <w:t>§</w:t>
      </w:r>
      <w:r>
        <w:rPr>
          <w:sz w:val="19"/>
        </w:rPr>
        <w:t xml:space="preserve"> In het emissieverslag worden alle fossiele componenten vermeld die deel uitmaken van de geleverde brandstofproducten overeenkomstig § 4, met informatie over:</w:t>
      </w:r>
    </w:p>
    <w:p w14:paraId="09AF6626" w14:textId="77777777" w:rsidR="00A2416E" w:rsidRDefault="00534832">
      <w:pPr>
        <w:pStyle w:val="Liststycke"/>
        <w:numPr>
          <w:ilvl w:val="0"/>
          <w:numId w:val="3"/>
        </w:numPr>
        <w:tabs>
          <w:tab w:val="left" w:pos="316"/>
        </w:tabs>
        <w:spacing w:before="96"/>
        <w:rPr>
          <w:sz w:val="19"/>
        </w:rPr>
      </w:pPr>
      <w:r>
        <w:rPr>
          <w:sz w:val="19"/>
        </w:rPr>
        <w:t>de producten waarvan de componenten onderdeel uitmaken;</w:t>
      </w:r>
    </w:p>
    <w:p w14:paraId="28EE6BB7" w14:textId="77777777" w:rsidR="00A2416E" w:rsidRDefault="00534832">
      <w:pPr>
        <w:pStyle w:val="Liststycke"/>
        <w:numPr>
          <w:ilvl w:val="0"/>
          <w:numId w:val="3"/>
        </w:numPr>
        <w:tabs>
          <w:tab w:val="left" w:pos="316"/>
        </w:tabs>
        <w:rPr>
          <w:sz w:val="19"/>
        </w:rPr>
      </w:pPr>
      <w:r>
        <w:rPr>
          <w:sz w:val="19"/>
        </w:rPr>
        <w:t>soorten fossiele componenten uitgesplitst naar grondstofbron en het proces overeenkomstig bijlage 1;</w:t>
      </w:r>
    </w:p>
    <w:p w14:paraId="5DA70FE3" w14:textId="77777777" w:rsidR="00A2416E" w:rsidRDefault="00534832">
      <w:pPr>
        <w:pStyle w:val="Liststycke"/>
        <w:numPr>
          <w:ilvl w:val="0"/>
          <w:numId w:val="3"/>
        </w:numPr>
        <w:tabs>
          <w:tab w:val="left" w:pos="316"/>
        </w:tabs>
        <w:rPr>
          <w:sz w:val="19"/>
        </w:rPr>
      </w:pPr>
      <w:r>
        <w:rPr>
          <w:sz w:val="19"/>
        </w:rPr>
        <w:t>hoeveelheid;</w:t>
      </w:r>
    </w:p>
    <w:p w14:paraId="6D197172" w14:textId="77777777" w:rsidR="00A2416E" w:rsidRDefault="00534832">
      <w:pPr>
        <w:pStyle w:val="Liststycke"/>
        <w:numPr>
          <w:ilvl w:val="0"/>
          <w:numId w:val="3"/>
        </w:numPr>
        <w:tabs>
          <w:tab w:val="left" w:pos="316"/>
        </w:tabs>
        <w:rPr>
          <w:sz w:val="19"/>
        </w:rPr>
      </w:pPr>
      <w:r>
        <w:rPr>
          <w:sz w:val="19"/>
        </w:rPr>
        <w:t>netto calorische waarde; en</w:t>
      </w:r>
    </w:p>
    <w:p w14:paraId="04221788" w14:textId="77777777" w:rsidR="00A2416E" w:rsidRDefault="00534832">
      <w:pPr>
        <w:pStyle w:val="Liststycke"/>
        <w:numPr>
          <w:ilvl w:val="0"/>
          <w:numId w:val="3"/>
        </w:numPr>
        <w:tabs>
          <w:tab w:val="left" w:pos="316"/>
        </w:tabs>
        <w:spacing w:before="69"/>
        <w:rPr>
          <w:sz w:val="19"/>
        </w:rPr>
      </w:pPr>
      <w:r>
        <w:rPr>
          <w:sz w:val="19"/>
        </w:rPr>
        <w:t>land van herkomst van de grondstof.</w:t>
      </w:r>
    </w:p>
    <w:p w14:paraId="2AED6C49" w14:textId="77777777" w:rsidR="00A2416E" w:rsidRDefault="00A2416E">
      <w:pPr>
        <w:pStyle w:val="Brdtext"/>
        <w:spacing w:before="5"/>
        <w:rPr>
          <w:sz w:val="22"/>
        </w:rPr>
      </w:pPr>
    </w:p>
    <w:p w14:paraId="716008FA" w14:textId="77777777" w:rsidR="00A2416E" w:rsidRDefault="00534832">
      <w:pPr>
        <w:pStyle w:val="Liststycke"/>
        <w:numPr>
          <w:ilvl w:val="0"/>
          <w:numId w:val="5"/>
        </w:numPr>
        <w:tabs>
          <w:tab w:val="left" w:pos="265"/>
        </w:tabs>
        <w:spacing w:before="0" w:line="273" w:lineRule="auto"/>
        <w:ind w:right="438" w:firstLine="0"/>
        <w:rPr>
          <w:sz w:val="19"/>
        </w:rPr>
      </w:pPr>
      <w:r>
        <w:rPr>
          <w:b/>
          <w:sz w:val="19"/>
        </w:rPr>
        <w:t>§</w:t>
      </w:r>
      <w:r>
        <w:rPr>
          <w:sz w:val="19"/>
        </w:rPr>
        <w:t xml:space="preserve"> In het emissieverslag worden alle biocomponenten vermeld die deel uitmaken van de geleverde brandstofproducten overeenkomstig § 4, met informatie over:</w:t>
      </w:r>
    </w:p>
    <w:p w14:paraId="0C456492" w14:textId="77777777" w:rsidR="00A2416E" w:rsidRDefault="00534832">
      <w:pPr>
        <w:pStyle w:val="Liststycke"/>
        <w:numPr>
          <w:ilvl w:val="0"/>
          <w:numId w:val="2"/>
        </w:numPr>
        <w:tabs>
          <w:tab w:val="left" w:pos="316"/>
        </w:tabs>
        <w:spacing w:before="67"/>
        <w:rPr>
          <w:sz w:val="19"/>
        </w:rPr>
      </w:pPr>
      <w:r>
        <w:rPr>
          <w:sz w:val="19"/>
        </w:rPr>
        <w:t>de producten waarvan de biocomponenten onderdeel uitmaken;</w:t>
      </w:r>
    </w:p>
    <w:p w14:paraId="5D2FF15B" w14:textId="77777777" w:rsidR="00A2416E" w:rsidRDefault="00534832">
      <w:pPr>
        <w:pStyle w:val="Liststycke"/>
        <w:numPr>
          <w:ilvl w:val="0"/>
          <w:numId w:val="2"/>
        </w:numPr>
        <w:tabs>
          <w:tab w:val="left" w:pos="316"/>
        </w:tabs>
        <w:rPr>
          <w:sz w:val="19"/>
        </w:rPr>
      </w:pPr>
      <w:r>
        <w:rPr>
          <w:sz w:val="19"/>
        </w:rPr>
        <w:t>het soort biocomponent;</w:t>
      </w:r>
    </w:p>
    <w:p w14:paraId="134B125E" w14:textId="77777777" w:rsidR="00A2416E" w:rsidRDefault="00534832">
      <w:pPr>
        <w:pStyle w:val="Liststycke"/>
        <w:numPr>
          <w:ilvl w:val="0"/>
          <w:numId w:val="2"/>
        </w:numPr>
        <w:tabs>
          <w:tab w:val="left" w:pos="316"/>
        </w:tabs>
        <w:rPr>
          <w:sz w:val="19"/>
        </w:rPr>
      </w:pPr>
      <w:r>
        <w:rPr>
          <w:sz w:val="19"/>
        </w:rPr>
        <w:t>hoeveelheid;</w:t>
      </w:r>
    </w:p>
    <w:p w14:paraId="420C5F9D" w14:textId="77777777" w:rsidR="00A2416E" w:rsidRDefault="00534832">
      <w:pPr>
        <w:pStyle w:val="Liststycke"/>
        <w:numPr>
          <w:ilvl w:val="0"/>
          <w:numId w:val="2"/>
        </w:numPr>
        <w:tabs>
          <w:tab w:val="left" w:pos="316"/>
        </w:tabs>
        <w:rPr>
          <w:sz w:val="19"/>
        </w:rPr>
      </w:pPr>
      <w:r>
        <w:rPr>
          <w:sz w:val="19"/>
        </w:rPr>
        <w:t>netto calorische waarde</w:t>
      </w:r>
    </w:p>
    <w:p w14:paraId="6FBCDE1A" w14:textId="77777777" w:rsidR="00A2416E" w:rsidRDefault="00534832">
      <w:pPr>
        <w:pStyle w:val="Liststycke"/>
        <w:numPr>
          <w:ilvl w:val="0"/>
          <w:numId w:val="2"/>
        </w:numPr>
        <w:tabs>
          <w:tab w:val="left" w:pos="316"/>
        </w:tabs>
        <w:spacing w:before="69"/>
        <w:rPr>
          <w:sz w:val="19"/>
        </w:rPr>
      </w:pPr>
      <w:r>
        <w:rPr>
          <w:sz w:val="19"/>
        </w:rPr>
        <w:t>grondstoffen;</w:t>
      </w:r>
    </w:p>
    <w:p w14:paraId="3BA18401" w14:textId="77777777" w:rsidR="00A2416E" w:rsidRDefault="00534832">
      <w:pPr>
        <w:pStyle w:val="Liststycke"/>
        <w:numPr>
          <w:ilvl w:val="0"/>
          <w:numId w:val="2"/>
        </w:numPr>
        <w:tabs>
          <w:tab w:val="left" w:pos="316"/>
        </w:tabs>
        <w:rPr>
          <w:sz w:val="19"/>
        </w:rPr>
      </w:pPr>
      <w:r>
        <w:rPr>
          <w:sz w:val="19"/>
        </w:rPr>
        <w:t>land van herkomst van de grondstof;</w:t>
      </w:r>
    </w:p>
    <w:p w14:paraId="3E51FE3E" w14:textId="77777777" w:rsidR="00A2416E" w:rsidRDefault="00534832">
      <w:pPr>
        <w:pStyle w:val="Liststycke"/>
        <w:numPr>
          <w:ilvl w:val="0"/>
          <w:numId w:val="2"/>
        </w:numPr>
        <w:tabs>
          <w:tab w:val="left" w:pos="316"/>
        </w:tabs>
        <w:spacing w:line="252" w:lineRule="auto"/>
        <w:ind w:right="438"/>
        <w:jc w:val="both"/>
        <w:rPr>
          <w:sz w:val="19"/>
        </w:rPr>
      </w:pPr>
      <w:r>
        <w:rPr>
          <w:sz w:val="19"/>
        </w:rPr>
        <w:t>of de biocomponenten voldoen aan de duurzaamheidscriteria die zijn vastgelegd in de wet (2010:598) betreffende duurzaamheidscriteria voor biobrandstoffen en vloeibare biomassa; en</w:t>
      </w:r>
    </w:p>
    <w:p w14:paraId="6A936F3B" w14:textId="77777777" w:rsidR="00A2416E" w:rsidRDefault="00534832">
      <w:pPr>
        <w:pStyle w:val="Liststycke"/>
        <w:numPr>
          <w:ilvl w:val="0"/>
          <w:numId w:val="2"/>
        </w:numPr>
        <w:tabs>
          <w:tab w:val="left" w:pos="316"/>
        </w:tabs>
        <w:spacing w:before="58"/>
        <w:jc w:val="both"/>
        <w:rPr>
          <w:sz w:val="19"/>
        </w:rPr>
      </w:pPr>
      <w:r>
        <w:rPr>
          <w:sz w:val="19"/>
        </w:rPr>
        <w:t>of de biocomponenten worden gebruikt in brandstof voor de luchtvaart.</w:t>
      </w:r>
    </w:p>
    <w:p w14:paraId="351F1B0D" w14:textId="77777777" w:rsidR="00A2416E" w:rsidRDefault="00A2416E">
      <w:pPr>
        <w:pStyle w:val="Brdtext"/>
        <w:spacing w:before="6"/>
        <w:rPr>
          <w:sz w:val="22"/>
        </w:rPr>
      </w:pPr>
    </w:p>
    <w:p w14:paraId="055D9BCA" w14:textId="77777777" w:rsidR="00A2416E" w:rsidRDefault="00534832">
      <w:pPr>
        <w:pStyle w:val="Liststycke"/>
        <w:numPr>
          <w:ilvl w:val="0"/>
          <w:numId w:val="5"/>
        </w:numPr>
        <w:tabs>
          <w:tab w:val="left" w:pos="269"/>
        </w:tabs>
        <w:spacing w:before="0" w:line="273" w:lineRule="auto"/>
        <w:ind w:right="438" w:firstLine="0"/>
        <w:jc w:val="both"/>
        <w:rPr>
          <w:sz w:val="19"/>
        </w:rPr>
      </w:pPr>
      <w:r>
        <w:rPr>
          <w:b/>
          <w:sz w:val="19"/>
        </w:rPr>
        <w:t>§</w:t>
      </w:r>
      <w:r>
        <w:rPr>
          <w:sz w:val="19"/>
        </w:rPr>
        <w:t xml:space="preserve"> Als het land van herkomst buiten de Europese Unie of de EER ligt, maar er is geen informatie over welk land het land van herkomst is, kan het emissierapport aangeven dat er geen informatie is over het land van herkomst.</w:t>
      </w:r>
    </w:p>
    <w:p w14:paraId="732E5498" w14:textId="77777777" w:rsidR="00A2416E" w:rsidRDefault="00A2416E">
      <w:pPr>
        <w:spacing w:line="273" w:lineRule="auto"/>
        <w:jc w:val="both"/>
        <w:rPr>
          <w:sz w:val="19"/>
        </w:rPr>
        <w:sectPr w:rsidR="00A2416E">
          <w:pgSz w:w="9360" w:h="13720"/>
          <w:pgMar w:top="940" w:right="580" w:bottom="280" w:left="620" w:header="720" w:footer="720" w:gutter="0"/>
          <w:cols w:num="2" w:space="720" w:equalWidth="0">
            <w:col w:w="997" w:space="703"/>
            <w:col w:w="6460"/>
          </w:cols>
        </w:sectPr>
      </w:pPr>
    </w:p>
    <w:p w14:paraId="53703E9C" w14:textId="77777777" w:rsidR="00A2416E" w:rsidRDefault="00A2416E">
      <w:pPr>
        <w:pStyle w:val="Brdtext"/>
        <w:rPr>
          <w:sz w:val="20"/>
        </w:rPr>
      </w:pPr>
    </w:p>
    <w:p w14:paraId="141EB606" w14:textId="77777777" w:rsidR="00A2416E" w:rsidRDefault="00A2416E">
      <w:pPr>
        <w:pStyle w:val="Brdtext"/>
        <w:rPr>
          <w:sz w:val="20"/>
        </w:rPr>
      </w:pPr>
    </w:p>
    <w:p w14:paraId="7939C55D" w14:textId="77777777" w:rsidR="00A2416E" w:rsidRDefault="00A2416E">
      <w:pPr>
        <w:pStyle w:val="Brdtext"/>
        <w:rPr>
          <w:sz w:val="20"/>
        </w:rPr>
      </w:pPr>
    </w:p>
    <w:p w14:paraId="3855820A" w14:textId="77777777" w:rsidR="00A2416E" w:rsidRDefault="00A2416E">
      <w:pPr>
        <w:pStyle w:val="Brdtext"/>
        <w:rPr>
          <w:sz w:val="20"/>
        </w:rPr>
      </w:pPr>
    </w:p>
    <w:p w14:paraId="436A79D9" w14:textId="77777777" w:rsidR="00A2416E" w:rsidRDefault="00A2416E">
      <w:pPr>
        <w:pStyle w:val="Brdtext"/>
        <w:rPr>
          <w:sz w:val="20"/>
        </w:rPr>
      </w:pPr>
    </w:p>
    <w:p w14:paraId="3B407F9E" w14:textId="77777777" w:rsidR="00A2416E" w:rsidRDefault="00A2416E">
      <w:pPr>
        <w:pStyle w:val="Brdtext"/>
        <w:spacing w:before="8"/>
        <w:rPr>
          <w:sz w:val="26"/>
        </w:rPr>
      </w:pPr>
    </w:p>
    <w:p w14:paraId="346CAB4A" w14:textId="77777777" w:rsidR="00A2416E" w:rsidRDefault="00534832">
      <w:pPr>
        <w:pStyle w:val="Rubrik3"/>
        <w:spacing w:before="111"/>
      </w:pPr>
      <w:r>
        <w:t>2</w:t>
      </w:r>
    </w:p>
    <w:p w14:paraId="47F3F605" w14:textId="77777777" w:rsidR="00A2416E" w:rsidRDefault="00A2416E">
      <w:pPr>
        <w:sectPr w:rsidR="00A2416E">
          <w:type w:val="continuous"/>
          <w:pgSz w:w="9360" w:h="13720"/>
          <w:pgMar w:top="900" w:right="580" w:bottom="280" w:left="620" w:header="720" w:footer="720" w:gutter="0"/>
          <w:cols w:space="720"/>
        </w:sectPr>
      </w:pPr>
    </w:p>
    <w:p w14:paraId="75320A3C" w14:textId="77777777" w:rsidR="00A2416E" w:rsidRDefault="00534832">
      <w:pPr>
        <w:spacing w:before="63"/>
        <w:ind w:left="400"/>
        <w:jc w:val="both"/>
        <w:rPr>
          <w:b/>
          <w:sz w:val="21"/>
        </w:rPr>
      </w:pPr>
      <w:bookmarkStart w:id="2" w:name="Beräkning_av_växthusgasintensitet"/>
      <w:bookmarkEnd w:id="2"/>
      <w:r>
        <w:rPr>
          <w:b/>
          <w:sz w:val="21"/>
        </w:rPr>
        <w:lastRenderedPageBreak/>
        <w:t>Berekening van de broeikasgasintensiteit</w:t>
      </w:r>
    </w:p>
    <w:p w14:paraId="1BBF99A2" w14:textId="77777777" w:rsidR="00A2416E" w:rsidRDefault="00534832">
      <w:pPr>
        <w:pStyle w:val="Brdtext"/>
        <w:spacing w:before="141" w:line="273" w:lineRule="auto"/>
        <w:ind w:left="400" w:right="238"/>
        <w:jc w:val="both"/>
      </w:pPr>
      <w:r>
        <w:rPr>
          <w:b/>
        </w:rPr>
        <w:t xml:space="preserve">§ 12 </w:t>
      </w:r>
      <w:r>
        <w:t>Bij de berekening van de vermindering van de broeikasgasemissies door een brandstofleverancier voor het doel dat is vermeld in § 21 van de Brandstofwet (2011:319) wordt de berekening van de broeikasgasintensiteit uitgevoerd volgens de volgende formule:</w:t>
      </w:r>
    </w:p>
    <w:p w14:paraId="20759CD1" w14:textId="77777777" w:rsidR="00A2416E" w:rsidRDefault="00534832">
      <w:pPr>
        <w:pStyle w:val="Brdtext"/>
        <w:spacing w:before="86" w:line="213" w:lineRule="exact"/>
        <w:ind w:left="2367" w:right="1884"/>
        <w:jc w:val="center"/>
      </w:pPr>
      <w:r>
        <w:rPr>
          <w:color w:val="010102"/>
        </w:rPr>
        <w:t xml:space="preserve">∑ </w:t>
      </w:r>
      <w:r>
        <w:rPr>
          <w:color w:val="010102"/>
          <w:vertAlign w:val="subscript"/>
        </w:rPr>
        <w:t>x</w:t>
      </w:r>
      <w:r>
        <w:rPr>
          <w:color w:val="010102"/>
        </w:rPr>
        <w:t xml:space="preserve"> (GHGi</w:t>
      </w:r>
      <w:r>
        <w:rPr>
          <w:color w:val="010102"/>
          <w:vertAlign w:val="subscript"/>
        </w:rPr>
        <w:t>x</w:t>
      </w:r>
      <w:r>
        <w:rPr>
          <w:color w:val="010102"/>
        </w:rPr>
        <w:t>×AF×MJ</w:t>
      </w:r>
      <w:r>
        <w:rPr>
          <w:color w:val="010102"/>
          <w:vertAlign w:val="subscript"/>
        </w:rPr>
        <w:t>x</w:t>
      </w:r>
      <w:r>
        <w:rPr>
          <w:color w:val="010102"/>
        </w:rPr>
        <w:t>) – UER</w:t>
      </w:r>
    </w:p>
    <w:p w14:paraId="5B0DC3E8" w14:textId="77777777" w:rsidR="00A2416E" w:rsidRDefault="00534832">
      <w:pPr>
        <w:pStyle w:val="Brdtext"/>
        <w:spacing w:line="191" w:lineRule="exact"/>
        <w:ind w:left="400"/>
        <w:jc w:val="both"/>
      </w:pPr>
      <w:r>
        <w:rPr>
          <w:color w:val="010102"/>
        </w:rPr>
        <w:t>Broeikasgasintensiteit</w:t>
      </w:r>
      <w:r>
        <w:rPr>
          <w:color w:val="010102"/>
          <w:vertAlign w:val="subscript"/>
        </w:rPr>
        <w:t>#</w:t>
      </w:r>
      <w:r>
        <w:rPr>
          <w:color w:val="010102"/>
        </w:rPr>
        <w:t xml:space="preserve"> = ––––––––––––––––––––––––</w:t>
      </w:r>
    </w:p>
    <w:p w14:paraId="3A218E26" w14:textId="77777777" w:rsidR="00A2416E" w:rsidRDefault="00534832">
      <w:pPr>
        <w:pStyle w:val="Brdtext"/>
        <w:spacing w:line="217" w:lineRule="exact"/>
        <w:ind w:left="2118" w:right="1884"/>
        <w:jc w:val="center"/>
      </w:pPr>
      <w:r>
        <w:rPr>
          <w:color w:val="010102"/>
        </w:rPr>
        <w:t xml:space="preserve">∑ </w:t>
      </w:r>
      <w:r>
        <w:rPr>
          <w:color w:val="010102"/>
          <w:vertAlign w:val="subscript"/>
        </w:rPr>
        <w:t>x</w:t>
      </w:r>
      <w:r>
        <w:rPr>
          <w:color w:val="010102"/>
        </w:rPr>
        <w:t xml:space="preserve"> MJ</w:t>
      </w:r>
      <w:r>
        <w:rPr>
          <w:color w:val="010102"/>
          <w:vertAlign w:val="subscript"/>
        </w:rPr>
        <w:t>x</w:t>
      </w:r>
    </w:p>
    <w:p w14:paraId="34570CBD" w14:textId="77777777" w:rsidR="00A2416E" w:rsidRDefault="00A2416E">
      <w:pPr>
        <w:pStyle w:val="Brdtext"/>
        <w:spacing w:before="4"/>
        <w:rPr>
          <w:sz w:val="15"/>
        </w:rPr>
      </w:pPr>
    </w:p>
    <w:tbl>
      <w:tblPr>
        <w:tblStyle w:val="TableNormal1"/>
        <w:tblW w:w="0" w:type="auto"/>
        <w:tblInd w:w="207" w:type="dxa"/>
        <w:tblLayout w:type="fixed"/>
        <w:tblLook w:val="01E0" w:firstRow="1" w:lastRow="1" w:firstColumn="1" w:lastColumn="1" w:noHBand="0" w:noVBand="0"/>
      </w:tblPr>
      <w:tblGrid>
        <w:gridCol w:w="800"/>
        <w:gridCol w:w="5497"/>
      </w:tblGrid>
      <w:tr w:rsidR="00A2416E" w14:paraId="4CFD6340" w14:textId="77777777">
        <w:trPr>
          <w:trHeight w:val="251"/>
        </w:trPr>
        <w:tc>
          <w:tcPr>
            <w:tcW w:w="800" w:type="dxa"/>
          </w:tcPr>
          <w:p w14:paraId="0A908CB3" w14:textId="42F6DAA7" w:rsidR="00A2416E" w:rsidRDefault="00534832">
            <w:pPr>
              <w:pStyle w:val="TableParagraph"/>
              <w:spacing w:before="0" w:line="210" w:lineRule="exact"/>
              <w:ind w:left="200"/>
              <w:rPr>
                <w:sz w:val="19"/>
              </w:rPr>
            </w:pPr>
            <w:r>
              <w:rPr>
                <w:sz w:val="19"/>
              </w:rPr>
              <w:t>#</w:t>
            </w:r>
            <w:r>
              <w:rPr>
                <w:sz w:val="19"/>
              </w:rPr>
              <w:tab/>
            </w:r>
          </w:p>
        </w:tc>
        <w:tc>
          <w:tcPr>
            <w:tcW w:w="5497" w:type="dxa"/>
          </w:tcPr>
          <w:p w14:paraId="667260ED" w14:textId="132F15BB" w:rsidR="00A2416E" w:rsidRDefault="00B32B66">
            <w:pPr>
              <w:pStyle w:val="TableParagraph"/>
              <w:spacing w:before="0" w:line="210" w:lineRule="exact"/>
              <w:ind w:left="85"/>
              <w:rPr>
                <w:sz w:val="19"/>
              </w:rPr>
            </w:pPr>
            <w:r>
              <w:rPr>
                <w:sz w:val="19"/>
              </w:rPr>
              <w:t>identificatie van de leverancier</w:t>
            </w:r>
          </w:p>
        </w:tc>
      </w:tr>
      <w:tr w:rsidR="00A2416E" w14:paraId="66C6F643" w14:textId="77777777">
        <w:trPr>
          <w:trHeight w:val="291"/>
        </w:trPr>
        <w:tc>
          <w:tcPr>
            <w:tcW w:w="800" w:type="dxa"/>
          </w:tcPr>
          <w:p w14:paraId="2FD57175" w14:textId="77777777" w:rsidR="00A2416E" w:rsidRDefault="00534832">
            <w:pPr>
              <w:pStyle w:val="TableParagraph"/>
              <w:spacing w:before="32"/>
              <w:ind w:left="200"/>
              <w:rPr>
                <w:i/>
                <w:sz w:val="19"/>
              </w:rPr>
            </w:pPr>
            <w:r>
              <w:rPr>
                <w:i/>
                <w:sz w:val="19"/>
              </w:rPr>
              <w:t>x</w:t>
            </w:r>
          </w:p>
        </w:tc>
        <w:tc>
          <w:tcPr>
            <w:tcW w:w="5497" w:type="dxa"/>
          </w:tcPr>
          <w:p w14:paraId="2A6E5BDD" w14:textId="77777777" w:rsidR="00A2416E" w:rsidRDefault="00534832">
            <w:pPr>
              <w:pStyle w:val="TableParagraph"/>
              <w:spacing w:before="32"/>
              <w:ind w:left="85"/>
              <w:rPr>
                <w:sz w:val="19"/>
              </w:rPr>
            </w:pPr>
            <w:r>
              <w:rPr>
                <w:sz w:val="19"/>
              </w:rPr>
              <w:t>brandstof die is geleverd en die moet worden gerapporteerd</w:t>
            </w:r>
          </w:p>
        </w:tc>
      </w:tr>
      <w:tr w:rsidR="00A2416E" w14:paraId="4EEEE19A" w14:textId="77777777">
        <w:trPr>
          <w:trHeight w:val="751"/>
        </w:trPr>
        <w:tc>
          <w:tcPr>
            <w:tcW w:w="800" w:type="dxa"/>
          </w:tcPr>
          <w:p w14:paraId="79E26564" w14:textId="77777777" w:rsidR="00A2416E" w:rsidRDefault="00534832">
            <w:pPr>
              <w:pStyle w:val="TableParagraph"/>
              <w:spacing w:before="32"/>
              <w:ind w:left="200"/>
              <w:rPr>
                <w:i/>
                <w:sz w:val="11"/>
              </w:rPr>
            </w:pPr>
            <w:r>
              <w:rPr>
                <w:i/>
                <w:sz w:val="19"/>
              </w:rPr>
              <w:t>GHGi</w:t>
            </w:r>
            <w:r>
              <w:rPr>
                <w:i/>
                <w:sz w:val="11"/>
              </w:rPr>
              <w:t>x</w:t>
            </w:r>
          </w:p>
        </w:tc>
        <w:tc>
          <w:tcPr>
            <w:tcW w:w="5497" w:type="dxa"/>
          </w:tcPr>
          <w:p w14:paraId="7D58B399" w14:textId="77777777" w:rsidR="00A2416E" w:rsidRDefault="00534832">
            <w:pPr>
              <w:pStyle w:val="TableParagraph"/>
              <w:spacing w:before="38" w:line="230" w:lineRule="auto"/>
              <w:ind w:left="85" w:right="198"/>
              <w:jc w:val="both"/>
              <w:rPr>
                <w:sz w:val="19"/>
              </w:rPr>
            </w:pPr>
            <w:r>
              <w:rPr>
                <w:sz w:val="19"/>
              </w:rPr>
              <w:t>is de som van de broeikasgasemissies, uitgedrukt in g CO</w:t>
            </w:r>
            <w:r>
              <w:rPr>
                <w:sz w:val="11"/>
              </w:rPr>
              <w:t>2</w:t>
            </w:r>
            <w:r>
              <w:rPr>
                <w:sz w:val="19"/>
              </w:rPr>
              <w:t>eq/MJ van alle biocomponenten en fossiele componenten die deel uitmaken van de geleverde brandstof</w:t>
            </w:r>
          </w:p>
        </w:tc>
      </w:tr>
      <w:tr w:rsidR="00A2416E" w14:paraId="5FB64182" w14:textId="77777777">
        <w:trPr>
          <w:trHeight w:val="521"/>
        </w:trPr>
        <w:tc>
          <w:tcPr>
            <w:tcW w:w="800" w:type="dxa"/>
          </w:tcPr>
          <w:p w14:paraId="3D51B5E0" w14:textId="77777777" w:rsidR="00A2416E" w:rsidRDefault="00534832">
            <w:pPr>
              <w:pStyle w:val="TableParagraph"/>
              <w:spacing w:before="32"/>
              <w:ind w:left="200"/>
              <w:rPr>
                <w:i/>
                <w:sz w:val="11"/>
              </w:rPr>
            </w:pPr>
            <w:r>
              <w:rPr>
                <w:i/>
                <w:sz w:val="19"/>
              </w:rPr>
              <w:t>MJ</w:t>
            </w:r>
            <w:r>
              <w:rPr>
                <w:i/>
                <w:sz w:val="11"/>
              </w:rPr>
              <w:t>x</w:t>
            </w:r>
          </w:p>
        </w:tc>
        <w:tc>
          <w:tcPr>
            <w:tcW w:w="5497" w:type="dxa"/>
          </w:tcPr>
          <w:p w14:paraId="02BB1F8E" w14:textId="77777777" w:rsidR="00A2416E" w:rsidRDefault="00534832">
            <w:pPr>
              <w:pStyle w:val="TableParagraph"/>
              <w:spacing w:before="32" w:line="252" w:lineRule="auto"/>
              <w:ind w:left="85" w:right="170"/>
              <w:rPr>
                <w:sz w:val="19"/>
              </w:rPr>
            </w:pPr>
            <w:r>
              <w:rPr>
                <w:sz w:val="19"/>
              </w:rPr>
              <w:t>energie waaruit de fossiele componenten en de biocomponenten die deel uitmaken van de geleverde brandstof bestaan, uitgedrukt in megajoule</w:t>
            </w:r>
          </w:p>
        </w:tc>
      </w:tr>
      <w:tr w:rsidR="00A2416E" w14:paraId="5072D8FC" w14:textId="77777777">
        <w:trPr>
          <w:trHeight w:val="521"/>
        </w:trPr>
        <w:tc>
          <w:tcPr>
            <w:tcW w:w="800" w:type="dxa"/>
          </w:tcPr>
          <w:p w14:paraId="6DFBF789" w14:textId="77777777" w:rsidR="00A2416E" w:rsidRDefault="00534832">
            <w:pPr>
              <w:pStyle w:val="TableParagraph"/>
              <w:spacing w:before="32"/>
              <w:ind w:left="200"/>
              <w:rPr>
                <w:i/>
                <w:sz w:val="19"/>
              </w:rPr>
            </w:pPr>
            <w:r>
              <w:rPr>
                <w:i/>
                <w:sz w:val="19"/>
              </w:rPr>
              <w:t>AF</w:t>
            </w:r>
          </w:p>
        </w:tc>
        <w:tc>
          <w:tcPr>
            <w:tcW w:w="5497" w:type="dxa"/>
          </w:tcPr>
          <w:p w14:paraId="76543568" w14:textId="77777777" w:rsidR="00A2416E" w:rsidRDefault="00534832">
            <w:pPr>
              <w:pStyle w:val="TableParagraph"/>
              <w:spacing w:before="32"/>
              <w:ind w:left="85"/>
              <w:rPr>
                <w:sz w:val="19"/>
              </w:rPr>
            </w:pPr>
            <w:r>
              <w:rPr>
                <w:sz w:val="19"/>
              </w:rPr>
              <w:t>correctiefactoren voor de efficiëntie van het aandrijfsysteem volgens de tabel</w:t>
            </w:r>
          </w:p>
          <w:p w14:paraId="1791D3B1" w14:textId="77777777" w:rsidR="00A2416E" w:rsidRDefault="00534832">
            <w:pPr>
              <w:pStyle w:val="TableParagraph"/>
              <w:spacing w:before="12"/>
              <w:ind w:left="85"/>
              <w:rPr>
                <w:sz w:val="19"/>
              </w:rPr>
            </w:pPr>
            <w:r>
              <w:rPr>
                <w:sz w:val="19"/>
              </w:rPr>
              <w:t>hieronder</w:t>
            </w:r>
          </w:p>
        </w:tc>
      </w:tr>
      <w:tr w:rsidR="00A2416E" w14:paraId="690B8266" w14:textId="77777777">
        <w:trPr>
          <w:trHeight w:val="297"/>
        </w:trPr>
        <w:tc>
          <w:tcPr>
            <w:tcW w:w="800" w:type="dxa"/>
          </w:tcPr>
          <w:p w14:paraId="60FB116A" w14:textId="77777777" w:rsidR="00A2416E" w:rsidRPr="00B32B66" w:rsidRDefault="00534832">
            <w:pPr>
              <w:pStyle w:val="TableParagraph"/>
              <w:spacing w:before="32"/>
              <w:ind w:left="200"/>
              <w:rPr>
                <w:spacing w:val="-3"/>
                <w:sz w:val="19"/>
                <w:lang w:val="sv-SE"/>
              </w:rPr>
            </w:pPr>
            <w:r w:rsidRPr="00B32B66">
              <w:rPr>
                <w:spacing w:val="-3"/>
                <w:sz w:val="19"/>
                <w:lang w:val="sv-SE"/>
              </w:rPr>
              <w:t>UER</w:t>
            </w:r>
          </w:p>
        </w:tc>
        <w:tc>
          <w:tcPr>
            <w:tcW w:w="5497" w:type="dxa"/>
          </w:tcPr>
          <w:p w14:paraId="1AD7EF7E" w14:textId="77777777" w:rsidR="00A2416E" w:rsidRPr="00B32B66" w:rsidRDefault="00534832">
            <w:pPr>
              <w:pStyle w:val="TableParagraph"/>
              <w:spacing w:before="32" w:line="245" w:lineRule="exact"/>
              <w:ind w:left="85"/>
              <w:rPr>
                <w:spacing w:val="-3"/>
                <w:sz w:val="19"/>
                <w:lang w:val="sv-SE"/>
              </w:rPr>
            </w:pPr>
            <w:r w:rsidRPr="00B32B66">
              <w:rPr>
                <w:spacing w:val="-3"/>
                <w:sz w:val="19"/>
                <w:lang w:val="sv-SE"/>
              </w:rPr>
              <w:t>Upstreamemissiereducties gemeten als g Co2eq</w:t>
            </w:r>
          </w:p>
        </w:tc>
      </w:tr>
    </w:tbl>
    <w:p w14:paraId="799663C9" w14:textId="77777777" w:rsidR="00A2416E" w:rsidRDefault="00534832">
      <w:pPr>
        <w:pStyle w:val="Brdtext"/>
        <w:spacing w:before="132"/>
        <w:ind w:left="400"/>
        <w:jc w:val="both"/>
      </w:pPr>
      <w:r>
        <w:t>De emissie wordt gecorrigeerd voor de effectiviteit van het aandrijfsysteem en emissie in eerdere fasen.</w:t>
      </w:r>
    </w:p>
    <w:p w14:paraId="197F02F8" w14:textId="77777777" w:rsidR="00A2416E" w:rsidRDefault="00A2416E">
      <w:pPr>
        <w:pStyle w:val="Brdtext"/>
        <w:rPr>
          <w:sz w:val="28"/>
        </w:rPr>
      </w:pPr>
    </w:p>
    <w:tbl>
      <w:tblPr>
        <w:tblStyle w:val="TableNormal1"/>
        <w:tblW w:w="0" w:type="auto"/>
        <w:tblInd w:w="407" w:type="dxa"/>
        <w:tblLayout w:type="fixed"/>
        <w:tblLook w:val="01E0" w:firstRow="1" w:lastRow="1" w:firstColumn="1" w:lastColumn="1" w:noHBand="0" w:noVBand="0"/>
      </w:tblPr>
      <w:tblGrid>
        <w:gridCol w:w="3368"/>
        <w:gridCol w:w="1656"/>
      </w:tblGrid>
      <w:tr w:rsidR="00A2416E" w14:paraId="28F08263" w14:textId="77777777">
        <w:trPr>
          <w:trHeight w:val="325"/>
        </w:trPr>
        <w:tc>
          <w:tcPr>
            <w:tcW w:w="3368" w:type="dxa"/>
            <w:tcBorders>
              <w:top w:val="single" w:sz="4" w:space="0" w:color="000000"/>
              <w:bottom w:val="single" w:sz="4" w:space="0" w:color="000000"/>
            </w:tcBorders>
          </w:tcPr>
          <w:p w14:paraId="38A19BC4" w14:textId="77777777" w:rsidR="00A2416E" w:rsidRDefault="00534832">
            <w:pPr>
              <w:pStyle w:val="TableParagraph"/>
              <w:spacing w:before="67"/>
              <w:ind w:left="0"/>
              <w:rPr>
                <w:b/>
                <w:sz w:val="16"/>
              </w:rPr>
            </w:pPr>
            <w:r>
              <w:rPr>
                <w:b/>
                <w:sz w:val="16"/>
              </w:rPr>
              <w:t>Voornaamste gebruiksomgeving</w:t>
            </w:r>
          </w:p>
        </w:tc>
        <w:tc>
          <w:tcPr>
            <w:tcW w:w="1656" w:type="dxa"/>
            <w:tcBorders>
              <w:top w:val="single" w:sz="4" w:space="0" w:color="000000"/>
              <w:bottom w:val="single" w:sz="4" w:space="0" w:color="000000"/>
            </w:tcBorders>
          </w:tcPr>
          <w:p w14:paraId="2AE18678" w14:textId="77777777" w:rsidR="00A2416E" w:rsidRDefault="00534832">
            <w:pPr>
              <w:pStyle w:val="TableParagraph"/>
              <w:spacing w:before="67"/>
              <w:ind w:left="237"/>
              <w:rPr>
                <w:b/>
                <w:sz w:val="16"/>
              </w:rPr>
            </w:pPr>
            <w:r>
              <w:rPr>
                <w:b/>
                <w:sz w:val="16"/>
              </w:rPr>
              <w:t>Effectiviteitsfactor</w:t>
            </w:r>
          </w:p>
        </w:tc>
      </w:tr>
      <w:tr w:rsidR="00A2416E" w14:paraId="63DF21ED" w14:textId="77777777">
        <w:trPr>
          <w:trHeight w:val="295"/>
        </w:trPr>
        <w:tc>
          <w:tcPr>
            <w:tcW w:w="3368" w:type="dxa"/>
            <w:tcBorders>
              <w:top w:val="single" w:sz="4" w:space="0" w:color="000000"/>
            </w:tcBorders>
          </w:tcPr>
          <w:p w14:paraId="2DC6CCCF" w14:textId="77777777" w:rsidR="00A2416E" w:rsidRDefault="00534832">
            <w:pPr>
              <w:pStyle w:val="TableParagraph"/>
              <w:spacing w:before="72"/>
              <w:ind w:left="0"/>
              <w:rPr>
                <w:sz w:val="17"/>
              </w:rPr>
            </w:pPr>
            <w:r>
              <w:rPr>
                <w:sz w:val="17"/>
              </w:rPr>
              <w:t>Verbrandingsmotor</w:t>
            </w:r>
          </w:p>
        </w:tc>
        <w:tc>
          <w:tcPr>
            <w:tcW w:w="1656" w:type="dxa"/>
            <w:tcBorders>
              <w:top w:val="single" w:sz="4" w:space="0" w:color="000000"/>
            </w:tcBorders>
          </w:tcPr>
          <w:p w14:paraId="3EABE78F" w14:textId="77777777" w:rsidR="00A2416E" w:rsidRDefault="00534832">
            <w:pPr>
              <w:pStyle w:val="TableParagraph"/>
              <w:spacing w:before="72"/>
              <w:ind w:left="237"/>
              <w:rPr>
                <w:sz w:val="17"/>
              </w:rPr>
            </w:pPr>
            <w:r>
              <w:rPr>
                <w:sz w:val="17"/>
              </w:rPr>
              <w:t>1</w:t>
            </w:r>
          </w:p>
        </w:tc>
      </w:tr>
      <w:tr w:rsidR="00A2416E" w14:paraId="17A28BEE" w14:textId="77777777">
        <w:trPr>
          <w:trHeight w:val="242"/>
        </w:trPr>
        <w:tc>
          <w:tcPr>
            <w:tcW w:w="3368" w:type="dxa"/>
          </w:tcPr>
          <w:p w14:paraId="02257E28" w14:textId="77777777" w:rsidR="00A2416E" w:rsidRDefault="00534832">
            <w:pPr>
              <w:pStyle w:val="TableParagraph"/>
              <w:spacing w:before="20"/>
              <w:ind w:left="0"/>
              <w:rPr>
                <w:sz w:val="17"/>
              </w:rPr>
            </w:pPr>
            <w:r>
              <w:rPr>
                <w:sz w:val="17"/>
              </w:rPr>
              <w:t>Accu-aangedreven elektrisch systeem</w:t>
            </w:r>
          </w:p>
        </w:tc>
        <w:tc>
          <w:tcPr>
            <w:tcW w:w="1656" w:type="dxa"/>
          </w:tcPr>
          <w:p w14:paraId="73657E13" w14:textId="77777777" w:rsidR="00A2416E" w:rsidRDefault="00534832">
            <w:pPr>
              <w:pStyle w:val="TableParagraph"/>
              <w:spacing w:before="20"/>
              <w:ind w:left="237"/>
              <w:rPr>
                <w:sz w:val="17"/>
              </w:rPr>
            </w:pPr>
            <w:r>
              <w:rPr>
                <w:sz w:val="17"/>
              </w:rPr>
              <w:t>0,4</w:t>
            </w:r>
          </w:p>
        </w:tc>
      </w:tr>
      <w:tr w:rsidR="00A2416E" w14:paraId="320937A7" w14:textId="77777777">
        <w:trPr>
          <w:trHeight w:val="287"/>
        </w:trPr>
        <w:tc>
          <w:tcPr>
            <w:tcW w:w="3368" w:type="dxa"/>
            <w:tcBorders>
              <w:bottom w:val="single" w:sz="4" w:space="0" w:color="000000"/>
            </w:tcBorders>
          </w:tcPr>
          <w:p w14:paraId="51DED897" w14:textId="77777777" w:rsidR="00A2416E" w:rsidRDefault="00534832">
            <w:pPr>
              <w:pStyle w:val="TableParagraph"/>
              <w:spacing w:before="20"/>
              <w:ind w:left="0"/>
              <w:rPr>
                <w:sz w:val="17"/>
              </w:rPr>
            </w:pPr>
            <w:r>
              <w:rPr>
                <w:sz w:val="17"/>
              </w:rPr>
              <w:t>Elektrisch aandrijfsysteem met waterstofcellen</w:t>
            </w:r>
          </w:p>
        </w:tc>
        <w:tc>
          <w:tcPr>
            <w:tcW w:w="1656" w:type="dxa"/>
            <w:tcBorders>
              <w:bottom w:val="single" w:sz="4" w:space="0" w:color="000000"/>
            </w:tcBorders>
          </w:tcPr>
          <w:p w14:paraId="6D27FC5C" w14:textId="77777777" w:rsidR="00A2416E" w:rsidRDefault="00534832">
            <w:pPr>
              <w:pStyle w:val="TableParagraph"/>
              <w:spacing w:before="20"/>
              <w:ind w:left="237"/>
              <w:rPr>
                <w:sz w:val="17"/>
              </w:rPr>
            </w:pPr>
            <w:r>
              <w:rPr>
                <w:sz w:val="17"/>
              </w:rPr>
              <w:t>0,4</w:t>
            </w:r>
          </w:p>
        </w:tc>
      </w:tr>
    </w:tbl>
    <w:p w14:paraId="26A8E09B" w14:textId="77777777" w:rsidR="00A2416E" w:rsidRDefault="00A2416E">
      <w:pPr>
        <w:pStyle w:val="Brdtext"/>
        <w:spacing w:before="10"/>
        <w:rPr>
          <w:sz w:val="28"/>
        </w:rPr>
      </w:pPr>
    </w:p>
    <w:p w14:paraId="37BD531B" w14:textId="77777777" w:rsidR="00A2416E" w:rsidRDefault="00534832">
      <w:pPr>
        <w:pStyle w:val="Brdtext"/>
        <w:spacing w:before="1" w:line="273" w:lineRule="auto"/>
        <w:ind w:left="400" w:right="238"/>
        <w:jc w:val="both"/>
      </w:pPr>
      <w:r>
        <w:rPr>
          <w:b/>
        </w:rPr>
        <w:t xml:space="preserve">§ 12a </w:t>
      </w:r>
      <w:r>
        <w:t>Ter onderbouwing van de milieu-informatie moet een brandstoffenleverancier de broeikasgasintensiteit voor verkochte producten berekenen overeenkomstig de volgende formule:</w:t>
      </w:r>
    </w:p>
    <w:p w14:paraId="752A0082" w14:textId="77777777" w:rsidR="00A2416E" w:rsidRDefault="00534832">
      <w:pPr>
        <w:pStyle w:val="Brdtext"/>
        <w:spacing w:before="177" w:line="170" w:lineRule="auto"/>
        <w:ind w:left="400" w:right="3425" w:firstLine="808"/>
      </w:pPr>
      <w:r>
        <w:rPr>
          <w:color w:val="010102"/>
        </w:rPr>
        <w:t xml:space="preserve">∑ </w:t>
      </w:r>
      <w:r>
        <w:rPr>
          <w:color w:val="010102"/>
          <w:sz w:val="12"/>
        </w:rPr>
        <w:t xml:space="preserve">x </w:t>
      </w:r>
      <w:r>
        <w:rPr>
          <w:color w:val="010102"/>
        </w:rPr>
        <w:t>(GHGi</w:t>
      </w:r>
      <w:r>
        <w:rPr>
          <w:color w:val="010102"/>
          <w:sz w:val="12"/>
        </w:rPr>
        <w:t xml:space="preserve">x </w:t>
      </w:r>
      <w:r>
        <w:rPr>
          <w:color w:val="010102"/>
        </w:rPr>
        <w:t>× MJ</w:t>
      </w:r>
      <w:r>
        <w:rPr>
          <w:color w:val="010102"/>
          <w:sz w:val="12"/>
        </w:rPr>
        <w:t>x</w:t>
      </w:r>
      <w:r>
        <w:rPr>
          <w:color w:val="010102"/>
        </w:rPr>
        <w:t>) GHGi</w:t>
      </w:r>
      <w:r>
        <w:rPr>
          <w:color w:val="010102"/>
          <w:sz w:val="11"/>
        </w:rPr>
        <w:t xml:space="preserve">a </w:t>
      </w:r>
      <w:r>
        <w:rPr>
          <w:color w:val="010102"/>
        </w:rPr>
        <w:t>= ––––––––––––––––</w:t>
      </w:r>
    </w:p>
    <w:p w14:paraId="676262ED" w14:textId="77777777" w:rsidR="00A2416E" w:rsidRDefault="00534832">
      <w:pPr>
        <w:spacing w:line="201" w:lineRule="auto"/>
        <w:ind w:left="1610"/>
        <w:rPr>
          <w:sz w:val="12"/>
        </w:rPr>
      </w:pPr>
      <w:r>
        <w:rPr>
          <w:color w:val="010102"/>
          <w:sz w:val="19"/>
        </w:rPr>
        <w:t xml:space="preserve">∑ </w:t>
      </w:r>
      <w:r>
        <w:rPr>
          <w:color w:val="010102"/>
          <w:sz w:val="12"/>
        </w:rPr>
        <w:t xml:space="preserve">x </w:t>
      </w:r>
      <w:r>
        <w:rPr>
          <w:color w:val="010102"/>
          <w:sz w:val="19"/>
        </w:rPr>
        <w:t>MJ</w:t>
      </w:r>
      <w:r>
        <w:rPr>
          <w:color w:val="010102"/>
          <w:sz w:val="12"/>
        </w:rPr>
        <w:t>x</w:t>
      </w:r>
    </w:p>
    <w:p w14:paraId="447A06EC" w14:textId="77777777" w:rsidR="00A2416E" w:rsidRDefault="00534832">
      <w:pPr>
        <w:pStyle w:val="Rubrik2"/>
        <w:spacing w:line="228" w:lineRule="auto"/>
        <w:ind w:left="200" w:right="134"/>
      </w:pPr>
      <w:r>
        <w:br w:type="column"/>
      </w:r>
      <w:r>
        <w:t>STEMFS 2021:2</w:t>
      </w:r>
    </w:p>
    <w:p w14:paraId="186869FF" w14:textId="77777777" w:rsidR="00A2416E" w:rsidRDefault="00A2416E">
      <w:pPr>
        <w:spacing w:line="228" w:lineRule="auto"/>
        <w:sectPr w:rsidR="00A2416E">
          <w:pgSz w:w="9360" w:h="13720"/>
          <w:pgMar w:top="940" w:right="580" w:bottom="280" w:left="620" w:header="720" w:footer="720" w:gutter="0"/>
          <w:cols w:num="2" w:space="720" w:equalWidth="0">
            <w:col w:w="6538" w:space="427"/>
            <w:col w:w="1195"/>
          </w:cols>
        </w:sectPr>
      </w:pPr>
    </w:p>
    <w:p w14:paraId="78B72271" w14:textId="77777777" w:rsidR="00A2416E" w:rsidRDefault="00534832">
      <w:pPr>
        <w:pStyle w:val="Brdtext"/>
        <w:spacing w:before="129" w:after="58"/>
        <w:ind w:left="400"/>
      </w:pPr>
      <w:r>
        <w:t>waarbij:</w:t>
      </w:r>
    </w:p>
    <w:tbl>
      <w:tblPr>
        <w:tblStyle w:val="TableNormal1"/>
        <w:tblW w:w="0" w:type="auto"/>
        <w:tblInd w:w="207" w:type="dxa"/>
        <w:tblLayout w:type="fixed"/>
        <w:tblLook w:val="01E0" w:firstRow="1" w:lastRow="1" w:firstColumn="1" w:lastColumn="1" w:noHBand="0" w:noVBand="0"/>
      </w:tblPr>
      <w:tblGrid>
        <w:gridCol w:w="777"/>
        <w:gridCol w:w="5495"/>
      </w:tblGrid>
      <w:tr w:rsidR="00A2416E" w14:paraId="595F037B" w14:textId="77777777">
        <w:trPr>
          <w:trHeight w:val="242"/>
        </w:trPr>
        <w:tc>
          <w:tcPr>
            <w:tcW w:w="777" w:type="dxa"/>
          </w:tcPr>
          <w:p w14:paraId="24B13BD8" w14:textId="77777777" w:rsidR="00A2416E" w:rsidRDefault="00534832">
            <w:pPr>
              <w:pStyle w:val="TableParagraph"/>
              <w:spacing w:before="0" w:line="211" w:lineRule="exact"/>
              <w:ind w:left="200"/>
              <w:rPr>
                <w:i/>
                <w:sz w:val="19"/>
              </w:rPr>
            </w:pPr>
            <w:r>
              <w:rPr>
                <w:i/>
                <w:sz w:val="19"/>
              </w:rPr>
              <w:t>a</w:t>
            </w:r>
          </w:p>
        </w:tc>
        <w:tc>
          <w:tcPr>
            <w:tcW w:w="5495" w:type="dxa"/>
          </w:tcPr>
          <w:p w14:paraId="3E518B6F" w14:textId="77777777" w:rsidR="00A2416E" w:rsidRDefault="00534832">
            <w:pPr>
              <w:pStyle w:val="TableParagraph"/>
              <w:spacing w:before="0" w:line="210" w:lineRule="exact"/>
              <w:ind w:left="57"/>
              <w:rPr>
                <w:sz w:val="19"/>
              </w:rPr>
            </w:pPr>
            <w:r>
              <w:rPr>
                <w:sz w:val="19"/>
              </w:rPr>
              <w:t>brandstofproducten die zijn geleverd en die moeten worden gerapporteerd</w:t>
            </w:r>
          </w:p>
        </w:tc>
      </w:tr>
      <w:tr w:rsidR="00A2416E" w14:paraId="32F5B9EE" w14:textId="77777777">
        <w:trPr>
          <w:trHeight w:val="273"/>
        </w:trPr>
        <w:tc>
          <w:tcPr>
            <w:tcW w:w="777" w:type="dxa"/>
          </w:tcPr>
          <w:p w14:paraId="2D155D93" w14:textId="77777777" w:rsidR="00A2416E" w:rsidRDefault="00534832">
            <w:pPr>
              <w:pStyle w:val="TableParagraph"/>
              <w:spacing w:before="23"/>
              <w:ind w:left="200"/>
              <w:rPr>
                <w:i/>
                <w:sz w:val="19"/>
              </w:rPr>
            </w:pPr>
            <w:r>
              <w:rPr>
                <w:i/>
                <w:sz w:val="19"/>
              </w:rPr>
              <w:t>x</w:t>
            </w:r>
          </w:p>
        </w:tc>
        <w:tc>
          <w:tcPr>
            <w:tcW w:w="5495" w:type="dxa"/>
          </w:tcPr>
          <w:p w14:paraId="27B3ACB7" w14:textId="77777777" w:rsidR="00A2416E" w:rsidRDefault="00534832">
            <w:pPr>
              <w:pStyle w:val="TableParagraph"/>
              <w:spacing w:before="23"/>
              <w:ind w:left="57"/>
              <w:rPr>
                <w:sz w:val="19"/>
              </w:rPr>
            </w:pPr>
            <w:r>
              <w:rPr>
                <w:sz w:val="19"/>
              </w:rPr>
              <w:t>componenten van het te rapporteren product</w:t>
            </w:r>
          </w:p>
        </w:tc>
      </w:tr>
      <w:tr w:rsidR="00A2416E" w14:paraId="64FD007D" w14:textId="77777777">
        <w:trPr>
          <w:trHeight w:val="526"/>
        </w:trPr>
        <w:tc>
          <w:tcPr>
            <w:tcW w:w="777" w:type="dxa"/>
          </w:tcPr>
          <w:p w14:paraId="17EAA3F3" w14:textId="77777777" w:rsidR="00A2416E" w:rsidRDefault="00534832">
            <w:pPr>
              <w:pStyle w:val="TableParagraph"/>
              <w:spacing w:before="23"/>
              <w:ind w:left="200"/>
              <w:rPr>
                <w:i/>
                <w:sz w:val="11"/>
              </w:rPr>
            </w:pPr>
            <w:r>
              <w:rPr>
                <w:i/>
                <w:sz w:val="19"/>
              </w:rPr>
              <w:t>GHGi</w:t>
            </w:r>
            <w:r>
              <w:rPr>
                <w:i/>
                <w:sz w:val="11"/>
              </w:rPr>
              <w:t>x</w:t>
            </w:r>
          </w:p>
        </w:tc>
        <w:tc>
          <w:tcPr>
            <w:tcW w:w="5495" w:type="dxa"/>
          </w:tcPr>
          <w:p w14:paraId="1FA05581" w14:textId="77777777" w:rsidR="00A2416E" w:rsidRDefault="00534832">
            <w:pPr>
              <w:pStyle w:val="TableParagraph"/>
              <w:spacing w:before="17" w:line="230" w:lineRule="exact"/>
              <w:ind w:left="57"/>
              <w:rPr>
                <w:sz w:val="19"/>
              </w:rPr>
            </w:pPr>
            <w:r>
              <w:rPr>
                <w:sz w:val="19"/>
              </w:rPr>
              <w:t>broeikasgasintensiteit voor de betreffende component waaruit het product a bestaat, uitgedrukt in g CO</w:t>
            </w:r>
            <w:r>
              <w:rPr>
                <w:sz w:val="11"/>
              </w:rPr>
              <w:t>2</w:t>
            </w:r>
            <w:r>
              <w:rPr>
                <w:sz w:val="19"/>
              </w:rPr>
              <w:t>eq/MJ</w:t>
            </w:r>
          </w:p>
        </w:tc>
      </w:tr>
      <w:tr w:rsidR="00A2416E" w14:paraId="473B90F4" w14:textId="77777777">
        <w:trPr>
          <w:trHeight w:val="480"/>
        </w:trPr>
        <w:tc>
          <w:tcPr>
            <w:tcW w:w="777" w:type="dxa"/>
          </w:tcPr>
          <w:p w14:paraId="5908B850" w14:textId="77777777" w:rsidR="00A2416E" w:rsidRDefault="00534832">
            <w:pPr>
              <w:pStyle w:val="TableParagraph"/>
              <w:spacing w:before="0"/>
              <w:ind w:left="200"/>
              <w:rPr>
                <w:i/>
                <w:sz w:val="11"/>
              </w:rPr>
            </w:pPr>
            <w:r>
              <w:rPr>
                <w:i/>
                <w:sz w:val="19"/>
              </w:rPr>
              <w:t>MJ</w:t>
            </w:r>
            <w:r>
              <w:rPr>
                <w:i/>
                <w:sz w:val="11"/>
              </w:rPr>
              <w:t>x</w:t>
            </w:r>
          </w:p>
        </w:tc>
        <w:tc>
          <w:tcPr>
            <w:tcW w:w="5495" w:type="dxa"/>
          </w:tcPr>
          <w:p w14:paraId="3E93CD66" w14:textId="77777777" w:rsidR="00A2416E" w:rsidRDefault="00534832">
            <w:pPr>
              <w:pStyle w:val="TableParagraph"/>
              <w:spacing w:before="0" w:line="252" w:lineRule="auto"/>
              <w:ind w:left="57"/>
              <w:rPr>
                <w:sz w:val="19"/>
              </w:rPr>
            </w:pPr>
            <w:r>
              <w:rPr>
                <w:sz w:val="19"/>
              </w:rPr>
              <w:t>de energie waaruit de componenten bestaan die deel uitmaken van product a, uitgedrukt in megajoule</w:t>
            </w:r>
          </w:p>
        </w:tc>
      </w:tr>
      <w:tr w:rsidR="00A2416E" w14:paraId="245B7179" w14:textId="77777777">
        <w:trPr>
          <w:trHeight w:val="702"/>
        </w:trPr>
        <w:tc>
          <w:tcPr>
            <w:tcW w:w="777" w:type="dxa"/>
          </w:tcPr>
          <w:p w14:paraId="5334C4BE" w14:textId="77777777" w:rsidR="00A2416E" w:rsidRDefault="00534832">
            <w:pPr>
              <w:pStyle w:val="TableParagraph"/>
              <w:spacing w:before="23"/>
              <w:ind w:left="200"/>
              <w:rPr>
                <w:i/>
                <w:sz w:val="11"/>
              </w:rPr>
            </w:pPr>
            <w:r>
              <w:rPr>
                <w:i/>
                <w:sz w:val="19"/>
              </w:rPr>
              <w:t>GHGi</w:t>
            </w:r>
            <w:r>
              <w:rPr>
                <w:i/>
                <w:sz w:val="11"/>
              </w:rPr>
              <w:t>a</w:t>
            </w:r>
          </w:p>
        </w:tc>
        <w:tc>
          <w:tcPr>
            <w:tcW w:w="5495" w:type="dxa"/>
          </w:tcPr>
          <w:p w14:paraId="2A6CA0A4" w14:textId="77777777" w:rsidR="00A2416E" w:rsidRDefault="00534832">
            <w:pPr>
              <w:pStyle w:val="TableParagraph"/>
              <w:spacing w:before="17" w:line="230" w:lineRule="exact"/>
              <w:ind w:left="57" w:right="197"/>
              <w:jc w:val="both"/>
              <w:rPr>
                <w:sz w:val="19"/>
              </w:rPr>
            </w:pPr>
            <w:r>
              <w:rPr>
                <w:sz w:val="19"/>
              </w:rPr>
              <w:t>de broeikasgasemissies, uitgedrukt in g CO</w:t>
            </w:r>
            <w:r>
              <w:rPr>
                <w:sz w:val="11"/>
              </w:rPr>
              <w:t>2</w:t>
            </w:r>
            <w:r>
              <w:rPr>
                <w:sz w:val="19"/>
              </w:rPr>
              <w:t>eq/MJ van alle biocomponenten en fossiele componenten die deel uitmaken van het geleverde product.</w:t>
            </w:r>
          </w:p>
        </w:tc>
      </w:tr>
    </w:tbl>
    <w:p w14:paraId="631CE3C8" w14:textId="77777777" w:rsidR="00A2416E" w:rsidRDefault="00A2416E">
      <w:pPr>
        <w:pStyle w:val="Brdtext"/>
        <w:rPr>
          <w:sz w:val="20"/>
        </w:rPr>
      </w:pPr>
    </w:p>
    <w:p w14:paraId="5772BB0F" w14:textId="72D9ECD9" w:rsidR="00A2416E" w:rsidRDefault="00B32B66" w:rsidP="00B32B66">
      <w:pPr>
        <w:pStyle w:val="Rubrik3"/>
        <w:ind w:left="0" w:right="155"/>
      </w:pPr>
      <w:r>
        <w:t xml:space="preserve">                                                                                                                                             </w:t>
      </w:r>
      <w:r w:rsidR="00534832">
        <w:t>3</w:t>
      </w:r>
    </w:p>
    <w:p w14:paraId="677F036A" w14:textId="77777777" w:rsidR="00A2416E" w:rsidRDefault="00A2416E">
      <w:pPr>
        <w:jc w:val="right"/>
        <w:sectPr w:rsidR="00A2416E">
          <w:type w:val="continuous"/>
          <w:pgSz w:w="9360" w:h="13720"/>
          <w:pgMar w:top="900" w:right="580" w:bottom="280" w:left="620" w:header="720" w:footer="720" w:gutter="0"/>
          <w:cols w:space="720"/>
        </w:sectPr>
      </w:pPr>
    </w:p>
    <w:p w14:paraId="0EB2F8F7" w14:textId="77777777" w:rsidR="00A2416E" w:rsidRDefault="00534832">
      <w:pPr>
        <w:spacing w:before="73" w:line="228" w:lineRule="auto"/>
        <w:ind w:left="117" w:right="19"/>
        <w:rPr>
          <w:b/>
          <w:sz w:val="21"/>
        </w:rPr>
      </w:pPr>
      <w:bookmarkStart w:id="3" w:name="Utsläppsminskning_i_tidigare_led"/>
      <w:bookmarkStart w:id="4" w:name="Ikraftträdandebestämmelser"/>
      <w:bookmarkEnd w:id="3"/>
      <w:bookmarkEnd w:id="4"/>
      <w:r>
        <w:rPr>
          <w:b/>
          <w:sz w:val="21"/>
        </w:rPr>
        <w:lastRenderedPageBreak/>
        <w:t>STEMFS 2021:2</w:t>
      </w:r>
    </w:p>
    <w:p w14:paraId="0305CE16" w14:textId="77777777" w:rsidR="00A2416E" w:rsidRDefault="00534832">
      <w:pPr>
        <w:pStyle w:val="Brdtext"/>
        <w:spacing w:before="72" w:line="273" w:lineRule="auto"/>
        <w:ind w:left="117" w:right="381"/>
        <w:jc w:val="both"/>
      </w:pPr>
      <w:r>
        <w:br w:type="column"/>
      </w:r>
      <w:r>
        <w:rPr>
          <w:b/>
        </w:rPr>
        <w:t xml:space="preserve">§ 13 </w:t>
      </w:r>
      <w:r>
        <w:t>Bij de berekening overeenkomstig § 12 berekent de brandstofleverancier de broeikasgasemissies van fossiele componenten overeenkomstig de gewogen normale waarde in bijlage 1.</w:t>
      </w:r>
    </w:p>
    <w:p w14:paraId="10BFD7DE" w14:textId="77777777" w:rsidR="00A2416E" w:rsidRDefault="00534832">
      <w:pPr>
        <w:pStyle w:val="Brdtext"/>
        <w:spacing w:before="115" w:line="273" w:lineRule="auto"/>
        <w:ind w:left="117" w:right="381"/>
        <w:jc w:val="both"/>
      </w:pPr>
      <w:r>
        <w:t>Bij de berekening overeenkomstig § 12 bis berekent een brandstofleverancier de broeikasgasemissies afkomstig van fossiele componenten overeenkomstig de normale waarde voor de specifieke bron van de grondstof en het proces in bijlage 1.</w:t>
      </w:r>
    </w:p>
    <w:p w14:paraId="2AC92A22" w14:textId="77777777" w:rsidR="00A2416E" w:rsidRDefault="00A2416E">
      <w:pPr>
        <w:pStyle w:val="Brdtext"/>
        <w:spacing w:before="5"/>
        <w:rPr>
          <w:sz w:val="26"/>
        </w:rPr>
      </w:pPr>
    </w:p>
    <w:p w14:paraId="0262139A" w14:textId="77777777" w:rsidR="00A2416E" w:rsidRDefault="00534832">
      <w:pPr>
        <w:pStyle w:val="Rubrik2"/>
        <w:spacing w:before="0"/>
      </w:pPr>
      <w:r>
        <w:t>Emissievermindering in eerdere fasen</w:t>
      </w:r>
    </w:p>
    <w:p w14:paraId="0796A5BC" w14:textId="77777777" w:rsidR="00A2416E" w:rsidRDefault="00534832">
      <w:pPr>
        <w:pStyle w:val="Brdtext"/>
        <w:spacing w:before="141" w:line="273" w:lineRule="auto"/>
        <w:ind w:left="117" w:right="380"/>
        <w:jc w:val="both"/>
      </w:pPr>
      <w:r>
        <w:rPr>
          <w:b/>
        </w:rPr>
        <w:t xml:space="preserve">§ 16 </w:t>
      </w:r>
      <w:r>
        <w:t>Om een brandstofleverancier een upstream-emissiereductie toe te kennen bij de berekening van de broeikasgasintensiteit onder § 12, moet de brandstofleverancier het volgende aan het Zweedse Energieagentschap hebben gemeld:</w:t>
      </w:r>
    </w:p>
    <w:p w14:paraId="3960C5E9" w14:textId="77777777" w:rsidR="00A2416E" w:rsidRDefault="00534832">
      <w:pPr>
        <w:pStyle w:val="Liststycke"/>
        <w:numPr>
          <w:ilvl w:val="0"/>
          <w:numId w:val="1"/>
        </w:numPr>
        <w:tabs>
          <w:tab w:val="left" w:pos="316"/>
        </w:tabs>
        <w:jc w:val="both"/>
        <w:rPr>
          <w:sz w:val="19"/>
        </w:rPr>
      </w:pPr>
      <w:r>
        <w:rPr>
          <w:sz w:val="19"/>
        </w:rPr>
        <w:t>de startdatum van het project, die later moet zijn dan 1 januari 2011;</w:t>
      </w:r>
    </w:p>
    <w:p w14:paraId="50955759" w14:textId="77777777" w:rsidR="00A2416E" w:rsidRDefault="00534832">
      <w:pPr>
        <w:pStyle w:val="Liststycke"/>
        <w:numPr>
          <w:ilvl w:val="0"/>
          <w:numId w:val="1"/>
        </w:numPr>
        <w:tabs>
          <w:tab w:val="left" w:pos="316"/>
        </w:tabs>
        <w:jc w:val="both"/>
        <w:rPr>
          <w:sz w:val="19"/>
        </w:rPr>
      </w:pPr>
      <w:r>
        <w:rPr>
          <w:sz w:val="19"/>
        </w:rPr>
        <w:t>jaarlijkse emissiereducties als g CO2eq; g CO</w:t>
      </w:r>
      <w:r>
        <w:rPr>
          <w:sz w:val="11"/>
        </w:rPr>
        <w:t>2</w:t>
      </w:r>
      <w:r>
        <w:rPr>
          <w:sz w:val="19"/>
        </w:rPr>
        <w:t>eq;</w:t>
      </w:r>
    </w:p>
    <w:p w14:paraId="0C44C87A" w14:textId="77777777" w:rsidR="00A2416E" w:rsidRDefault="00534832">
      <w:pPr>
        <w:pStyle w:val="Liststycke"/>
        <w:numPr>
          <w:ilvl w:val="0"/>
          <w:numId w:val="1"/>
        </w:numPr>
        <w:tabs>
          <w:tab w:val="left" w:pos="316"/>
        </w:tabs>
        <w:spacing w:before="25"/>
        <w:jc w:val="both"/>
        <w:rPr>
          <w:sz w:val="19"/>
        </w:rPr>
      </w:pPr>
      <w:r>
        <w:rPr>
          <w:sz w:val="19"/>
        </w:rPr>
        <w:t>periode waarover de geconstateerde vermindering plaatsvond;</w:t>
      </w:r>
    </w:p>
    <w:p w14:paraId="45CBAD50" w14:textId="77777777" w:rsidR="00A2416E" w:rsidRDefault="00534832">
      <w:pPr>
        <w:pStyle w:val="Liststycke"/>
        <w:numPr>
          <w:ilvl w:val="0"/>
          <w:numId w:val="1"/>
        </w:numPr>
        <w:tabs>
          <w:tab w:val="left" w:pos="316"/>
        </w:tabs>
        <w:spacing w:line="252" w:lineRule="auto"/>
        <w:ind w:right="381"/>
        <w:jc w:val="both"/>
        <w:rPr>
          <w:sz w:val="19"/>
        </w:rPr>
      </w:pPr>
      <w:r>
        <w:rPr>
          <w:sz w:val="19"/>
        </w:rPr>
        <w:t>geografische ligging van het project die zich het dichtst bij de emissiebron bevindt in lengte- en breedtegraad, vermeld in graden tot de vierde decimaal;</w:t>
      </w:r>
    </w:p>
    <w:p w14:paraId="31C4AA5C" w14:textId="77777777" w:rsidR="00A2416E" w:rsidRDefault="00534832">
      <w:pPr>
        <w:pStyle w:val="Liststycke"/>
        <w:numPr>
          <w:ilvl w:val="0"/>
          <w:numId w:val="1"/>
        </w:numPr>
        <w:tabs>
          <w:tab w:val="left" w:pos="316"/>
        </w:tabs>
        <w:spacing w:before="65" w:line="230" w:lineRule="auto"/>
        <w:ind w:right="382"/>
        <w:jc w:val="both"/>
        <w:rPr>
          <w:sz w:val="19"/>
        </w:rPr>
      </w:pPr>
      <w:r>
        <w:t>de minimumnorm voor jaarlijkse emissies voorafgaand aan het aanbrengen van reductiemaatregelen en jaarlijkse emissies nadat de reductiemaatregelen zijn doorgevoerd als CO2eq/MJ voor de geproduceerde grondstof;</w:t>
      </w:r>
    </w:p>
    <w:p w14:paraId="60C84C29" w14:textId="77777777" w:rsidR="00A2416E" w:rsidRDefault="00534832">
      <w:pPr>
        <w:pStyle w:val="Liststycke"/>
        <w:numPr>
          <w:ilvl w:val="0"/>
          <w:numId w:val="1"/>
        </w:numPr>
        <w:tabs>
          <w:tab w:val="left" w:pos="316"/>
        </w:tabs>
        <w:jc w:val="both"/>
        <w:rPr>
          <w:sz w:val="19"/>
        </w:rPr>
      </w:pPr>
      <w:r>
        <w:rPr>
          <w:sz w:val="19"/>
        </w:rPr>
        <w:t>een niet herbruikbaar certificaatnummer dat op unieke wijze het systeem identificeert, evenals</w:t>
      </w:r>
    </w:p>
    <w:p w14:paraId="7F1E9855" w14:textId="77777777" w:rsidR="00A2416E" w:rsidRDefault="00534832">
      <w:pPr>
        <w:pStyle w:val="Brdtext"/>
        <w:spacing w:before="12"/>
        <w:ind w:left="315"/>
        <w:jc w:val="both"/>
      </w:pPr>
      <w:r>
        <w:t>de behaalde broeikasgasemissieverminderingen;</w:t>
      </w:r>
    </w:p>
    <w:p w14:paraId="53C6F41B" w14:textId="77777777" w:rsidR="00A2416E" w:rsidRDefault="00534832">
      <w:pPr>
        <w:pStyle w:val="Liststycke"/>
        <w:numPr>
          <w:ilvl w:val="0"/>
          <w:numId w:val="1"/>
        </w:numPr>
        <w:tabs>
          <w:tab w:val="left" w:pos="316"/>
        </w:tabs>
        <w:jc w:val="both"/>
        <w:rPr>
          <w:sz w:val="19"/>
        </w:rPr>
      </w:pPr>
      <w:r>
        <w:rPr>
          <w:sz w:val="19"/>
        </w:rPr>
        <w:t>een niet herbruikbaar nummer dat op unieke wijze de rekenmethode en</w:t>
      </w:r>
    </w:p>
    <w:p w14:paraId="128F9A23" w14:textId="77777777" w:rsidR="00A2416E" w:rsidRDefault="00534832">
      <w:pPr>
        <w:pStyle w:val="Brdtext"/>
        <w:spacing w:before="11"/>
        <w:ind w:left="315"/>
        <w:jc w:val="both"/>
      </w:pPr>
      <w:r>
        <w:t>het bijbehorende systeem identificeert.</w:t>
      </w:r>
    </w:p>
    <w:p w14:paraId="2A18DA87" w14:textId="77777777" w:rsidR="00A2416E" w:rsidRDefault="00A2416E">
      <w:pPr>
        <w:pStyle w:val="Brdtext"/>
        <w:rPr>
          <w:sz w:val="29"/>
        </w:rPr>
      </w:pPr>
    </w:p>
    <w:p w14:paraId="16842E29" w14:textId="77777777" w:rsidR="00A2416E" w:rsidRDefault="00534832">
      <w:pPr>
        <w:pStyle w:val="Rubrik2"/>
        <w:spacing w:before="0"/>
      </w:pPr>
      <w:r>
        <w:t>Bepalingen betreffende de inwerkingtreding</w:t>
      </w:r>
    </w:p>
    <w:p w14:paraId="67EB8873" w14:textId="77777777" w:rsidR="00A2416E" w:rsidRDefault="00534832">
      <w:pPr>
        <w:pStyle w:val="Brdtext"/>
        <w:spacing w:before="140" w:line="460" w:lineRule="auto"/>
        <w:ind w:left="117" w:right="2287"/>
      </w:pPr>
      <w:r>
        <w:t>Deze voorschriften treden in werking op 24 februari 2021. Namens de Rijksdienst voor energie</w:t>
      </w:r>
    </w:p>
    <w:p w14:paraId="51DE8E66" w14:textId="77777777" w:rsidR="00A2416E" w:rsidRDefault="00A2416E">
      <w:pPr>
        <w:spacing w:line="460" w:lineRule="auto"/>
        <w:sectPr w:rsidR="00A2416E">
          <w:pgSz w:w="9360" w:h="13720"/>
          <w:pgMar w:top="940" w:right="580" w:bottom="280" w:left="620" w:header="720" w:footer="720" w:gutter="0"/>
          <w:cols w:num="2" w:space="720" w:equalWidth="0">
            <w:col w:w="997" w:space="703"/>
            <w:col w:w="6460"/>
          </w:cols>
        </w:sectPr>
      </w:pPr>
    </w:p>
    <w:p w14:paraId="6209CB19" w14:textId="77777777" w:rsidR="00A2416E" w:rsidRDefault="00A2416E">
      <w:pPr>
        <w:pStyle w:val="Brdtext"/>
        <w:spacing w:before="8"/>
        <w:rPr>
          <w:sz w:val="28"/>
        </w:rPr>
      </w:pPr>
    </w:p>
    <w:p w14:paraId="2CC17B70" w14:textId="77777777" w:rsidR="00A2416E" w:rsidRDefault="00534832">
      <w:pPr>
        <w:pStyle w:val="Brdtext"/>
        <w:spacing w:before="92"/>
        <w:ind w:left="1817"/>
      </w:pPr>
      <w:r>
        <w:t>Robert Andrén</w:t>
      </w:r>
    </w:p>
    <w:p w14:paraId="15A94D1C" w14:textId="77777777" w:rsidR="00A2416E" w:rsidRDefault="00A2416E">
      <w:pPr>
        <w:pStyle w:val="Brdtext"/>
        <w:spacing w:before="6"/>
        <w:rPr>
          <w:sz w:val="17"/>
        </w:rPr>
      </w:pPr>
    </w:p>
    <w:p w14:paraId="1AFFE159" w14:textId="77777777" w:rsidR="00A2416E" w:rsidRDefault="00534832">
      <w:pPr>
        <w:pStyle w:val="Brdtext"/>
        <w:ind w:left="3265" w:right="2636"/>
        <w:jc w:val="center"/>
      </w:pPr>
      <w:r>
        <w:t>Ulf Jonson</w:t>
      </w:r>
    </w:p>
    <w:p w14:paraId="6574D352" w14:textId="77777777" w:rsidR="00A2416E" w:rsidRDefault="00A2416E">
      <w:pPr>
        <w:pStyle w:val="Brdtext"/>
        <w:rPr>
          <w:sz w:val="20"/>
        </w:rPr>
      </w:pPr>
    </w:p>
    <w:p w14:paraId="4DDBCF46" w14:textId="77777777" w:rsidR="00A2416E" w:rsidRDefault="00A2416E">
      <w:pPr>
        <w:pStyle w:val="Brdtext"/>
        <w:rPr>
          <w:sz w:val="20"/>
        </w:rPr>
      </w:pPr>
    </w:p>
    <w:p w14:paraId="04AB8C25" w14:textId="77777777" w:rsidR="00A2416E" w:rsidRDefault="00A2416E">
      <w:pPr>
        <w:pStyle w:val="Brdtext"/>
        <w:rPr>
          <w:sz w:val="20"/>
        </w:rPr>
      </w:pPr>
    </w:p>
    <w:p w14:paraId="442C2781" w14:textId="77777777" w:rsidR="00A2416E" w:rsidRDefault="00A2416E">
      <w:pPr>
        <w:pStyle w:val="Brdtext"/>
        <w:rPr>
          <w:sz w:val="20"/>
        </w:rPr>
      </w:pPr>
    </w:p>
    <w:p w14:paraId="6CF46550" w14:textId="77777777" w:rsidR="00A2416E" w:rsidRDefault="00A2416E">
      <w:pPr>
        <w:pStyle w:val="Brdtext"/>
        <w:rPr>
          <w:sz w:val="20"/>
        </w:rPr>
      </w:pPr>
    </w:p>
    <w:p w14:paraId="76DFAC04" w14:textId="77777777" w:rsidR="00A2416E" w:rsidRDefault="00A2416E">
      <w:pPr>
        <w:pStyle w:val="Brdtext"/>
        <w:rPr>
          <w:sz w:val="20"/>
        </w:rPr>
      </w:pPr>
    </w:p>
    <w:p w14:paraId="7DD6FC54" w14:textId="77777777" w:rsidR="00A2416E" w:rsidRDefault="00A2416E">
      <w:pPr>
        <w:pStyle w:val="Brdtext"/>
        <w:rPr>
          <w:sz w:val="20"/>
        </w:rPr>
      </w:pPr>
    </w:p>
    <w:p w14:paraId="3B9B0B7E" w14:textId="77777777" w:rsidR="00A2416E" w:rsidRDefault="00A2416E">
      <w:pPr>
        <w:pStyle w:val="Brdtext"/>
        <w:rPr>
          <w:sz w:val="20"/>
        </w:rPr>
      </w:pPr>
    </w:p>
    <w:p w14:paraId="247B32BC" w14:textId="77777777" w:rsidR="00A2416E" w:rsidRDefault="00534832" w:rsidP="00B32B66">
      <w:pPr>
        <w:pStyle w:val="Rubrik3"/>
        <w:spacing w:before="112"/>
        <w:ind w:left="0"/>
      </w:pPr>
      <w:r>
        <w:t>4</w:t>
      </w:r>
    </w:p>
    <w:p w14:paraId="25560BB9" w14:textId="77777777" w:rsidR="00A2416E" w:rsidRDefault="00A2416E">
      <w:pPr>
        <w:sectPr w:rsidR="00A2416E">
          <w:type w:val="continuous"/>
          <w:pgSz w:w="9360" w:h="13720"/>
          <w:pgMar w:top="900" w:right="580" w:bottom="280" w:left="620" w:header="720" w:footer="720" w:gutter="0"/>
          <w:cols w:space="720"/>
        </w:sectPr>
      </w:pPr>
    </w:p>
    <w:p w14:paraId="710C7F3D" w14:textId="77777777" w:rsidR="00A2416E" w:rsidRDefault="00534832">
      <w:pPr>
        <w:spacing w:before="71"/>
        <w:ind w:right="38"/>
        <w:jc w:val="right"/>
        <w:rPr>
          <w:b/>
          <w:sz w:val="26"/>
        </w:rPr>
      </w:pPr>
      <w:bookmarkStart w:id="5" w:name="Bilaga_1"/>
      <w:bookmarkStart w:id="6" w:name="Genomsnittliga_normalvärden_för_växthusg"/>
      <w:bookmarkEnd w:id="5"/>
      <w:bookmarkEnd w:id="6"/>
      <w:r>
        <w:rPr>
          <w:b/>
          <w:sz w:val="26"/>
        </w:rPr>
        <w:lastRenderedPageBreak/>
        <w:t>Bijlage 1</w:t>
      </w:r>
    </w:p>
    <w:p w14:paraId="077A287F" w14:textId="77777777" w:rsidR="00A2416E" w:rsidRDefault="00A2416E">
      <w:pPr>
        <w:pStyle w:val="Brdtext"/>
        <w:spacing w:before="6"/>
        <w:rPr>
          <w:b/>
          <w:sz w:val="28"/>
        </w:rPr>
      </w:pPr>
    </w:p>
    <w:p w14:paraId="747041D0" w14:textId="77777777" w:rsidR="00A2416E" w:rsidRDefault="00534832">
      <w:pPr>
        <w:spacing w:line="228" w:lineRule="auto"/>
        <w:ind w:left="400"/>
        <w:rPr>
          <w:b/>
        </w:rPr>
      </w:pPr>
      <w:r>
        <w:rPr>
          <w:b/>
        </w:rPr>
        <w:t>Gemiddelde normale broeikasgasintensiteit gedurende de levenscyclus voor fossiele brandstofcomponenten</w:t>
      </w:r>
    </w:p>
    <w:p w14:paraId="1199B2D0" w14:textId="77777777" w:rsidR="00A2416E" w:rsidRDefault="00534832">
      <w:pPr>
        <w:pStyle w:val="Rubrik2"/>
        <w:spacing w:before="93" w:line="228" w:lineRule="auto"/>
        <w:ind w:left="400" w:right="134"/>
      </w:pPr>
      <w:r>
        <w:br w:type="column"/>
      </w:r>
      <w:r>
        <w:t>STEMFS 2021:2</w:t>
      </w:r>
    </w:p>
    <w:p w14:paraId="506D9EEB" w14:textId="77777777" w:rsidR="00A2416E" w:rsidRDefault="00A2416E">
      <w:pPr>
        <w:spacing w:line="228" w:lineRule="auto"/>
        <w:sectPr w:rsidR="00A2416E">
          <w:pgSz w:w="9360" w:h="13720"/>
          <w:pgMar w:top="920" w:right="580" w:bottom="280" w:left="620" w:header="720" w:footer="720" w:gutter="0"/>
          <w:cols w:num="2" w:space="720" w:equalWidth="0">
            <w:col w:w="6337" w:space="428"/>
            <w:col w:w="1395"/>
          </w:cols>
        </w:sectPr>
      </w:pPr>
    </w:p>
    <w:p w14:paraId="1876708B" w14:textId="77777777" w:rsidR="00A2416E" w:rsidRDefault="00A2416E">
      <w:pPr>
        <w:pStyle w:val="Brdtext"/>
        <w:spacing w:before="9"/>
        <w:rPr>
          <w:b/>
          <w:sz w:val="17"/>
        </w:rPr>
      </w:pPr>
    </w:p>
    <w:tbl>
      <w:tblPr>
        <w:tblStyle w:val="TableNormal1"/>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1803"/>
        <w:gridCol w:w="1361"/>
        <w:gridCol w:w="1574"/>
      </w:tblGrid>
      <w:tr w:rsidR="00A2416E" w14:paraId="13BAB754" w14:textId="77777777">
        <w:trPr>
          <w:trHeight w:val="895"/>
        </w:trPr>
        <w:tc>
          <w:tcPr>
            <w:tcW w:w="2230" w:type="dxa"/>
            <w:tcBorders>
              <w:left w:val="nil"/>
              <w:right w:val="single" w:sz="6" w:space="0" w:color="000000"/>
            </w:tcBorders>
          </w:tcPr>
          <w:p w14:paraId="12C84FCD" w14:textId="77777777" w:rsidR="00A2416E" w:rsidRDefault="00534832">
            <w:pPr>
              <w:pStyle w:val="TableParagraph"/>
              <w:spacing w:before="67"/>
              <w:ind w:left="7"/>
              <w:rPr>
                <w:b/>
                <w:sz w:val="16"/>
              </w:rPr>
            </w:pPr>
            <w:r>
              <w:rPr>
                <w:b/>
                <w:sz w:val="16"/>
              </w:rPr>
              <w:t>Grondstofbron en proces</w:t>
            </w:r>
          </w:p>
        </w:tc>
        <w:tc>
          <w:tcPr>
            <w:tcW w:w="1803" w:type="dxa"/>
            <w:tcBorders>
              <w:left w:val="single" w:sz="6" w:space="0" w:color="000000"/>
              <w:right w:val="single" w:sz="6" w:space="0" w:color="000000"/>
            </w:tcBorders>
          </w:tcPr>
          <w:p w14:paraId="29AA3401" w14:textId="77777777" w:rsidR="00A2416E" w:rsidRDefault="00534832">
            <w:pPr>
              <w:pStyle w:val="TableParagraph"/>
              <w:spacing w:before="67" w:line="247" w:lineRule="auto"/>
              <w:ind w:right="113"/>
              <w:rPr>
                <w:b/>
                <w:sz w:val="16"/>
              </w:rPr>
            </w:pPr>
            <w:r>
              <w:rPr>
                <w:b/>
                <w:sz w:val="16"/>
              </w:rPr>
              <w:t>In de handel gebrachte brandstof</w:t>
            </w:r>
          </w:p>
        </w:tc>
        <w:tc>
          <w:tcPr>
            <w:tcW w:w="1361" w:type="dxa"/>
            <w:tcBorders>
              <w:left w:val="single" w:sz="6" w:space="0" w:color="000000"/>
              <w:right w:val="single" w:sz="6" w:space="0" w:color="000000"/>
            </w:tcBorders>
          </w:tcPr>
          <w:p w14:paraId="0199DD9D" w14:textId="77777777" w:rsidR="00A2416E" w:rsidRDefault="00534832" w:rsidP="00B32B66">
            <w:pPr>
              <w:pStyle w:val="TableParagraph"/>
              <w:spacing w:before="67" w:line="247" w:lineRule="auto"/>
              <w:ind w:left="113"/>
              <w:rPr>
                <w:b/>
                <w:sz w:val="16"/>
              </w:rPr>
            </w:pPr>
            <w:r>
              <w:rPr>
                <w:b/>
                <w:sz w:val="16"/>
              </w:rPr>
              <w:t>De broeikasgasintensiteit van de levenscyclus (gCO</w:t>
            </w:r>
            <w:r>
              <w:rPr>
                <w:b/>
                <w:sz w:val="9"/>
              </w:rPr>
              <w:t>2</w:t>
            </w:r>
            <w:r>
              <w:rPr>
                <w:b/>
                <w:sz w:val="16"/>
              </w:rPr>
              <w:t>eq/MJ)</w:t>
            </w:r>
          </w:p>
        </w:tc>
        <w:tc>
          <w:tcPr>
            <w:tcW w:w="1574" w:type="dxa"/>
            <w:tcBorders>
              <w:left w:val="single" w:sz="6" w:space="0" w:color="000000"/>
              <w:right w:val="nil"/>
            </w:tcBorders>
          </w:tcPr>
          <w:p w14:paraId="06D77BF2" w14:textId="77777777" w:rsidR="00A2416E" w:rsidRDefault="00534832">
            <w:pPr>
              <w:pStyle w:val="TableParagraph"/>
              <w:spacing w:before="67" w:line="247" w:lineRule="auto"/>
              <w:ind w:right="114"/>
              <w:rPr>
                <w:b/>
                <w:sz w:val="16"/>
              </w:rPr>
            </w:pPr>
            <w:r>
              <w:rPr>
                <w:b/>
                <w:sz w:val="16"/>
              </w:rPr>
              <w:t>Gegewogen broeikasgasintensiteit gedurende de levenscyclus (gCO</w:t>
            </w:r>
            <w:r>
              <w:rPr>
                <w:b/>
                <w:sz w:val="9"/>
              </w:rPr>
              <w:t>2</w:t>
            </w:r>
            <w:r>
              <w:rPr>
                <w:b/>
                <w:sz w:val="16"/>
              </w:rPr>
              <w:t>eq/MJ)</w:t>
            </w:r>
          </w:p>
        </w:tc>
      </w:tr>
      <w:tr w:rsidR="00A2416E" w14:paraId="3873426A" w14:textId="77777777">
        <w:trPr>
          <w:trHeight w:val="280"/>
        </w:trPr>
        <w:tc>
          <w:tcPr>
            <w:tcW w:w="2230" w:type="dxa"/>
            <w:tcBorders>
              <w:left w:val="nil"/>
              <w:bottom w:val="single" w:sz="6" w:space="0" w:color="000000"/>
              <w:right w:val="single" w:sz="6" w:space="0" w:color="000000"/>
            </w:tcBorders>
          </w:tcPr>
          <w:p w14:paraId="7D17CA45" w14:textId="77777777" w:rsidR="00A2416E" w:rsidRDefault="00534832">
            <w:pPr>
              <w:pStyle w:val="TableParagraph"/>
              <w:spacing w:before="44"/>
              <w:ind w:left="7"/>
              <w:rPr>
                <w:sz w:val="10"/>
              </w:rPr>
            </w:pPr>
            <w:r>
              <w:rPr>
                <w:sz w:val="17"/>
              </w:rPr>
              <w:t>Conventionele ruwe olie</w:t>
            </w:r>
            <w:r>
              <w:rPr>
                <w:sz w:val="10"/>
              </w:rPr>
              <w:t>1</w:t>
            </w:r>
          </w:p>
        </w:tc>
        <w:tc>
          <w:tcPr>
            <w:tcW w:w="1803" w:type="dxa"/>
            <w:vMerge w:val="restart"/>
            <w:tcBorders>
              <w:left w:val="single" w:sz="6" w:space="0" w:color="000000"/>
              <w:bottom w:val="single" w:sz="6" w:space="0" w:color="000000"/>
              <w:right w:val="single" w:sz="6" w:space="0" w:color="000000"/>
            </w:tcBorders>
          </w:tcPr>
          <w:p w14:paraId="14B7BCD5" w14:textId="77777777" w:rsidR="00A2416E" w:rsidRDefault="00534832">
            <w:pPr>
              <w:pStyle w:val="TableParagraph"/>
              <w:spacing w:before="44"/>
              <w:rPr>
                <w:sz w:val="17"/>
              </w:rPr>
            </w:pPr>
            <w:r>
              <w:rPr>
                <w:sz w:val="17"/>
              </w:rPr>
              <w:t>Benzine</w:t>
            </w:r>
          </w:p>
        </w:tc>
        <w:tc>
          <w:tcPr>
            <w:tcW w:w="1361" w:type="dxa"/>
            <w:tcBorders>
              <w:left w:val="single" w:sz="6" w:space="0" w:color="000000"/>
              <w:bottom w:val="single" w:sz="6" w:space="0" w:color="000000"/>
              <w:right w:val="single" w:sz="6" w:space="0" w:color="000000"/>
            </w:tcBorders>
          </w:tcPr>
          <w:p w14:paraId="67D3E7B5" w14:textId="77777777" w:rsidR="00A2416E" w:rsidRDefault="00534832">
            <w:pPr>
              <w:pStyle w:val="TableParagraph"/>
              <w:spacing w:before="44"/>
              <w:rPr>
                <w:sz w:val="17"/>
              </w:rPr>
            </w:pPr>
            <w:r>
              <w:rPr>
                <w:sz w:val="17"/>
              </w:rPr>
              <w:t>93.2</w:t>
            </w:r>
          </w:p>
        </w:tc>
        <w:tc>
          <w:tcPr>
            <w:tcW w:w="1574" w:type="dxa"/>
            <w:tcBorders>
              <w:left w:val="single" w:sz="6" w:space="0" w:color="000000"/>
              <w:bottom w:val="single" w:sz="6" w:space="0" w:color="000000"/>
              <w:right w:val="nil"/>
            </w:tcBorders>
          </w:tcPr>
          <w:p w14:paraId="476CEAA9" w14:textId="77777777" w:rsidR="00A2416E" w:rsidRDefault="00534832">
            <w:pPr>
              <w:pStyle w:val="TableParagraph"/>
              <w:spacing w:before="44"/>
              <w:rPr>
                <w:sz w:val="17"/>
              </w:rPr>
            </w:pPr>
            <w:r>
              <w:rPr>
                <w:sz w:val="17"/>
              </w:rPr>
              <w:t>93.3</w:t>
            </w:r>
          </w:p>
        </w:tc>
      </w:tr>
      <w:tr w:rsidR="00A2416E" w14:paraId="73B9A7AC" w14:textId="77777777">
        <w:trPr>
          <w:trHeight w:val="272"/>
        </w:trPr>
        <w:tc>
          <w:tcPr>
            <w:tcW w:w="2230" w:type="dxa"/>
            <w:tcBorders>
              <w:top w:val="single" w:sz="6" w:space="0" w:color="000000"/>
              <w:left w:val="nil"/>
              <w:bottom w:val="single" w:sz="6" w:space="0" w:color="000000"/>
              <w:right w:val="single" w:sz="6" w:space="0" w:color="000000"/>
            </w:tcBorders>
          </w:tcPr>
          <w:p w14:paraId="38C7C15D" w14:textId="77777777" w:rsidR="00A2416E" w:rsidRDefault="00534832">
            <w:pPr>
              <w:pStyle w:val="TableParagraph"/>
              <w:ind w:left="7"/>
              <w:rPr>
                <w:sz w:val="17"/>
              </w:rPr>
            </w:pPr>
            <w:r>
              <w:rPr>
                <w:sz w:val="17"/>
              </w:rPr>
              <w:t>Vloeibaar aardgas</w:t>
            </w:r>
          </w:p>
        </w:tc>
        <w:tc>
          <w:tcPr>
            <w:tcW w:w="1803" w:type="dxa"/>
            <w:vMerge/>
            <w:tcBorders>
              <w:top w:val="nil"/>
              <w:left w:val="single" w:sz="6" w:space="0" w:color="000000"/>
              <w:bottom w:val="single" w:sz="6" w:space="0" w:color="000000"/>
              <w:right w:val="single" w:sz="6" w:space="0" w:color="000000"/>
            </w:tcBorders>
          </w:tcPr>
          <w:p w14:paraId="6251D2FE"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78183BAD"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54B66125" w14:textId="77777777" w:rsidR="00A2416E" w:rsidRDefault="00A2416E">
            <w:pPr>
              <w:pStyle w:val="TableParagraph"/>
              <w:spacing w:before="0"/>
              <w:ind w:left="0"/>
              <w:rPr>
                <w:sz w:val="16"/>
              </w:rPr>
            </w:pPr>
          </w:p>
        </w:tc>
      </w:tr>
      <w:tr w:rsidR="00A2416E" w14:paraId="4BAF8354" w14:textId="77777777">
        <w:trPr>
          <w:trHeight w:val="462"/>
        </w:trPr>
        <w:tc>
          <w:tcPr>
            <w:tcW w:w="2230" w:type="dxa"/>
            <w:tcBorders>
              <w:top w:val="single" w:sz="6" w:space="0" w:color="000000"/>
              <w:left w:val="nil"/>
              <w:bottom w:val="single" w:sz="6" w:space="0" w:color="000000"/>
              <w:right w:val="single" w:sz="6" w:space="0" w:color="000000"/>
            </w:tcBorders>
          </w:tcPr>
          <w:p w14:paraId="34626C85" w14:textId="77777777" w:rsidR="00A2416E" w:rsidRDefault="00534832">
            <w:pPr>
              <w:pStyle w:val="TableParagraph"/>
              <w:spacing w:before="41" w:line="232" w:lineRule="auto"/>
              <w:ind w:left="7" w:right="396"/>
              <w:rPr>
                <w:sz w:val="17"/>
              </w:rPr>
            </w:pPr>
            <w:r>
              <w:rPr>
                <w:sz w:val="17"/>
              </w:rPr>
              <w:t>Synthetische olie verkregen uit steenkool</w:t>
            </w:r>
          </w:p>
        </w:tc>
        <w:tc>
          <w:tcPr>
            <w:tcW w:w="1803" w:type="dxa"/>
            <w:vMerge/>
            <w:tcBorders>
              <w:top w:val="nil"/>
              <w:left w:val="single" w:sz="6" w:space="0" w:color="000000"/>
              <w:bottom w:val="single" w:sz="6" w:space="0" w:color="000000"/>
              <w:right w:val="single" w:sz="6" w:space="0" w:color="000000"/>
            </w:tcBorders>
          </w:tcPr>
          <w:p w14:paraId="3EE9E7AF"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2E69F559"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31F629D4" w14:textId="77777777" w:rsidR="00A2416E" w:rsidRDefault="00A2416E">
            <w:pPr>
              <w:pStyle w:val="TableParagraph"/>
              <w:spacing w:before="0"/>
              <w:ind w:left="0"/>
              <w:rPr>
                <w:sz w:val="16"/>
              </w:rPr>
            </w:pPr>
          </w:p>
        </w:tc>
      </w:tr>
      <w:tr w:rsidR="00A2416E" w14:paraId="12BEE648" w14:textId="77777777">
        <w:trPr>
          <w:trHeight w:val="272"/>
        </w:trPr>
        <w:tc>
          <w:tcPr>
            <w:tcW w:w="2230" w:type="dxa"/>
            <w:tcBorders>
              <w:top w:val="single" w:sz="6" w:space="0" w:color="000000"/>
              <w:left w:val="nil"/>
              <w:bottom w:val="single" w:sz="6" w:space="0" w:color="000000"/>
              <w:right w:val="single" w:sz="6" w:space="0" w:color="000000"/>
            </w:tcBorders>
          </w:tcPr>
          <w:p w14:paraId="274E1B23" w14:textId="77777777" w:rsidR="00A2416E" w:rsidRDefault="00534832">
            <w:pPr>
              <w:pStyle w:val="TableParagraph"/>
              <w:ind w:left="7"/>
              <w:rPr>
                <w:sz w:val="10"/>
              </w:rPr>
            </w:pPr>
            <w:r>
              <w:rPr>
                <w:sz w:val="17"/>
              </w:rPr>
              <w:t>Natuurlijk bitumen</w:t>
            </w:r>
            <w:r>
              <w:rPr>
                <w:sz w:val="10"/>
              </w:rPr>
              <w:t>2</w:t>
            </w:r>
          </w:p>
        </w:tc>
        <w:tc>
          <w:tcPr>
            <w:tcW w:w="1803" w:type="dxa"/>
            <w:vMerge/>
            <w:tcBorders>
              <w:top w:val="nil"/>
              <w:left w:val="single" w:sz="6" w:space="0" w:color="000000"/>
              <w:bottom w:val="single" w:sz="6" w:space="0" w:color="000000"/>
              <w:right w:val="single" w:sz="6" w:space="0" w:color="000000"/>
            </w:tcBorders>
          </w:tcPr>
          <w:p w14:paraId="7A73DD9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A08B575" w14:textId="77777777" w:rsidR="00A2416E" w:rsidRDefault="00534832">
            <w:pPr>
              <w:pStyle w:val="TableParagraph"/>
              <w:rPr>
                <w:sz w:val="17"/>
              </w:rPr>
            </w:pPr>
            <w:r>
              <w:rPr>
                <w:sz w:val="17"/>
              </w:rPr>
              <w:t>107</w:t>
            </w:r>
          </w:p>
        </w:tc>
        <w:tc>
          <w:tcPr>
            <w:tcW w:w="1574" w:type="dxa"/>
            <w:tcBorders>
              <w:top w:val="single" w:sz="6" w:space="0" w:color="000000"/>
              <w:left w:val="single" w:sz="6" w:space="0" w:color="000000"/>
              <w:bottom w:val="single" w:sz="6" w:space="0" w:color="000000"/>
              <w:right w:val="nil"/>
            </w:tcBorders>
          </w:tcPr>
          <w:p w14:paraId="4B262DFB" w14:textId="77777777" w:rsidR="00A2416E" w:rsidRDefault="00A2416E">
            <w:pPr>
              <w:pStyle w:val="TableParagraph"/>
              <w:spacing w:before="0"/>
              <w:ind w:left="0"/>
              <w:rPr>
                <w:sz w:val="16"/>
              </w:rPr>
            </w:pPr>
          </w:p>
        </w:tc>
      </w:tr>
      <w:tr w:rsidR="00A2416E" w14:paraId="417E91C6" w14:textId="77777777">
        <w:trPr>
          <w:trHeight w:val="272"/>
        </w:trPr>
        <w:tc>
          <w:tcPr>
            <w:tcW w:w="2230" w:type="dxa"/>
            <w:tcBorders>
              <w:top w:val="single" w:sz="6" w:space="0" w:color="000000"/>
              <w:left w:val="nil"/>
              <w:bottom w:val="single" w:sz="6" w:space="0" w:color="000000"/>
              <w:right w:val="single" w:sz="6" w:space="0" w:color="000000"/>
            </w:tcBorders>
          </w:tcPr>
          <w:p w14:paraId="40950171" w14:textId="77777777" w:rsidR="00A2416E" w:rsidRDefault="00534832">
            <w:pPr>
              <w:pStyle w:val="TableParagraph"/>
              <w:ind w:left="7"/>
              <w:rPr>
                <w:sz w:val="10"/>
              </w:rPr>
            </w:pPr>
            <w:r>
              <w:rPr>
                <w:sz w:val="17"/>
              </w:rPr>
              <w:t>Olieschalie</w:t>
            </w:r>
            <w:r>
              <w:rPr>
                <w:sz w:val="10"/>
              </w:rPr>
              <w:t>3</w:t>
            </w:r>
          </w:p>
        </w:tc>
        <w:tc>
          <w:tcPr>
            <w:tcW w:w="1803" w:type="dxa"/>
            <w:vMerge/>
            <w:tcBorders>
              <w:top w:val="nil"/>
              <w:left w:val="single" w:sz="6" w:space="0" w:color="000000"/>
              <w:bottom w:val="single" w:sz="6" w:space="0" w:color="000000"/>
              <w:right w:val="single" w:sz="6" w:space="0" w:color="000000"/>
            </w:tcBorders>
          </w:tcPr>
          <w:p w14:paraId="2F6529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56E707F0" w14:textId="77777777" w:rsidR="00A2416E" w:rsidRDefault="00534832">
            <w:pPr>
              <w:pStyle w:val="TableParagraph"/>
              <w:rPr>
                <w:sz w:val="17"/>
              </w:rPr>
            </w:pPr>
            <w:r>
              <w:rPr>
                <w:sz w:val="17"/>
              </w:rPr>
              <w:t>131.3</w:t>
            </w:r>
          </w:p>
        </w:tc>
        <w:tc>
          <w:tcPr>
            <w:tcW w:w="1574" w:type="dxa"/>
            <w:tcBorders>
              <w:top w:val="single" w:sz="6" w:space="0" w:color="000000"/>
              <w:left w:val="single" w:sz="6" w:space="0" w:color="000000"/>
              <w:bottom w:val="single" w:sz="6" w:space="0" w:color="000000"/>
              <w:right w:val="nil"/>
            </w:tcBorders>
          </w:tcPr>
          <w:p w14:paraId="78286A2F" w14:textId="77777777" w:rsidR="00A2416E" w:rsidRDefault="00A2416E">
            <w:pPr>
              <w:pStyle w:val="TableParagraph"/>
              <w:spacing w:before="0"/>
              <w:ind w:left="0"/>
              <w:rPr>
                <w:sz w:val="16"/>
              </w:rPr>
            </w:pPr>
          </w:p>
        </w:tc>
      </w:tr>
      <w:tr w:rsidR="00A2416E" w14:paraId="7B1F697D" w14:textId="77777777">
        <w:trPr>
          <w:trHeight w:val="272"/>
        </w:trPr>
        <w:tc>
          <w:tcPr>
            <w:tcW w:w="2230" w:type="dxa"/>
            <w:tcBorders>
              <w:top w:val="single" w:sz="6" w:space="0" w:color="000000"/>
              <w:left w:val="nil"/>
              <w:bottom w:val="single" w:sz="6" w:space="0" w:color="000000"/>
              <w:right w:val="single" w:sz="6" w:space="0" w:color="000000"/>
            </w:tcBorders>
          </w:tcPr>
          <w:p w14:paraId="2FAB26C8" w14:textId="77777777" w:rsidR="00A2416E" w:rsidRDefault="00534832">
            <w:pPr>
              <w:pStyle w:val="TableParagraph"/>
              <w:ind w:left="7"/>
              <w:rPr>
                <w:sz w:val="10"/>
              </w:rPr>
            </w:pPr>
            <w:r>
              <w:rPr>
                <w:sz w:val="17"/>
              </w:rPr>
              <w:t>Conventionele ruwe olie</w:t>
            </w:r>
            <w:r>
              <w:rPr>
                <w:sz w:val="10"/>
              </w:rPr>
              <w:t>1</w:t>
            </w:r>
          </w:p>
        </w:tc>
        <w:tc>
          <w:tcPr>
            <w:tcW w:w="1803" w:type="dxa"/>
            <w:vMerge w:val="restart"/>
            <w:tcBorders>
              <w:top w:val="single" w:sz="6" w:space="0" w:color="000000"/>
              <w:left w:val="single" w:sz="6" w:space="0" w:color="000000"/>
              <w:bottom w:val="single" w:sz="6" w:space="0" w:color="000000"/>
              <w:right w:val="single" w:sz="6" w:space="0" w:color="000000"/>
            </w:tcBorders>
          </w:tcPr>
          <w:p w14:paraId="53FB95EE" w14:textId="77777777" w:rsidR="00A2416E" w:rsidRDefault="00534832">
            <w:pPr>
              <w:pStyle w:val="TableParagraph"/>
              <w:rPr>
                <w:sz w:val="17"/>
              </w:rPr>
            </w:pPr>
            <w:r>
              <w:rPr>
                <w:sz w:val="17"/>
              </w:rPr>
              <w:t>Diesel- of gasolie</w:t>
            </w:r>
          </w:p>
        </w:tc>
        <w:tc>
          <w:tcPr>
            <w:tcW w:w="1361" w:type="dxa"/>
            <w:tcBorders>
              <w:top w:val="single" w:sz="6" w:space="0" w:color="000000"/>
              <w:left w:val="single" w:sz="6" w:space="0" w:color="000000"/>
              <w:bottom w:val="single" w:sz="6" w:space="0" w:color="000000"/>
              <w:right w:val="single" w:sz="6" w:space="0" w:color="000000"/>
            </w:tcBorders>
          </w:tcPr>
          <w:p w14:paraId="75B3AC0A" w14:textId="77777777" w:rsidR="00A2416E" w:rsidRDefault="00534832">
            <w:pPr>
              <w:pStyle w:val="TableParagraph"/>
              <w:rPr>
                <w:sz w:val="17"/>
              </w:rPr>
            </w:pPr>
            <w:r>
              <w:rPr>
                <w:sz w:val="17"/>
              </w:rPr>
              <w:t>95</w:t>
            </w:r>
          </w:p>
        </w:tc>
        <w:tc>
          <w:tcPr>
            <w:tcW w:w="1574" w:type="dxa"/>
            <w:tcBorders>
              <w:top w:val="single" w:sz="6" w:space="0" w:color="000000"/>
              <w:left w:val="single" w:sz="6" w:space="0" w:color="000000"/>
              <w:bottom w:val="single" w:sz="6" w:space="0" w:color="000000"/>
              <w:right w:val="nil"/>
            </w:tcBorders>
          </w:tcPr>
          <w:p w14:paraId="08DC0102" w14:textId="77777777" w:rsidR="00A2416E" w:rsidRDefault="00534832">
            <w:pPr>
              <w:pStyle w:val="TableParagraph"/>
              <w:rPr>
                <w:sz w:val="17"/>
              </w:rPr>
            </w:pPr>
            <w:r>
              <w:rPr>
                <w:sz w:val="17"/>
              </w:rPr>
              <w:t>95.1</w:t>
            </w:r>
          </w:p>
        </w:tc>
      </w:tr>
      <w:tr w:rsidR="00A2416E" w14:paraId="45915519" w14:textId="77777777">
        <w:trPr>
          <w:trHeight w:val="272"/>
        </w:trPr>
        <w:tc>
          <w:tcPr>
            <w:tcW w:w="2230" w:type="dxa"/>
            <w:tcBorders>
              <w:top w:val="single" w:sz="6" w:space="0" w:color="000000"/>
              <w:left w:val="nil"/>
              <w:bottom w:val="single" w:sz="6" w:space="0" w:color="000000"/>
              <w:right w:val="single" w:sz="6" w:space="0" w:color="000000"/>
            </w:tcBorders>
          </w:tcPr>
          <w:p w14:paraId="7F1ED059" w14:textId="77777777" w:rsidR="00A2416E" w:rsidRDefault="00534832">
            <w:pPr>
              <w:pStyle w:val="TableParagraph"/>
              <w:ind w:left="7"/>
              <w:rPr>
                <w:sz w:val="17"/>
              </w:rPr>
            </w:pPr>
            <w:r>
              <w:rPr>
                <w:sz w:val="17"/>
              </w:rPr>
              <w:t>Vloeibaar aardgas</w:t>
            </w:r>
          </w:p>
        </w:tc>
        <w:tc>
          <w:tcPr>
            <w:tcW w:w="1803" w:type="dxa"/>
            <w:vMerge/>
            <w:tcBorders>
              <w:top w:val="nil"/>
              <w:left w:val="single" w:sz="6" w:space="0" w:color="000000"/>
              <w:bottom w:val="single" w:sz="6" w:space="0" w:color="000000"/>
              <w:right w:val="single" w:sz="6" w:space="0" w:color="000000"/>
            </w:tcBorders>
          </w:tcPr>
          <w:p w14:paraId="5C2BF4EB"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1D5FCEB0"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7F88FE51" w14:textId="77777777" w:rsidR="00A2416E" w:rsidRDefault="00A2416E">
            <w:pPr>
              <w:pStyle w:val="TableParagraph"/>
              <w:spacing w:before="0"/>
              <w:ind w:left="0"/>
              <w:rPr>
                <w:sz w:val="16"/>
              </w:rPr>
            </w:pPr>
          </w:p>
        </w:tc>
      </w:tr>
      <w:tr w:rsidR="00A2416E" w14:paraId="4428360F" w14:textId="77777777">
        <w:trPr>
          <w:trHeight w:val="462"/>
        </w:trPr>
        <w:tc>
          <w:tcPr>
            <w:tcW w:w="2230" w:type="dxa"/>
            <w:tcBorders>
              <w:top w:val="single" w:sz="6" w:space="0" w:color="000000"/>
              <w:left w:val="nil"/>
              <w:bottom w:val="single" w:sz="6" w:space="0" w:color="000000"/>
              <w:right w:val="single" w:sz="6" w:space="0" w:color="000000"/>
            </w:tcBorders>
          </w:tcPr>
          <w:p w14:paraId="737A7AAB" w14:textId="77777777" w:rsidR="00A2416E" w:rsidRDefault="00534832">
            <w:pPr>
              <w:pStyle w:val="TableParagraph"/>
              <w:spacing w:before="41" w:line="232" w:lineRule="auto"/>
              <w:ind w:left="7" w:right="396"/>
              <w:rPr>
                <w:sz w:val="17"/>
              </w:rPr>
            </w:pPr>
            <w:r>
              <w:rPr>
                <w:sz w:val="17"/>
              </w:rPr>
              <w:t>Synthetische olie verkregen uit steenkool</w:t>
            </w:r>
          </w:p>
        </w:tc>
        <w:tc>
          <w:tcPr>
            <w:tcW w:w="1803" w:type="dxa"/>
            <w:vMerge/>
            <w:tcBorders>
              <w:top w:val="nil"/>
              <w:left w:val="single" w:sz="6" w:space="0" w:color="000000"/>
              <w:bottom w:val="single" w:sz="6" w:space="0" w:color="000000"/>
              <w:right w:val="single" w:sz="6" w:space="0" w:color="000000"/>
            </w:tcBorders>
          </w:tcPr>
          <w:p w14:paraId="3CC0E3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ED5A614"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75511F3C" w14:textId="77777777" w:rsidR="00A2416E" w:rsidRDefault="00A2416E">
            <w:pPr>
              <w:pStyle w:val="TableParagraph"/>
              <w:spacing w:before="0"/>
              <w:ind w:left="0"/>
              <w:rPr>
                <w:sz w:val="16"/>
              </w:rPr>
            </w:pPr>
          </w:p>
        </w:tc>
      </w:tr>
      <w:tr w:rsidR="00A2416E" w14:paraId="70AAD108" w14:textId="77777777">
        <w:trPr>
          <w:trHeight w:val="272"/>
        </w:trPr>
        <w:tc>
          <w:tcPr>
            <w:tcW w:w="2230" w:type="dxa"/>
            <w:tcBorders>
              <w:top w:val="single" w:sz="6" w:space="0" w:color="000000"/>
              <w:left w:val="nil"/>
              <w:bottom w:val="single" w:sz="6" w:space="0" w:color="000000"/>
              <w:right w:val="single" w:sz="6" w:space="0" w:color="000000"/>
            </w:tcBorders>
          </w:tcPr>
          <w:p w14:paraId="55AEC1A1" w14:textId="77777777" w:rsidR="00A2416E" w:rsidRDefault="00534832">
            <w:pPr>
              <w:pStyle w:val="TableParagraph"/>
              <w:ind w:left="7"/>
              <w:rPr>
                <w:sz w:val="10"/>
              </w:rPr>
            </w:pPr>
            <w:r>
              <w:rPr>
                <w:sz w:val="17"/>
              </w:rPr>
              <w:t>Natuurlijk bitumen</w:t>
            </w:r>
            <w:r>
              <w:rPr>
                <w:sz w:val="10"/>
              </w:rPr>
              <w:t>2</w:t>
            </w:r>
          </w:p>
        </w:tc>
        <w:tc>
          <w:tcPr>
            <w:tcW w:w="1803" w:type="dxa"/>
            <w:vMerge/>
            <w:tcBorders>
              <w:top w:val="nil"/>
              <w:left w:val="single" w:sz="6" w:space="0" w:color="000000"/>
              <w:bottom w:val="single" w:sz="6" w:space="0" w:color="000000"/>
              <w:right w:val="single" w:sz="6" w:space="0" w:color="000000"/>
            </w:tcBorders>
          </w:tcPr>
          <w:p w14:paraId="2C4711B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3D7F2CE3" w14:textId="77777777" w:rsidR="00A2416E" w:rsidRDefault="00534832">
            <w:pPr>
              <w:pStyle w:val="TableParagraph"/>
              <w:rPr>
                <w:sz w:val="17"/>
              </w:rPr>
            </w:pPr>
            <w:r>
              <w:rPr>
                <w:sz w:val="17"/>
              </w:rPr>
              <w:t>108,5</w:t>
            </w:r>
          </w:p>
        </w:tc>
        <w:tc>
          <w:tcPr>
            <w:tcW w:w="1574" w:type="dxa"/>
            <w:tcBorders>
              <w:top w:val="single" w:sz="6" w:space="0" w:color="000000"/>
              <w:left w:val="single" w:sz="6" w:space="0" w:color="000000"/>
              <w:bottom w:val="single" w:sz="6" w:space="0" w:color="000000"/>
              <w:right w:val="nil"/>
            </w:tcBorders>
          </w:tcPr>
          <w:p w14:paraId="52E9DC07" w14:textId="77777777" w:rsidR="00A2416E" w:rsidRDefault="00A2416E">
            <w:pPr>
              <w:pStyle w:val="TableParagraph"/>
              <w:spacing w:before="0"/>
              <w:ind w:left="0"/>
              <w:rPr>
                <w:sz w:val="16"/>
              </w:rPr>
            </w:pPr>
          </w:p>
        </w:tc>
      </w:tr>
      <w:tr w:rsidR="00A2416E" w14:paraId="676BFD6A" w14:textId="77777777">
        <w:trPr>
          <w:trHeight w:val="272"/>
        </w:trPr>
        <w:tc>
          <w:tcPr>
            <w:tcW w:w="2230" w:type="dxa"/>
            <w:tcBorders>
              <w:top w:val="single" w:sz="6" w:space="0" w:color="000000"/>
              <w:left w:val="nil"/>
              <w:bottom w:val="single" w:sz="6" w:space="0" w:color="000000"/>
              <w:right w:val="single" w:sz="6" w:space="0" w:color="000000"/>
            </w:tcBorders>
          </w:tcPr>
          <w:p w14:paraId="64220D99" w14:textId="77777777" w:rsidR="00A2416E" w:rsidRDefault="00534832">
            <w:pPr>
              <w:pStyle w:val="TableParagraph"/>
              <w:ind w:left="7"/>
              <w:rPr>
                <w:sz w:val="10"/>
              </w:rPr>
            </w:pPr>
            <w:r>
              <w:rPr>
                <w:sz w:val="17"/>
              </w:rPr>
              <w:t>Olieschalie</w:t>
            </w:r>
            <w:r>
              <w:rPr>
                <w:sz w:val="10"/>
              </w:rPr>
              <w:t>3</w:t>
            </w:r>
          </w:p>
        </w:tc>
        <w:tc>
          <w:tcPr>
            <w:tcW w:w="1803" w:type="dxa"/>
            <w:vMerge/>
            <w:tcBorders>
              <w:top w:val="nil"/>
              <w:left w:val="single" w:sz="6" w:space="0" w:color="000000"/>
              <w:bottom w:val="single" w:sz="6" w:space="0" w:color="000000"/>
              <w:right w:val="single" w:sz="6" w:space="0" w:color="000000"/>
            </w:tcBorders>
          </w:tcPr>
          <w:p w14:paraId="0970A3CA"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14843DD" w14:textId="77777777" w:rsidR="00A2416E" w:rsidRDefault="00534832">
            <w:pPr>
              <w:pStyle w:val="TableParagraph"/>
              <w:rPr>
                <w:sz w:val="17"/>
              </w:rPr>
            </w:pPr>
            <w:r>
              <w:rPr>
                <w:sz w:val="17"/>
              </w:rPr>
              <w:t>133.7</w:t>
            </w:r>
          </w:p>
        </w:tc>
        <w:tc>
          <w:tcPr>
            <w:tcW w:w="1574" w:type="dxa"/>
            <w:tcBorders>
              <w:top w:val="single" w:sz="6" w:space="0" w:color="000000"/>
              <w:left w:val="single" w:sz="6" w:space="0" w:color="000000"/>
              <w:bottom w:val="single" w:sz="6" w:space="0" w:color="000000"/>
              <w:right w:val="nil"/>
            </w:tcBorders>
          </w:tcPr>
          <w:p w14:paraId="0C605A11" w14:textId="77777777" w:rsidR="00A2416E" w:rsidRDefault="00A2416E">
            <w:pPr>
              <w:pStyle w:val="TableParagraph"/>
              <w:spacing w:before="0"/>
              <w:ind w:left="0"/>
              <w:rPr>
                <w:sz w:val="16"/>
              </w:rPr>
            </w:pPr>
          </w:p>
        </w:tc>
      </w:tr>
      <w:tr w:rsidR="00A2416E" w14:paraId="6EFD38CA" w14:textId="77777777">
        <w:trPr>
          <w:trHeight w:val="462"/>
        </w:trPr>
        <w:tc>
          <w:tcPr>
            <w:tcW w:w="2230" w:type="dxa"/>
            <w:tcBorders>
              <w:top w:val="single" w:sz="6" w:space="0" w:color="000000"/>
              <w:left w:val="nil"/>
              <w:bottom w:val="single" w:sz="6" w:space="0" w:color="000000"/>
              <w:right w:val="single" w:sz="6" w:space="0" w:color="000000"/>
            </w:tcBorders>
          </w:tcPr>
          <w:p w14:paraId="34E5B109" w14:textId="77777777" w:rsidR="00A2416E" w:rsidRDefault="00534832" w:rsidP="00B32B66">
            <w:pPr>
              <w:pStyle w:val="TableParagraph"/>
              <w:spacing w:before="0"/>
              <w:ind w:left="6"/>
              <w:rPr>
                <w:sz w:val="17"/>
              </w:rPr>
            </w:pPr>
            <w:r>
              <w:rPr>
                <w:sz w:val="17"/>
              </w:rPr>
              <w:t>Alle fossiele bronnen</w:t>
            </w:r>
          </w:p>
        </w:tc>
        <w:tc>
          <w:tcPr>
            <w:tcW w:w="1803" w:type="dxa"/>
            <w:tcBorders>
              <w:top w:val="single" w:sz="6" w:space="0" w:color="000000"/>
              <w:left w:val="single" w:sz="6" w:space="0" w:color="000000"/>
              <w:bottom w:val="single" w:sz="6" w:space="0" w:color="000000"/>
              <w:right w:val="single" w:sz="6" w:space="0" w:color="000000"/>
            </w:tcBorders>
          </w:tcPr>
          <w:p w14:paraId="6AC584D4" w14:textId="77777777" w:rsidR="00A2416E" w:rsidRDefault="00534832" w:rsidP="00B32B66">
            <w:pPr>
              <w:pStyle w:val="TableParagraph"/>
              <w:spacing w:before="41" w:line="233" w:lineRule="auto"/>
              <w:ind w:left="113"/>
              <w:rPr>
                <w:sz w:val="17"/>
              </w:rPr>
            </w:pPr>
            <w:r>
              <w:rPr>
                <w:sz w:val="17"/>
              </w:rPr>
              <w:t>LPG in een motor met vonkontsteking</w:t>
            </w:r>
          </w:p>
        </w:tc>
        <w:tc>
          <w:tcPr>
            <w:tcW w:w="1361" w:type="dxa"/>
            <w:tcBorders>
              <w:top w:val="single" w:sz="6" w:space="0" w:color="000000"/>
              <w:left w:val="single" w:sz="6" w:space="0" w:color="000000"/>
              <w:bottom w:val="single" w:sz="6" w:space="0" w:color="000000"/>
              <w:right w:val="single" w:sz="6" w:space="0" w:color="000000"/>
            </w:tcBorders>
          </w:tcPr>
          <w:p w14:paraId="36859BB2" w14:textId="77777777" w:rsidR="00A2416E" w:rsidRDefault="00534832">
            <w:pPr>
              <w:pStyle w:val="TableParagraph"/>
              <w:rPr>
                <w:sz w:val="17"/>
              </w:rPr>
            </w:pPr>
            <w:r>
              <w:rPr>
                <w:sz w:val="17"/>
              </w:rPr>
              <w:t>73.6</w:t>
            </w:r>
          </w:p>
        </w:tc>
        <w:tc>
          <w:tcPr>
            <w:tcW w:w="1574" w:type="dxa"/>
            <w:tcBorders>
              <w:top w:val="single" w:sz="6" w:space="0" w:color="000000"/>
              <w:left w:val="single" w:sz="6" w:space="0" w:color="000000"/>
              <w:bottom w:val="single" w:sz="6" w:space="0" w:color="000000"/>
              <w:right w:val="nil"/>
            </w:tcBorders>
          </w:tcPr>
          <w:p w14:paraId="3EB2DE0C" w14:textId="77777777" w:rsidR="00A2416E" w:rsidRDefault="00534832">
            <w:pPr>
              <w:pStyle w:val="TableParagraph"/>
              <w:rPr>
                <w:sz w:val="17"/>
              </w:rPr>
            </w:pPr>
            <w:r>
              <w:rPr>
                <w:sz w:val="17"/>
              </w:rPr>
              <w:t>73.6</w:t>
            </w:r>
          </w:p>
        </w:tc>
      </w:tr>
      <w:tr w:rsidR="00A2416E" w14:paraId="235193A8" w14:textId="77777777">
        <w:trPr>
          <w:trHeight w:val="652"/>
        </w:trPr>
        <w:tc>
          <w:tcPr>
            <w:tcW w:w="2230" w:type="dxa"/>
            <w:tcBorders>
              <w:top w:val="single" w:sz="6" w:space="0" w:color="000000"/>
              <w:left w:val="nil"/>
              <w:bottom w:val="single" w:sz="6" w:space="0" w:color="000000"/>
              <w:right w:val="single" w:sz="6" w:space="0" w:color="000000"/>
            </w:tcBorders>
          </w:tcPr>
          <w:p w14:paraId="037893B3" w14:textId="77777777" w:rsidR="00A2416E" w:rsidRDefault="00534832" w:rsidP="00B32B66">
            <w:pPr>
              <w:pStyle w:val="TableParagraph"/>
              <w:spacing w:before="0"/>
              <w:ind w:left="6"/>
              <w:rPr>
                <w:sz w:val="17"/>
              </w:rPr>
            </w:pPr>
            <w:r>
              <w:rPr>
                <w:sz w:val="17"/>
              </w:rPr>
              <w:t>Aardgas, energiemix van de EU</w:t>
            </w:r>
          </w:p>
        </w:tc>
        <w:tc>
          <w:tcPr>
            <w:tcW w:w="1803" w:type="dxa"/>
            <w:tcBorders>
              <w:top w:val="single" w:sz="6" w:space="0" w:color="000000"/>
              <w:left w:val="single" w:sz="6" w:space="0" w:color="000000"/>
              <w:bottom w:val="single" w:sz="6" w:space="0" w:color="000000"/>
              <w:right w:val="single" w:sz="6" w:space="0" w:color="000000"/>
            </w:tcBorders>
          </w:tcPr>
          <w:p w14:paraId="43C6E64F" w14:textId="77777777" w:rsidR="00A2416E" w:rsidRDefault="00534832" w:rsidP="00B32B66">
            <w:pPr>
              <w:pStyle w:val="TableParagraph"/>
              <w:spacing w:before="41" w:line="233" w:lineRule="auto"/>
              <w:ind w:left="113"/>
              <w:rPr>
                <w:sz w:val="17"/>
              </w:rPr>
            </w:pPr>
            <w:r>
              <w:rPr>
                <w:sz w:val="17"/>
              </w:rPr>
              <w:t>Gecomprimeerd aardgas in een motor met vonkontsteking</w:t>
            </w:r>
          </w:p>
        </w:tc>
        <w:tc>
          <w:tcPr>
            <w:tcW w:w="1361" w:type="dxa"/>
            <w:tcBorders>
              <w:top w:val="single" w:sz="6" w:space="0" w:color="000000"/>
              <w:left w:val="single" w:sz="6" w:space="0" w:color="000000"/>
              <w:bottom w:val="single" w:sz="6" w:space="0" w:color="000000"/>
              <w:right w:val="single" w:sz="6" w:space="0" w:color="000000"/>
            </w:tcBorders>
          </w:tcPr>
          <w:p w14:paraId="407E4BF3" w14:textId="77777777" w:rsidR="00A2416E" w:rsidRDefault="00534832">
            <w:pPr>
              <w:pStyle w:val="TableParagraph"/>
              <w:rPr>
                <w:sz w:val="17"/>
              </w:rPr>
            </w:pPr>
            <w:r>
              <w:rPr>
                <w:sz w:val="17"/>
              </w:rPr>
              <w:t>69.3</w:t>
            </w:r>
          </w:p>
        </w:tc>
        <w:tc>
          <w:tcPr>
            <w:tcW w:w="1574" w:type="dxa"/>
            <w:tcBorders>
              <w:top w:val="single" w:sz="6" w:space="0" w:color="000000"/>
              <w:left w:val="single" w:sz="6" w:space="0" w:color="000000"/>
              <w:bottom w:val="single" w:sz="6" w:space="0" w:color="000000"/>
              <w:right w:val="nil"/>
            </w:tcBorders>
          </w:tcPr>
          <w:p w14:paraId="48348EA8" w14:textId="77777777" w:rsidR="00A2416E" w:rsidRDefault="00534832">
            <w:pPr>
              <w:pStyle w:val="TableParagraph"/>
              <w:rPr>
                <w:sz w:val="17"/>
              </w:rPr>
            </w:pPr>
            <w:r>
              <w:rPr>
                <w:sz w:val="17"/>
              </w:rPr>
              <w:t>69.3</w:t>
            </w:r>
          </w:p>
        </w:tc>
      </w:tr>
      <w:tr w:rsidR="00A2416E" w14:paraId="748DCDF5" w14:textId="77777777">
        <w:trPr>
          <w:trHeight w:val="652"/>
        </w:trPr>
        <w:tc>
          <w:tcPr>
            <w:tcW w:w="2230" w:type="dxa"/>
            <w:tcBorders>
              <w:top w:val="single" w:sz="6" w:space="0" w:color="000000"/>
              <w:left w:val="nil"/>
              <w:bottom w:val="single" w:sz="6" w:space="0" w:color="000000"/>
              <w:right w:val="single" w:sz="6" w:space="0" w:color="000000"/>
            </w:tcBorders>
          </w:tcPr>
          <w:p w14:paraId="0B9A5898" w14:textId="77777777" w:rsidR="00A2416E" w:rsidRDefault="00534832" w:rsidP="00B32B66">
            <w:pPr>
              <w:pStyle w:val="TableParagraph"/>
              <w:spacing w:before="0"/>
              <w:ind w:left="6"/>
              <w:rPr>
                <w:sz w:val="17"/>
              </w:rPr>
            </w:pPr>
            <w:r>
              <w:rPr>
                <w:sz w:val="17"/>
              </w:rPr>
              <w:t>Aardgas, energiemix van de EU</w:t>
            </w:r>
          </w:p>
        </w:tc>
        <w:tc>
          <w:tcPr>
            <w:tcW w:w="1803" w:type="dxa"/>
            <w:tcBorders>
              <w:top w:val="single" w:sz="6" w:space="0" w:color="000000"/>
              <w:left w:val="single" w:sz="6" w:space="0" w:color="000000"/>
              <w:bottom w:val="single" w:sz="6" w:space="0" w:color="000000"/>
              <w:right w:val="single" w:sz="6" w:space="0" w:color="000000"/>
            </w:tcBorders>
          </w:tcPr>
          <w:p w14:paraId="3B457A6A" w14:textId="77777777" w:rsidR="00A2416E" w:rsidRDefault="00534832" w:rsidP="00B32B66">
            <w:pPr>
              <w:pStyle w:val="TableParagraph"/>
              <w:spacing w:before="41" w:line="233" w:lineRule="auto"/>
              <w:ind w:left="113"/>
              <w:rPr>
                <w:sz w:val="17"/>
              </w:rPr>
            </w:pPr>
            <w:r>
              <w:rPr>
                <w:sz w:val="17"/>
              </w:rPr>
              <w:t>Vloeibaar aardgas (LNG) in een motor met vonkontsteking</w:t>
            </w:r>
          </w:p>
        </w:tc>
        <w:tc>
          <w:tcPr>
            <w:tcW w:w="1361" w:type="dxa"/>
            <w:tcBorders>
              <w:top w:val="single" w:sz="6" w:space="0" w:color="000000"/>
              <w:left w:val="single" w:sz="6" w:space="0" w:color="000000"/>
              <w:bottom w:val="single" w:sz="6" w:space="0" w:color="000000"/>
              <w:right w:val="single" w:sz="6" w:space="0" w:color="000000"/>
            </w:tcBorders>
          </w:tcPr>
          <w:p w14:paraId="7375FB03" w14:textId="77777777" w:rsidR="00A2416E" w:rsidRDefault="00534832">
            <w:pPr>
              <w:pStyle w:val="TableParagraph"/>
              <w:rPr>
                <w:sz w:val="17"/>
              </w:rPr>
            </w:pPr>
            <w:r>
              <w:rPr>
                <w:sz w:val="17"/>
              </w:rPr>
              <w:t>74.5</w:t>
            </w:r>
          </w:p>
        </w:tc>
        <w:tc>
          <w:tcPr>
            <w:tcW w:w="1574" w:type="dxa"/>
            <w:tcBorders>
              <w:top w:val="single" w:sz="6" w:space="0" w:color="000000"/>
              <w:left w:val="single" w:sz="6" w:space="0" w:color="000000"/>
              <w:bottom w:val="single" w:sz="6" w:space="0" w:color="000000"/>
              <w:right w:val="nil"/>
            </w:tcBorders>
          </w:tcPr>
          <w:p w14:paraId="102B9F60" w14:textId="77777777" w:rsidR="00A2416E" w:rsidRDefault="00534832">
            <w:pPr>
              <w:pStyle w:val="TableParagraph"/>
              <w:rPr>
                <w:sz w:val="17"/>
              </w:rPr>
            </w:pPr>
            <w:r>
              <w:rPr>
                <w:sz w:val="17"/>
              </w:rPr>
              <w:t>74.5</w:t>
            </w:r>
          </w:p>
        </w:tc>
      </w:tr>
      <w:tr w:rsidR="00A2416E" w14:paraId="6E44497F" w14:textId="77777777">
        <w:trPr>
          <w:trHeight w:val="652"/>
        </w:trPr>
        <w:tc>
          <w:tcPr>
            <w:tcW w:w="2230" w:type="dxa"/>
            <w:tcBorders>
              <w:top w:val="single" w:sz="6" w:space="0" w:color="000000"/>
              <w:left w:val="nil"/>
              <w:bottom w:val="single" w:sz="6" w:space="0" w:color="000000"/>
              <w:right w:val="single" w:sz="6" w:space="0" w:color="000000"/>
            </w:tcBorders>
          </w:tcPr>
          <w:p w14:paraId="7F233705" w14:textId="77777777" w:rsidR="00A2416E" w:rsidRDefault="00534832" w:rsidP="00B32B66">
            <w:pPr>
              <w:pStyle w:val="TableParagraph"/>
              <w:spacing w:before="0" w:line="232" w:lineRule="auto"/>
              <w:ind w:left="6"/>
              <w:rPr>
                <w:sz w:val="17"/>
              </w:rPr>
            </w:pPr>
            <w:r>
              <w:rPr>
                <w:sz w:val="17"/>
              </w:rPr>
              <w:t>Sabatier-reactie van waterstof door elektrolyse met</w:t>
            </w:r>
          </w:p>
          <w:p w14:paraId="0502C750" w14:textId="77777777" w:rsidR="00A2416E" w:rsidRDefault="00534832" w:rsidP="00B32B66">
            <w:pPr>
              <w:pStyle w:val="TableParagraph"/>
              <w:spacing w:before="0" w:line="191" w:lineRule="exact"/>
              <w:ind w:left="6"/>
              <w:rPr>
                <w:sz w:val="17"/>
              </w:rPr>
            </w:pPr>
            <w:r>
              <w:rPr>
                <w:sz w:val="17"/>
              </w:rPr>
              <w:t>niet-biologische hernieuwbare energie</w:t>
            </w:r>
          </w:p>
        </w:tc>
        <w:tc>
          <w:tcPr>
            <w:tcW w:w="1803" w:type="dxa"/>
            <w:tcBorders>
              <w:top w:val="single" w:sz="6" w:space="0" w:color="000000"/>
              <w:left w:val="single" w:sz="6" w:space="0" w:color="000000"/>
              <w:bottom w:val="single" w:sz="6" w:space="0" w:color="000000"/>
              <w:right w:val="single" w:sz="6" w:space="0" w:color="000000"/>
            </w:tcBorders>
          </w:tcPr>
          <w:p w14:paraId="56A4EB5A" w14:textId="77777777" w:rsidR="00A2416E" w:rsidRDefault="00534832" w:rsidP="00B32B66">
            <w:pPr>
              <w:pStyle w:val="TableParagraph"/>
              <w:spacing w:before="41" w:line="233" w:lineRule="auto"/>
              <w:ind w:left="113"/>
              <w:rPr>
                <w:sz w:val="17"/>
              </w:rPr>
            </w:pPr>
            <w:r>
              <w:rPr>
                <w:sz w:val="17"/>
              </w:rPr>
              <w:t>Gecomprimeerd synthetisch methaan in een motor met vonkontsteking</w:t>
            </w:r>
          </w:p>
        </w:tc>
        <w:tc>
          <w:tcPr>
            <w:tcW w:w="1361" w:type="dxa"/>
            <w:tcBorders>
              <w:top w:val="single" w:sz="6" w:space="0" w:color="000000"/>
              <w:left w:val="single" w:sz="6" w:space="0" w:color="000000"/>
              <w:bottom w:val="single" w:sz="6" w:space="0" w:color="000000"/>
              <w:right w:val="single" w:sz="6" w:space="0" w:color="000000"/>
            </w:tcBorders>
          </w:tcPr>
          <w:p w14:paraId="0FE5CABE" w14:textId="77777777" w:rsidR="00A2416E" w:rsidRDefault="00534832">
            <w:pPr>
              <w:pStyle w:val="TableParagraph"/>
              <w:rPr>
                <w:sz w:val="17"/>
              </w:rPr>
            </w:pPr>
            <w:r>
              <w:rPr>
                <w:sz w:val="17"/>
              </w:rPr>
              <w:t>3.3</w:t>
            </w:r>
          </w:p>
        </w:tc>
        <w:tc>
          <w:tcPr>
            <w:tcW w:w="1574" w:type="dxa"/>
            <w:tcBorders>
              <w:top w:val="single" w:sz="6" w:space="0" w:color="000000"/>
              <w:left w:val="single" w:sz="6" w:space="0" w:color="000000"/>
              <w:bottom w:val="single" w:sz="6" w:space="0" w:color="000000"/>
              <w:right w:val="nil"/>
            </w:tcBorders>
          </w:tcPr>
          <w:p w14:paraId="7D9F95D7" w14:textId="77777777" w:rsidR="00A2416E" w:rsidRDefault="00534832">
            <w:pPr>
              <w:pStyle w:val="TableParagraph"/>
              <w:rPr>
                <w:sz w:val="17"/>
              </w:rPr>
            </w:pPr>
            <w:r>
              <w:rPr>
                <w:sz w:val="17"/>
              </w:rPr>
              <w:t>3.3</w:t>
            </w:r>
          </w:p>
        </w:tc>
      </w:tr>
      <w:tr w:rsidR="00A2416E" w14:paraId="3DEDD229" w14:textId="77777777">
        <w:trPr>
          <w:trHeight w:val="462"/>
        </w:trPr>
        <w:tc>
          <w:tcPr>
            <w:tcW w:w="2230" w:type="dxa"/>
            <w:tcBorders>
              <w:top w:val="single" w:sz="6" w:space="0" w:color="000000"/>
              <w:left w:val="nil"/>
              <w:bottom w:val="single" w:sz="6" w:space="0" w:color="000000"/>
              <w:right w:val="single" w:sz="6" w:space="0" w:color="000000"/>
            </w:tcBorders>
          </w:tcPr>
          <w:p w14:paraId="4CC478A9" w14:textId="77777777" w:rsidR="00A2416E" w:rsidRDefault="00534832" w:rsidP="00B32B66">
            <w:pPr>
              <w:pStyle w:val="TableParagraph"/>
              <w:spacing w:before="0" w:line="232" w:lineRule="auto"/>
              <w:ind w:left="6"/>
              <w:rPr>
                <w:sz w:val="17"/>
              </w:rPr>
            </w:pPr>
            <w:r>
              <w:rPr>
                <w:sz w:val="17"/>
              </w:rPr>
              <w:t>Aardgas door stoomhervorming</w:t>
            </w:r>
          </w:p>
        </w:tc>
        <w:tc>
          <w:tcPr>
            <w:tcW w:w="1803" w:type="dxa"/>
            <w:tcBorders>
              <w:top w:val="single" w:sz="6" w:space="0" w:color="000000"/>
              <w:left w:val="single" w:sz="6" w:space="0" w:color="000000"/>
              <w:bottom w:val="single" w:sz="6" w:space="0" w:color="000000"/>
              <w:right w:val="single" w:sz="6" w:space="0" w:color="000000"/>
            </w:tcBorders>
          </w:tcPr>
          <w:p w14:paraId="2855B80C" w14:textId="77777777" w:rsidR="00A2416E" w:rsidRDefault="00534832" w:rsidP="00B32B66">
            <w:pPr>
              <w:pStyle w:val="TableParagraph"/>
              <w:spacing w:before="41" w:line="233" w:lineRule="auto"/>
              <w:ind w:left="113"/>
              <w:rPr>
                <w:sz w:val="17"/>
              </w:rPr>
            </w:pPr>
            <w:r>
              <w:rPr>
                <w:sz w:val="17"/>
              </w:rPr>
              <w:t>Gecomprimeerde waterstof in een brandstofcel</w:t>
            </w:r>
          </w:p>
        </w:tc>
        <w:tc>
          <w:tcPr>
            <w:tcW w:w="1361" w:type="dxa"/>
            <w:tcBorders>
              <w:top w:val="single" w:sz="6" w:space="0" w:color="000000"/>
              <w:left w:val="single" w:sz="6" w:space="0" w:color="000000"/>
              <w:bottom w:val="single" w:sz="6" w:space="0" w:color="000000"/>
              <w:right w:val="single" w:sz="6" w:space="0" w:color="000000"/>
            </w:tcBorders>
          </w:tcPr>
          <w:p w14:paraId="7B82773A" w14:textId="77777777" w:rsidR="00A2416E" w:rsidRDefault="00534832">
            <w:pPr>
              <w:pStyle w:val="TableParagraph"/>
              <w:rPr>
                <w:sz w:val="17"/>
              </w:rPr>
            </w:pPr>
            <w:r>
              <w:rPr>
                <w:sz w:val="17"/>
              </w:rPr>
              <w:t>104,3</w:t>
            </w:r>
          </w:p>
        </w:tc>
        <w:tc>
          <w:tcPr>
            <w:tcW w:w="1574" w:type="dxa"/>
            <w:tcBorders>
              <w:top w:val="single" w:sz="6" w:space="0" w:color="000000"/>
              <w:left w:val="single" w:sz="6" w:space="0" w:color="000000"/>
              <w:bottom w:val="single" w:sz="6" w:space="0" w:color="000000"/>
              <w:right w:val="nil"/>
            </w:tcBorders>
          </w:tcPr>
          <w:p w14:paraId="5724E83A" w14:textId="77777777" w:rsidR="00A2416E" w:rsidRDefault="00534832">
            <w:pPr>
              <w:pStyle w:val="TableParagraph"/>
              <w:rPr>
                <w:sz w:val="17"/>
              </w:rPr>
            </w:pPr>
            <w:r>
              <w:rPr>
                <w:sz w:val="17"/>
              </w:rPr>
              <w:t>104,3</w:t>
            </w:r>
          </w:p>
        </w:tc>
      </w:tr>
      <w:tr w:rsidR="00A2416E" w14:paraId="08CAB5BA" w14:textId="77777777">
        <w:trPr>
          <w:trHeight w:val="462"/>
        </w:trPr>
        <w:tc>
          <w:tcPr>
            <w:tcW w:w="2230" w:type="dxa"/>
            <w:tcBorders>
              <w:top w:val="single" w:sz="6" w:space="0" w:color="000000"/>
              <w:left w:val="nil"/>
              <w:bottom w:val="single" w:sz="6" w:space="0" w:color="000000"/>
              <w:right w:val="single" w:sz="6" w:space="0" w:color="000000"/>
            </w:tcBorders>
          </w:tcPr>
          <w:p w14:paraId="67A4479C" w14:textId="77777777" w:rsidR="00A2416E" w:rsidRDefault="00534832" w:rsidP="00B32B66">
            <w:pPr>
              <w:pStyle w:val="TableParagraph"/>
              <w:spacing w:before="0" w:line="232" w:lineRule="auto"/>
              <w:ind w:left="6"/>
              <w:rPr>
                <w:sz w:val="17"/>
              </w:rPr>
            </w:pPr>
            <w:r>
              <w:rPr>
                <w:sz w:val="17"/>
              </w:rPr>
              <w:t>Elektrolyse volledig aangedreven door hernieuwbare niet-biologische energie</w:t>
            </w:r>
          </w:p>
        </w:tc>
        <w:tc>
          <w:tcPr>
            <w:tcW w:w="1803" w:type="dxa"/>
            <w:tcBorders>
              <w:top w:val="single" w:sz="6" w:space="0" w:color="000000"/>
              <w:left w:val="single" w:sz="6" w:space="0" w:color="000000"/>
              <w:bottom w:val="single" w:sz="6" w:space="0" w:color="000000"/>
              <w:right w:val="single" w:sz="6" w:space="0" w:color="000000"/>
            </w:tcBorders>
          </w:tcPr>
          <w:p w14:paraId="245C07E9" w14:textId="77777777" w:rsidR="00A2416E" w:rsidRDefault="00534832" w:rsidP="00B32B66">
            <w:pPr>
              <w:pStyle w:val="TableParagraph"/>
              <w:spacing w:before="41" w:line="233" w:lineRule="auto"/>
              <w:ind w:left="113"/>
              <w:rPr>
                <w:sz w:val="17"/>
              </w:rPr>
            </w:pPr>
            <w:r>
              <w:rPr>
                <w:sz w:val="17"/>
              </w:rPr>
              <w:t>Gecomprimeerde waterstof in een brandstofcel</w:t>
            </w:r>
          </w:p>
        </w:tc>
        <w:tc>
          <w:tcPr>
            <w:tcW w:w="1361" w:type="dxa"/>
            <w:tcBorders>
              <w:top w:val="single" w:sz="6" w:space="0" w:color="000000"/>
              <w:left w:val="single" w:sz="6" w:space="0" w:color="000000"/>
              <w:bottom w:val="single" w:sz="6" w:space="0" w:color="000000"/>
              <w:right w:val="single" w:sz="6" w:space="0" w:color="000000"/>
            </w:tcBorders>
          </w:tcPr>
          <w:p w14:paraId="79A8401F" w14:textId="77777777" w:rsidR="00A2416E" w:rsidRDefault="00534832">
            <w:pPr>
              <w:pStyle w:val="TableParagraph"/>
              <w:rPr>
                <w:sz w:val="17"/>
              </w:rPr>
            </w:pPr>
            <w:r>
              <w:rPr>
                <w:sz w:val="17"/>
              </w:rPr>
              <w:t>9.1</w:t>
            </w:r>
          </w:p>
        </w:tc>
        <w:tc>
          <w:tcPr>
            <w:tcW w:w="1574" w:type="dxa"/>
            <w:tcBorders>
              <w:top w:val="single" w:sz="6" w:space="0" w:color="000000"/>
              <w:left w:val="single" w:sz="6" w:space="0" w:color="000000"/>
              <w:bottom w:val="single" w:sz="6" w:space="0" w:color="000000"/>
              <w:right w:val="nil"/>
            </w:tcBorders>
          </w:tcPr>
          <w:p w14:paraId="46B0D43B" w14:textId="77777777" w:rsidR="00A2416E" w:rsidRDefault="00534832">
            <w:pPr>
              <w:pStyle w:val="TableParagraph"/>
              <w:rPr>
                <w:sz w:val="17"/>
              </w:rPr>
            </w:pPr>
            <w:r>
              <w:rPr>
                <w:sz w:val="17"/>
              </w:rPr>
              <w:t>9.1</w:t>
            </w:r>
          </w:p>
        </w:tc>
      </w:tr>
      <w:tr w:rsidR="00A2416E" w14:paraId="0C1EC040" w14:textId="77777777">
        <w:trPr>
          <w:trHeight w:val="462"/>
        </w:trPr>
        <w:tc>
          <w:tcPr>
            <w:tcW w:w="2230" w:type="dxa"/>
            <w:tcBorders>
              <w:top w:val="single" w:sz="6" w:space="0" w:color="000000"/>
              <w:left w:val="nil"/>
              <w:bottom w:val="single" w:sz="6" w:space="0" w:color="000000"/>
              <w:right w:val="single" w:sz="6" w:space="0" w:color="000000"/>
            </w:tcBorders>
          </w:tcPr>
          <w:p w14:paraId="63AA4F53" w14:textId="77777777" w:rsidR="00A2416E" w:rsidRDefault="00534832" w:rsidP="00B32B66">
            <w:pPr>
              <w:pStyle w:val="TableParagraph"/>
              <w:spacing w:before="0"/>
              <w:ind w:left="6"/>
              <w:rPr>
                <w:sz w:val="17"/>
              </w:rPr>
            </w:pPr>
            <w:r>
              <w:rPr>
                <w:sz w:val="17"/>
              </w:rPr>
              <w:t>Steenkool</w:t>
            </w:r>
          </w:p>
        </w:tc>
        <w:tc>
          <w:tcPr>
            <w:tcW w:w="1803" w:type="dxa"/>
            <w:tcBorders>
              <w:top w:val="single" w:sz="6" w:space="0" w:color="000000"/>
              <w:left w:val="single" w:sz="6" w:space="0" w:color="000000"/>
              <w:bottom w:val="single" w:sz="6" w:space="0" w:color="000000"/>
              <w:right w:val="single" w:sz="6" w:space="0" w:color="000000"/>
            </w:tcBorders>
          </w:tcPr>
          <w:p w14:paraId="17B20A2E" w14:textId="77777777" w:rsidR="00A2416E" w:rsidRDefault="00534832" w:rsidP="00B32B66">
            <w:pPr>
              <w:pStyle w:val="TableParagraph"/>
              <w:spacing w:before="41" w:line="233" w:lineRule="auto"/>
              <w:ind w:left="113"/>
              <w:rPr>
                <w:sz w:val="17"/>
              </w:rPr>
            </w:pPr>
            <w:r>
              <w:rPr>
                <w:sz w:val="17"/>
              </w:rPr>
              <w:t>Gecomprimeerde waterstof in een brandstofcel</w:t>
            </w:r>
          </w:p>
        </w:tc>
        <w:tc>
          <w:tcPr>
            <w:tcW w:w="1361" w:type="dxa"/>
            <w:tcBorders>
              <w:top w:val="single" w:sz="6" w:space="0" w:color="000000"/>
              <w:left w:val="single" w:sz="6" w:space="0" w:color="000000"/>
              <w:bottom w:val="single" w:sz="6" w:space="0" w:color="000000"/>
              <w:right w:val="single" w:sz="6" w:space="0" w:color="000000"/>
            </w:tcBorders>
          </w:tcPr>
          <w:p w14:paraId="243D5730" w14:textId="77777777" w:rsidR="00A2416E" w:rsidRDefault="00534832">
            <w:pPr>
              <w:pStyle w:val="TableParagraph"/>
              <w:rPr>
                <w:sz w:val="17"/>
              </w:rPr>
            </w:pPr>
            <w:r>
              <w:rPr>
                <w:sz w:val="17"/>
              </w:rPr>
              <w:t>234.4</w:t>
            </w:r>
          </w:p>
        </w:tc>
        <w:tc>
          <w:tcPr>
            <w:tcW w:w="1574" w:type="dxa"/>
            <w:tcBorders>
              <w:top w:val="single" w:sz="6" w:space="0" w:color="000000"/>
              <w:left w:val="single" w:sz="6" w:space="0" w:color="000000"/>
              <w:bottom w:val="single" w:sz="6" w:space="0" w:color="000000"/>
              <w:right w:val="nil"/>
            </w:tcBorders>
          </w:tcPr>
          <w:p w14:paraId="6046830F" w14:textId="77777777" w:rsidR="00A2416E" w:rsidRDefault="00534832">
            <w:pPr>
              <w:pStyle w:val="TableParagraph"/>
              <w:rPr>
                <w:sz w:val="17"/>
              </w:rPr>
            </w:pPr>
            <w:r>
              <w:rPr>
                <w:sz w:val="17"/>
              </w:rPr>
              <w:t>234.4</w:t>
            </w:r>
          </w:p>
        </w:tc>
      </w:tr>
      <w:tr w:rsidR="00A2416E" w14:paraId="789D2C95" w14:textId="77777777">
        <w:trPr>
          <w:trHeight w:val="462"/>
        </w:trPr>
        <w:tc>
          <w:tcPr>
            <w:tcW w:w="2230" w:type="dxa"/>
            <w:tcBorders>
              <w:top w:val="single" w:sz="6" w:space="0" w:color="000000"/>
              <w:left w:val="nil"/>
              <w:bottom w:val="single" w:sz="6" w:space="0" w:color="000000"/>
              <w:right w:val="single" w:sz="6" w:space="0" w:color="000000"/>
            </w:tcBorders>
          </w:tcPr>
          <w:p w14:paraId="12C21D03" w14:textId="77777777" w:rsidR="00A2416E" w:rsidRDefault="00534832" w:rsidP="00B32B66">
            <w:pPr>
              <w:pStyle w:val="TableParagraph"/>
              <w:spacing w:before="0" w:line="232" w:lineRule="auto"/>
              <w:ind w:left="6"/>
              <w:rPr>
                <w:sz w:val="17"/>
              </w:rPr>
            </w:pPr>
            <w:r>
              <w:rPr>
                <w:sz w:val="17"/>
              </w:rPr>
              <w:t>Steenkool met koolstofafvang en -opslag van procesemissies</w:t>
            </w:r>
          </w:p>
        </w:tc>
        <w:tc>
          <w:tcPr>
            <w:tcW w:w="1803" w:type="dxa"/>
            <w:tcBorders>
              <w:top w:val="single" w:sz="6" w:space="0" w:color="000000"/>
              <w:left w:val="single" w:sz="6" w:space="0" w:color="000000"/>
              <w:bottom w:val="single" w:sz="6" w:space="0" w:color="000000"/>
              <w:right w:val="single" w:sz="6" w:space="0" w:color="000000"/>
            </w:tcBorders>
          </w:tcPr>
          <w:p w14:paraId="3BDFB3B0" w14:textId="77777777" w:rsidR="00A2416E" w:rsidRDefault="00534832" w:rsidP="00B32B66">
            <w:pPr>
              <w:pStyle w:val="TableParagraph"/>
              <w:spacing w:before="41" w:line="233" w:lineRule="auto"/>
              <w:ind w:left="113"/>
              <w:rPr>
                <w:sz w:val="17"/>
              </w:rPr>
            </w:pPr>
            <w:r>
              <w:rPr>
                <w:sz w:val="17"/>
              </w:rPr>
              <w:t>Gecomprimeerde waterstof in een brandstofcel</w:t>
            </w:r>
          </w:p>
        </w:tc>
        <w:tc>
          <w:tcPr>
            <w:tcW w:w="1361" w:type="dxa"/>
            <w:tcBorders>
              <w:top w:val="single" w:sz="6" w:space="0" w:color="000000"/>
              <w:left w:val="single" w:sz="6" w:space="0" w:color="000000"/>
              <w:bottom w:val="single" w:sz="6" w:space="0" w:color="000000"/>
              <w:right w:val="single" w:sz="6" w:space="0" w:color="000000"/>
            </w:tcBorders>
          </w:tcPr>
          <w:p w14:paraId="0FFD383D" w14:textId="77777777" w:rsidR="00A2416E" w:rsidRDefault="00534832">
            <w:pPr>
              <w:pStyle w:val="TableParagraph"/>
              <w:rPr>
                <w:sz w:val="17"/>
              </w:rPr>
            </w:pPr>
            <w:r>
              <w:rPr>
                <w:sz w:val="17"/>
              </w:rPr>
              <w:t>52.7</w:t>
            </w:r>
          </w:p>
        </w:tc>
        <w:tc>
          <w:tcPr>
            <w:tcW w:w="1574" w:type="dxa"/>
            <w:tcBorders>
              <w:top w:val="single" w:sz="6" w:space="0" w:color="000000"/>
              <w:left w:val="single" w:sz="6" w:space="0" w:color="000000"/>
              <w:bottom w:val="single" w:sz="6" w:space="0" w:color="000000"/>
              <w:right w:val="nil"/>
            </w:tcBorders>
          </w:tcPr>
          <w:p w14:paraId="006332B6" w14:textId="77777777" w:rsidR="00A2416E" w:rsidRDefault="00534832">
            <w:pPr>
              <w:pStyle w:val="TableParagraph"/>
              <w:rPr>
                <w:sz w:val="17"/>
              </w:rPr>
            </w:pPr>
            <w:r>
              <w:rPr>
                <w:sz w:val="17"/>
              </w:rPr>
              <w:t>52.7</w:t>
            </w:r>
          </w:p>
        </w:tc>
      </w:tr>
      <w:tr w:rsidR="00A2416E" w14:paraId="1F750C81" w14:textId="77777777">
        <w:trPr>
          <w:trHeight w:val="462"/>
        </w:trPr>
        <w:tc>
          <w:tcPr>
            <w:tcW w:w="2230" w:type="dxa"/>
            <w:tcBorders>
              <w:top w:val="single" w:sz="6" w:space="0" w:color="000000"/>
              <w:left w:val="nil"/>
              <w:bottom w:val="single" w:sz="6" w:space="0" w:color="000000"/>
              <w:right w:val="single" w:sz="6" w:space="0" w:color="000000"/>
            </w:tcBorders>
          </w:tcPr>
          <w:p w14:paraId="40C44060" w14:textId="77777777" w:rsidR="00A2416E" w:rsidRDefault="00534832" w:rsidP="00B32B66">
            <w:pPr>
              <w:pStyle w:val="TableParagraph"/>
              <w:spacing w:before="0" w:line="232" w:lineRule="auto"/>
              <w:ind w:left="6"/>
              <w:rPr>
                <w:sz w:val="17"/>
              </w:rPr>
            </w:pPr>
            <w:r>
              <w:rPr>
                <w:sz w:val="17"/>
              </w:rPr>
              <w:t>Kunststofafval gewonnen uit fossiele grondstoffen</w:t>
            </w:r>
          </w:p>
        </w:tc>
        <w:tc>
          <w:tcPr>
            <w:tcW w:w="1803" w:type="dxa"/>
            <w:tcBorders>
              <w:top w:val="single" w:sz="6" w:space="0" w:color="000000"/>
              <w:left w:val="single" w:sz="6" w:space="0" w:color="000000"/>
              <w:bottom w:val="single" w:sz="6" w:space="0" w:color="000000"/>
              <w:right w:val="single" w:sz="6" w:space="0" w:color="000000"/>
            </w:tcBorders>
          </w:tcPr>
          <w:p w14:paraId="43E6687C" w14:textId="77777777" w:rsidR="00A2416E" w:rsidRDefault="00534832" w:rsidP="00B32B66">
            <w:pPr>
              <w:pStyle w:val="TableParagraph"/>
              <w:spacing w:before="41" w:line="233" w:lineRule="auto"/>
              <w:ind w:left="113"/>
              <w:rPr>
                <w:sz w:val="17"/>
              </w:rPr>
            </w:pPr>
            <w:r>
              <w:rPr>
                <w:sz w:val="17"/>
              </w:rPr>
              <w:t>Benzine, diesel of gasolie</w:t>
            </w:r>
          </w:p>
        </w:tc>
        <w:tc>
          <w:tcPr>
            <w:tcW w:w="1361" w:type="dxa"/>
            <w:tcBorders>
              <w:top w:val="single" w:sz="6" w:space="0" w:color="000000"/>
              <w:left w:val="single" w:sz="6" w:space="0" w:color="000000"/>
              <w:bottom w:val="single" w:sz="6" w:space="0" w:color="000000"/>
              <w:right w:val="single" w:sz="6" w:space="0" w:color="000000"/>
            </w:tcBorders>
          </w:tcPr>
          <w:p w14:paraId="79432D11" w14:textId="77777777" w:rsidR="00A2416E" w:rsidRDefault="00534832">
            <w:pPr>
              <w:pStyle w:val="TableParagraph"/>
              <w:rPr>
                <w:sz w:val="17"/>
              </w:rPr>
            </w:pPr>
            <w:r>
              <w:rPr>
                <w:sz w:val="17"/>
              </w:rPr>
              <w:t>86</w:t>
            </w:r>
          </w:p>
        </w:tc>
        <w:tc>
          <w:tcPr>
            <w:tcW w:w="1574" w:type="dxa"/>
            <w:tcBorders>
              <w:top w:val="single" w:sz="6" w:space="0" w:color="000000"/>
              <w:left w:val="single" w:sz="6" w:space="0" w:color="000000"/>
              <w:bottom w:val="single" w:sz="6" w:space="0" w:color="000000"/>
              <w:right w:val="nil"/>
            </w:tcBorders>
          </w:tcPr>
          <w:p w14:paraId="2124E515" w14:textId="77777777" w:rsidR="00A2416E" w:rsidRDefault="00534832">
            <w:pPr>
              <w:pStyle w:val="TableParagraph"/>
              <w:rPr>
                <w:sz w:val="17"/>
              </w:rPr>
            </w:pPr>
            <w:r>
              <w:rPr>
                <w:sz w:val="17"/>
              </w:rPr>
              <w:t>86</w:t>
            </w:r>
          </w:p>
        </w:tc>
      </w:tr>
    </w:tbl>
    <w:p w14:paraId="686D7B57" w14:textId="77777777" w:rsidR="00A2416E" w:rsidRDefault="00534832" w:rsidP="00B32B66">
      <w:pPr>
        <w:spacing w:before="126" w:line="233" w:lineRule="auto"/>
        <w:ind w:left="403" w:right="737"/>
        <w:rPr>
          <w:sz w:val="17"/>
        </w:rPr>
      </w:pPr>
      <w:r>
        <w:rPr>
          <w:sz w:val="10"/>
        </w:rPr>
        <w:t xml:space="preserve">1 </w:t>
      </w:r>
      <w:r>
        <w:rPr>
          <w:sz w:val="17"/>
        </w:rPr>
        <w:t>Conventionele ruwe olie: elke grondstof voor raffinaderijen met een API (American Petroleum Institute) dichtheid die hoger is dan 10 graden wanneer deze zich bevindt in een reservoirvorming op de plaats van oorsprong, gemeten volgens testmethode ASTM D287, en niet valt onder de definitie voor GN-code 2714</w:t>
      </w:r>
    </w:p>
    <w:p w14:paraId="4B21A793" w14:textId="77777777" w:rsidR="00A2416E" w:rsidRDefault="00534832">
      <w:pPr>
        <w:tabs>
          <w:tab w:val="right" w:pos="7997"/>
        </w:tabs>
        <w:spacing w:line="238" w:lineRule="exact"/>
        <w:ind w:left="400"/>
        <w:rPr>
          <w:rFonts w:ascii="HelveticaNeueLT Std Cn" w:hAnsi="HelveticaNeueLT Std Cn"/>
          <w:sz w:val="20"/>
        </w:rPr>
      </w:pPr>
      <w:r>
        <w:rPr>
          <w:sz w:val="17"/>
        </w:rPr>
        <w:t>zoals bepaald in Verordening (EEG) nr. 2658/87.</w:t>
      </w:r>
      <w:r>
        <w:rPr>
          <w:sz w:val="17"/>
        </w:rPr>
        <w:tab/>
      </w:r>
      <w:r>
        <w:rPr>
          <w:rFonts w:ascii="HelveticaNeueLT Std Cn" w:hAnsi="HelveticaNeueLT Std Cn"/>
          <w:sz w:val="20"/>
        </w:rPr>
        <w:t>5</w:t>
      </w:r>
    </w:p>
    <w:p w14:paraId="65268C9D" w14:textId="77777777" w:rsidR="00A2416E" w:rsidRDefault="00A2416E">
      <w:pPr>
        <w:spacing w:line="238"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12ED578D" w14:textId="77777777" w:rsidR="00A2416E" w:rsidRDefault="00534832">
      <w:pPr>
        <w:pStyle w:val="Rubrik2"/>
        <w:spacing w:line="228" w:lineRule="auto"/>
        <w:ind w:right="19"/>
      </w:pPr>
      <w:r>
        <w:lastRenderedPageBreak/>
        <w:t>STEMFS 2021:2</w:t>
      </w:r>
    </w:p>
    <w:p w14:paraId="36448102" w14:textId="77777777" w:rsidR="00A2416E" w:rsidRDefault="00534832">
      <w:pPr>
        <w:spacing w:before="81" w:line="232" w:lineRule="auto"/>
        <w:ind w:left="117" w:right="437"/>
        <w:rPr>
          <w:sz w:val="17"/>
        </w:rPr>
      </w:pPr>
      <w:r>
        <w:br w:type="column"/>
      </w:r>
      <w:r>
        <w:rPr>
          <w:sz w:val="10"/>
        </w:rPr>
        <w:t xml:space="preserve">2 </w:t>
      </w:r>
      <w:r>
        <w:rPr>
          <w:sz w:val="17"/>
        </w:rPr>
        <w:t>Natuurlijk bitumen betekent elke grondstof voor raffinaderijen die a) een dichtheid van 10 graden of minder van het American Petroleum Institute (API) heeft wanneer deze zich bevindt in een reservoirvorming op de plaats van extractie zoals gedefinieerd volgens de testmethode van de American Society for Testing and Materials (ASTM) D287; b) heeft een jaarlijkse gemiddelde viscositeit bij reservoirtemperatuur die hoger is dan die berekend door de vergelijking Viscositeit (Centipoise) = 518,98e-0,038T, waarbij T de temperatuur in Celsius is; c) valt onder de definitie van teerzand van GN-code 2714 zoals omschreven in Verordening (EEG) nr. 2658/87 van de Raad; en d) wanneer de mobilisatie van de bron van de grondstof wordt bereikt door delven van grondstoffen of thermisch verbeterde zwaartekrachtdrainage waarbij de thermische energie voornamelijk wordt verkregen uit andere bronnen dan de grondstof zelf.</w:t>
      </w:r>
    </w:p>
    <w:p w14:paraId="7D15F9D2" w14:textId="77777777" w:rsidR="00A2416E" w:rsidRDefault="00534832">
      <w:pPr>
        <w:spacing w:before="89" w:line="232" w:lineRule="auto"/>
        <w:ind w:left="117" w:right="473"/>
        <w:rPr>
          <w:sz w:val="17"/>
        </w:rPr>
      </w:pPr>
      <w:r>
        <w:rPr>
          <w:sz w:val="10"/>
        </w:rPr>
        <w:t xml:space="preserve">3 </w:t>
      </w:r>
      <w:r>
        <w:rPr>
          <w:sz w:val="17"/>
        </w:rPr>
        <w:t>Olieschalie: elke bron van raffinaderijgrondstoffen die zich bevindt in een rotsformatie die vast kerogeen bevat en valt onder de definitie van olieschalie van GN-code 2714 als omschreven in Verordening (EEG) nr. 2658/87. Mobilisatie van de bron van de grondstof wordt bereikt door mijnbouwwinning of thermisch versterkte zwaartekrachtdrainage.</w:t>
      </w:r>
    </w:p>
    <w:p w14:paraId="4F1DF429" w14:textId="77777777" w:rsidR="00A2416E" w:rsidRDefault="00A2416E">
      <w:pPr>
        <w:spacing w:line="232" w:lineRule="auto"/>
        <w:rPr>
          <w:sz w:val="17"/>
        </w:rPr>
        <w:sectPr w:rsidR="00A2416E">
          <w:pgSz w:w="9360" w:h="13720"/>
          <w:pgMar w:top="940" w:right="580" w:bottom="280" w:left="620" w:header="720" w:footer="720" w:gutter="0"/>
          <w:cols w:num="2" w:space="720" w:equalWidth="0">
            <w:col w:w="997" w:space="703"/>
            <w:col w:w="6460"/>
          </w:cols>
        </w:sectPr>
      </w:pPr>
    </w:p>
    <w:p w14:paraId="4B2CA0EF" w14:textId="77777777" w:rsidR="00A2416E" w:rsidRDefault="00A2416E">
      <w:pPr>
        <w:pStyle w:val="Brdtext"/>
        <w:rPr>
          <w:sz w:val="26"/>
        </w:rPr>
      </w:pPr>
    </w:p>
    <w:p w14:paraId="0A26DB13" w14:textId="77777777" w:rsidR="00A2416E" w:rsidRDefault="00A2416E">
      <w:pPr>
        <w:pStyle w:val="Brdtext"/>
        <w:rPr>
          <w:sz w:val="26"/>
        </w:rPr>
      </w:pPr>
    </w:p>
    <w:p w14:paraId="0FAF311C" w14:textId="77777777" w:rsidR="00A2416E" w:rsidRDefault="00A2416E">
      <w:pPr>
        <w:pStyle w:val="Brdtext"/>
        <w:rPr>
          <w:sz w:val="26"/>
        </w:rPr>
      </w:pPr>
    </w:p>
    <w:p w14:paraId="4EFBC468" w14:textId="77777777" w:rsidR="00A2416E" w:rsidRDefault="00A2416E">
      <w:pPr>
        <w:pStyle w:val="Brdtext"/>
        <w:rPr>
          <w:sz w:val="26"/>
        </w:rPr>
      </w:pPr>
    </w:p>
    <w:p w14:paraId="2BAA9D54" w14:textId="77777777" w:rsidR="00A2416E" w:rsidRDefault="00A2416E">
      <w:pPr>
        <w:pStyle w:val="Brdtext"/>
        <w:rPr>
          <w:sz w:val="26"/>
        </w:rPr>
      </w:pPr>
    </w:p>
    <w:p w14:paraId="4B62674C" w14:textId="77777777" w:rsidR="00A2416E" w:rsidRDefault="00A2416E">
      <w:pPr>
        <w:pStyle w:val="Brdtext"/>
        <w:rPr>
          <w:sz w:val="26"/>
        </w:rPr>
      </w:pPr>
    </w:p>
    <w:p w14:paraId="1921A8E7" w14:textId="77777777" w:rsidR="00A2416E" w:rsidRDefault="00A2416E">
      <w:pPr>
        <w:pStyle w:val="Brdtext"/>
        <w:rPr>
          <w:sz w:val="26"/>
        </w:rPr>
      </w:pPr>
    </w:p>
    <w:p w14:paraId="3B5954AD" w14:textId="77777777" w:rsidR="00A2416E" w:rsidRDefault="00A2416E">
      <w:pPr>
        <w:pStyle w:val="Brdtext"/>
        <w:rPr>
          <w:sz w:val="26"/>
        </w:rPr>
      </w:pPr>
    </w:p>
    <w:p w14:paraId="6D123182" w14:textId="77777777" w:rsidR="00A2416E" w:rsidRDefault="00A2416E">
      <w:pPr>
        <w:pStyle w:val="Brdtext"/>
        <w:rPr>
          <w:sz w:val="26"/>
        </w:rPr>
      </w:pPr>
    </w:p>
    <w:p w14:paraId="6E023F0F" w14:textId="77777777" w:rsidR="00A2416E" w:rsidRDefault="00A2416E">
      <w:pPr>
        <w:pStyle w:val="Brdtext"/>
        <w:rPr>
          <w:sz w:val="26"/>
        </w:rPr>
      </w:pPr>
    </w:p>
    <w:p w14:paraId="673A25F2" w14:textId="77777777" w:rsidR="00A2416E" w:rsidRDefault="00A2416E">
      <w:pPr>
        <w:pStyle w:val="Brdtext"/>
        <w:rPr>
          <w:sz w:val="26"/>
        </w:rPr>
      </w:pPr>
    </w:p>
    <w:p w14:paraId="3CCEACBA" w14:textId="77777777" w:rsidR="00A2416E" w:rsidRDefault="00A2416E">
      <w:pPr>
        <w:pStyle w:val="Brdtext"/>
        <w:rPr>
          <w:sz w:val="26"/>
        </w:rPr>
      </w:pPr>
    </w:p>
    <w:p w14:paraId="5FC5200E" w14:textId="77777777" w:rsidR="00A2416E" w:rsidRDefault="00A2416E">
      <w:pPr>
        <w:pStyle w:val="Brdtext"/>
        <w:rPr>
          <w:sz w:val="26"/>
        </w:rPr>
      </w:pPr>
    </w:p>
    <w:p w14:paraId="286B93AD" w14:textId="77777777" w:rsidR="00A2416E" w:rsidRDefault="00A2416E">
      <w:pPr>
        <w:pStyle w:val="Brdtext"/>
        <w:rPr>
          <w:sz w:val="26"/>
        </w:rPr>
      </w:pPr>
    </w:p>
    <w:p w14:paraId="420D1E7A" w14:textId="77777777" w:rsidR="00A2416E" w:rsidRDefault="00A2416E">
      <w:pPr>
        <w:pStyle w:val="Brdtext"/>
        <w:rPr>
          <w:sz w:val="26"/>
        </w:rPr>
      </w:pPr>
    </w:p>
    <w:p w14:paraId="0C5704DE" w14:textId="77777777" w:rsidR="00A2416E" w:rsidRDefault="00A2416E">
      <w:pPr>
        <w:pStyle w:val="Brdtext"/>
        <w:rPr>
          <w:sz w:val="26"/>
        </w:rPr>
      </w:pPr>
    </w:p>
    <w:p w14:paraId="01626443" w14:textId="77777777" w:rsidR="00A2416E" w:rsidRDefault="00A2416E">
      <w:pPr>
        <w:pStyle w:val="Brdtext"/>
        <w:rPr>
          <w:sz w:val="26"/>
        </w:rPr>
      </w:pPr>
    </w:p>
    <w:p w14:paraId="36AD06E0" w14:textId="77777777" w:rsidR="00A2416E" w:rsidRDefault="00A2416E">
      <w:pPr>
        <w:pStyle w:val="Brdtext"/>
        <w:rPr>
          <w:sz w:val="26"/>
        </w:rPr>
      </w:pPr>
    </w:p>
    <w:p w14:paraId="26EDA37B" w14:textId="77777777" w:rsidR="00A2416E" w:rsidRDefault="00A2416E">
      <w:pPr>
        <w:pStyle w:val="Brdtext"/>
        <w:rPr>
          <w:sz w:val="26"/>
        </w:rPr>
      </w:pPr>
    </w:p>
    <w:p w14:paraId="05A57E67" w14:textId="77777777" w:rsidR="00A2416E" w:rsidRDefault="00A2416E">
      <w:pPr>
        <w:pStyle w:val="Brdtext"/>
        <w:rPr>
          <w:sz w:val="26"/>
        </w:rPr>
      </w:pPr>
    </w:p>
    <w:p w14:paraId="38EEEB4B" w14:textId="77777777" w:rsidR="00A2416E" w:rsidRDefault="00A2416E">
      <w:pPr>
        <w:pStyle w:val="Brdtext"/>
        <w:rPr>
          <w:sz w:val="26"/>
        </w:rPr>
      </w:pPr>
    </w:p>
    <w:p w14:paraId="40C566BA" w14:textId="77777777" w:rsidR="00A2416E" w:rsidRDefault="00A2416E">
      <w:pPr>
        <w:pStyle w:val="Brdtext"/>
        <w:rPr>
          <w:sz w:val="26"/>
        </w:rPr>
      </w:pPr>
    </w:p>
    <w:p w14:paraId="7002B62C" w14:textId="77777777" w:rsidR="00A2416E" w:rsidRDefault="00A2416E">
      <w:pPr>
        <w:pStyle w:val="Brdtext"/>
        <w:rPr>
          <w:sz w:val="26"/>
        </w:rPr>
      </w:pPr>
    </w:p>
    <w:p w14:paraId="3313B690" w14:textId="77777777" w:rsidR="00A2416E" w:rsidRDefault="00A2416E">
      <w:pPr>
        <w:pStyle w:val="Brdtext"/>
        <w:rPr>
          <w:sz w:val="26"/>
        </w:rPr>
      </w:pPr>
    </w:p>
    <w:p w14:paraId="164F8077" w14:textId="77777777" w:rsidR="00A2416E" w:rsidRDefault="00A2416E">
      <w:pPr>
        <w:pStyle w:val="Brdtext"/>
        <w:rPr>
          <w:sz w:val="26"/>
        </w:rPr>
      </w:pPr>
    </w:p>
    <w:p w14:paraId="03001A05" w14:textId="77777777" w:rsidR="00A2416E" w:rsidRDefault="00A2416E">
      <w:pPr>
        <w:pStyle w:val="Brdtext"/>
        <w:rPr>
          <w:sz w:val="26"/>
        </w:rPr>
      </w:pPr>
    </w:p>
    <w:p w14:paraId="35F2DB8D" w14:textId="77777777" w:rsidR="00A2416E" w:rsidRDefault="00A2416E">
      <w:pPr>
        <w:pStyle w:val="Brdtext"/>
        <w:rPr>
          <w:sz w:val="26"/>
        </w:rPr>
      </w:pPr>
    </w:p>
    <w:p w14:paraId="40DD90BC" w14:textId="77777777" w:rsidR="00A2416E" w:rsidRDefault="00534832">
      <w:pPr>
        <w:pStyle w:val="Rubrik3"/>
        <w:spacing w:before="224"/>
      </w:pPr>
      <w:r>
        <w:t>6</w:t>
      </w:r>
    </w:p>
    <w:p w14:paraId="0F0644FB" w14:textId="77777777" w:rsidR="00A2416E" w:rsidRDefault="00A2416E">
      <w:pPr>
        <w:sectPr w:rsidR="00A2416E">
          <w:type w:val="continuous"/>
          <w:pgSz w:w="9360" w:h="13720"/>
          <w:pgMar w:top="900" w:right="580" w:bottom="280" w:left="620" w:header="720" w:footer="720" w:gutter="0"/>
          <w:cols w:space="720"/>
        </w:sectPr>
      </w:pPr>
    </w:p>
    <w:p w14:paraId="7E910C00" w14:textId="77777777" w:rsidR="00A2416E" w:rsidRDefault="00A2416E">
      <w:pPr>
        <w:pStyle w:val="Brdtext"/>
        <w:spacing w:before="5"/>
        <w:rPr>
          <w:rFonts w:ascii="HelveticaNeueLT Std Cn"/>
          <w:sz w:val="17"/>
        </w:rPr>
      </w:pPr>
    </w:p>
    <w:p w14:paraId="1D864C65" w14:textId="77777777" w:rsidR="00A2416E" w:rsidRDefault="00A2416E">
      <w:pPr>
        <w:rPr>
          <w:rFonts w:ascii="HelveticaNeueLT Std Cn"/>
          <w:sz w:val="17"/>
        </w:rPr>
        <w:sectPr w:rsidR="00A2416E">
          <w:pgSz w:w="9360" w:h="13720"/>
          <w:pgMar w:top="1280" w:right="580" w:bottom="280" w:left="620" w:header="720" w:footer="720" w:gutter="0"/>
          <w:cols w:space="720"/>
        </w:sectPr>
      </w:pPr>
    </w:p>
    <w:p w14:paraId="442D83DA" w14:textId="77777777" w:rsidR="00A2416E" w:rsidRDefault="00A2416E">
      <w:pPr>
        <w:pStyle w:val="Brdtext"/>
        <w:rPr>
          <w:rFonts w:ascii="HelveticaNeueLT Std Cn"/>
          <w:sz w:val="20"/>
        </w:rPr>
      </w:pPr>
    </w:p>
    <w:p w14:paraId="21280EC6" w14:textId="77777777" w:rsidR="00A2416E" w:rsidRDefault="00A2416E">
      <w:pPr>
        <w:pStyle w:val="Brdtext"/>
        <w:rPr>
          <w:rFonts w:ascii="HelveticaNeueLT Std Cn"/>
          <w:sz w:val="20"/>
        </w:rPr>
      </w:pPr>
    </w:p>
    <w:p w14:paraId="18CB8DD6" w14:textId="77777777" w:rsidR="00A2416E" w:rsidRDefault="00A2416E">
      <w:pPr>
        <w:pStyle w:val="Brdtext"/>
        <w:rPr>
          <w:rFonts w:ascii="HelveticaNeueLT Std Cn"/>
          <w:sz w:val="20"/>
        </w:rPr>
      </w:pPr>
    </w:p>
    <w:p w14:paraId="540CFE4B" w14:textId="77777777" w:rsidR="00A2416E" w:rsidRDefault="00A2416E">
      <w:pPr>
        <w:pStyle w:val="Brdtext"/>
        <w:rPr>
          <w:rFonts w:ascii="HelveticaNeueLT Std Cn"/>
          <w:sz w:val="20"/>
        </w:rPr>
      </w:pPr>
    </w:p>
    <w:p w14:paraId="11845BE4" w14:textId="77777777" w:rsidR="00A2416E" w:rsidRDefault="00A2416E">
      <w:pPr>
        <w:pStyle w:val="Brdtext"/>
        <w:rPr>
          <w:rFonts w:ascii="HelveticaNeueLT Std Cn"/>
          <w:sz w:val="20"/>
        </w:rPr>
      </w:pPr>
    </w:p>
    <w:p w14:paraId="1DC5E8BC" w14:textId="77777777" w:rsidR="00A2416E" w:rsidRDefault="00A2416E">
      <w:pPr>
        <w:pStyle w:val="Brdtext"/>
        <w:rPr>
          <w:rFonts w:ascii="HelveticaNeueLT Std Cn"/>
          <w:sz w:val="20"/>
        </w:rPr>
      </w:pPr>
    </w:p>
    <w:p w14:paraId="4C7E42E5" w14:textId="77777777" w:rsidR="00A2416E" w:rsidRDefault="00A2416E">
      <w:pPr>
        <w:pStyle w:val="Brdtext"/>
        <w:rPr>
          <w:rFonts w:ascii="HelveticaNeueLT Std Cn"/>
          <w:sz w:val="20"/>
        </w:rPr>
      </w:pPr>
    </w:p>
    <w:p w14:paraId="22D939CA" w14:textId="77777777" w:rsidR="00A2416E" w:rsidRDefault="00A2416E">
      <w:pPr>
        <w:pStyle w:val="Brdtext"/>
        <w:rPr>
          <w:rFonts w:ascii="HelveticaNeueLT Std Cn"/>
          <w:sz w:val="20"/>
        </w:rPr>
      </w:pPr>
    </w:p>
    <w:p w14:paraId="028AB1C2" w14:textId="77777777" w:rsidR="00A2416E" w:rsidRDefault="00A2416E">
      <w:pPr>
        <w:pStyle w:val="Brdtext"/>
        <w:rPr>
          <w:rFonts w:ascii="HelveticaNeueLT Std Cn"/>
          <w:sz w:val="20"/>
        </w:rPr>
      </w:pPr>
    </w:p>
    <w:p w14:paraId="1DD21BDF" w14:textId="77777777" w:rsidR="00A2416E" w:rsidRDefault="00A2416E">
      <w:pPr>
        <w:pStyle w:val="Brdtext"/>
        <w:rPr>
          <w:rFonts w:ascii="HelveticaNeueLT Std Cn"/>
          <w:sz w:val="20"/>
        </w:rPr>
      </w:pPr>
    </w:p>
    <w:p w14:paraId="2083FCED" w14:textId="77777777" w:rsidR="00A2416E" w:rsidRDefault="00A2416E">
      <w:pPr>
        <w:pStyle w:val="Brdtext"/>
        <w:rPr>
          <w:rFonts w:ascii="HelveticaNeueLT Std Cn"/>
          <w:sz w:val="20"/>
        </w:rPr>
      </w:pPr>
    </w:p>
    <w:p w14:paraId="028AE273" w14:textId="77777777" w:rsidR="00A2416E" w:rsidRDefault="00A2416E">
      <w:pPr>
        <w:pStyle w:val="Brdtext"/>
        <w:rPr>
          <w:rFonts w:ascii="HelveticaNeueLT Std Cn"/>
          <w:sz w:val="20"/>
        </w:rPr>
      </w:pPr>
    </w:p>
    <w:p w14:paraId="251DFACB" w14:textId="77777777" w:rsidR="00A2416E" w:rsidRDefault="00A2416E">
      <w:pPr>
        <w:pStyle w:val="Brdtext"/>
        <w:rPr>
          <w:rFonts w:ascii="HelveticaNeueLT Std Cn"/>
          <w:sz w:val="20"/>
        </w:rPr>
      </w:pPr>
    </w:p>
    <w:p w14:paraId="0A2B0D40" w14:textId="77777777" w:rsidR="00A2416E" w:rsidRDefault="00A2416E">
      <w:pPr>
        <w:pStyle w:val="Brdtext"/>
        <w:rPr>
          <w:rFonts w:ascii="HelveticaNeueLT Std Cn"/>
          <w:sz w:val="20"/>
        </w:rPr>
      </w:pPr>
    </w:p>
    <w:p w14:paraId="30A81004" w14:textId="77777777" w:rsidR="00A2416E" w:rsidRDefault="00A2416E">
      <w:pPr>
        <w:pStyle w:val="Brdtext"/>
        <w:rPr>
          <w:rFonts w:ascii="HelveticaNeueLT Std Cn"/>
          <w:sz w:val="20"/>
        </w:rPr>
      </w:pPr>
    </w:p>
    <w:p w14:paraId="3A7B3309" w14:textId="77777777" w:rsidR="00A2416E" w:rsidRDefault="00A2416E">
      <w:pPr>
        <w:pStyle w:val="Brdtext"/>
        <w:rPr>
          <w:rFonts w:ascii="HelveticaNeueLT Std Cn"/>
          <w:sz w:val="20"/>
        </w:rPr>
      </w:pPr>
    </w:p>
    <w:p w14:paraId="2361A1FC" w14:textId="77777777" w:rsidR="00A2416E" w:rsidRDefault="00A2416E">
      <w:pPr>
        <w:pStyle w:val="Brdtext"/>
        <w:rPr>
          <w:rFonts w:ascii="HelveticaNeueLT Std Cn"/>
          <w:sz w:val="20"/>
        </w:rPr>
      </w:pPr>
    </w:p>
    <w:p w14:paraId="738FFF7C" w14:textId="77777777" w:rsidR="00A2416E" w:rsidRDefault="00A2416E">
      <w:pPr>
        <w:pStyle w:val="Brdtext"/>
        <w:rPr>
          <w:rFonts w:ascii="HelveticaNeueLT Std Cn"/>
          <w:sz w:val="20"/>
        </w:rPr>
      </w:pPr>
    </w:p>
    <w:p w14:paraId="76492810" w14:textId="77777777" w:rsidR="00A2416E" w:rsidRDefault="00A2416E">
      <w:pPr>
        <w:pStyle w:val="Brdtext"/>
        <w:rPr>
          <w:rFonts w:ascii="HelveticaNeueLT Std Cn"/>
          <w:sz w:val="20"/>
        </w:rPr>
      </w:pPr>
    </w:p>
    <w:p w14:paraId="6F92DCEE" w14:textId="77777777" w:rsidR="00A2416E" w:rsidRDefault="00A2416E">
      <w:pPr>
        <w:pStyle w:val="Brdtext"/>
        <w:rPr>
          <w:rFonts w:ascii="HelveticaNeueLT Std Cn"/>
          <w:sz w:val="20"/>
        </w:rPr>
      </w:pPr>
    </w:p>
    <w:p w14:paraId="70327EAF" w14:textId="77777777" w:rsidR="00A2416E" w:rsidRDefault="00A2416E">
      <w:pPr>
        <w:pStyle w:val="Brdtext"/>
        <w:rPr>
          <w:rFonts w:ascii="HelveticaNeueLT Std Cn"/>
          <w:sz w:val="20"/>
        </w:rPr>
      </w:pPr>
    </w:p>
    <w:p w14:paraId="5C32F2E3" w14:textId="77777777" w:rsidR="00A2416E" w:rsidRDefault="00A2416E">
      <w:pPr>
        <w:pStyle w:val="Brdtext"/>
        <w:rPr>
          <w:rFonts w:ascii="HelveticaNeueLT Std Cn"/>
          <w:sz w:val="20"/>
        </w:rPr>
      </w:pPr>
    </w:p>
    <w:p w14:paraId="299CDD49" w14:textId="77777777" w:rsidR="00A2416E" w:rsidRDefault="00A2416E">
      <w:pPr>
        <w:pStyle w:val="Brdtext"/>
        <w:rPr>
          <w:rFonts w:ascii="HelveticaNeueLT Std Cn"/>
          <w:sz w:val="20"/>
        </w:rPr>
      </w:pPr>
    </w:p>
    <w:p w14:paraId="01E205CD" w14:textId="77777777" w:rsidR="00A2416E" w:rsidRDefault="00A2416E">
      <w:pPr>
        <w:pStyle w:val="Brdtext"/>
        <w:rPr>
          <w:rFonts w:ascii="HelveticaNeueLT Std Cn"/>
          <w:sz w:val="20"/>
        </w:rPr>
      </w:pPr>
    </w:p>
    <w:p w14:paraId="57053980" w14:textId="77777777" w:rsidR="00A2416E" w:rsidRDefault="00A2416E">
      <w:pPr>
        <w:pStyle w:val="Brdtext"/>
        <w:rPr>
          <w:rFonts w:ascii="HelveticaNeueLT Std Cn"/>
          <w:sz w:val="20"/>
        </w:rPr>
      </w:pPr>
    </w:p>
    <w:p w14:paraId="7E7BCDE6" w14:textId="77777777" w:rsidR="00A2416E" w:rsidRDefault="00A2416E">
      <w:pPr>
        <w:pStyle w:val="Brdtext"/>
        <w:rPr>
          <w:rFonts w:ascii="HelveticaNeueLT Std Cn"/>
          <w:sz w:val="20"/>
        </w:rPr>
      </w:pPr>
    </w:p>
    <w:p w14:paraId="6E96DEB2" w14:textId="77777777" w:rsidR="00A2416E" w:rsidRDefault="00A2416E">
      <w:pPr>
        <w:pStyle w:val="Brdtext"/>
        <w:rPr>
          <w:rFonts w:ascii="HelveticaNeueLT Std Cn"/>
          <w:sz w:val="20"/>
        </w:rPr>
      </w:pPr>
    </w:p>
    <w:p w14:paraId="2CEA5378" w14:textId="77777777" w:rsidR="00A2416E" w:rsidRDefault="00A2416E">
      <w:pPr>
        <w:pStyle w:val="Brdtext"/>
        <w:rPr>
          <w:rFonts w:ascii="HelveticaNeueLT Std Cn"/>
          <w:sz w:val="20"/>
        </w:rPr>
      </w:pPr>
    </w:p>
    <w:p w14:paraId="3490DF5D" w14:textId="77777777" w:rsidR="00A2416E" w:rsidRDefault="00A2416E">
      <w:pPr>
        <w:pStyle w:val="Brdtext"/>
        <w:rPr>
          <w:rFonts w:ascii="HelveticaNeueLT Std Cn"/>
          <w:sz w:val="20"/>
        </w:rPr>
      </w:pPr>
    </w:p>
    <w:p w14:paraId="34D5B22D" w14:textId="77777777" w:rsidR="00A2416E" w:rsidRDefault="00A2416E">
      <w:pPr>
        <w:pStyle w:val="Brdtext"/>
        <w:rPr>
          <w:rFonts w:ascii="HelveticaNeueLT Std Cn"/>
          <w:sz w:val="20"/>
        </w:rPr>
      </w:pPr>
    </w:p>
    <w:p w14:paraId="05213574" w14:textId="77777777" w:rsidR="00A2416E" w:rsidRDefault="00A2416E">
      <w:pPr>
        <w:pStyle w:val="Brdtext"/>
        <w:rPr>
          <w:rFonts w:ascii="HelveticaNeueLT Std Cn"/>
          <w:sz w:val="20"/>
        </w:rPr>
      </w:pPr>
    </w:p>
    <w:p w14:paraId="660C5318" w14:textId="77777777" w:rsidR="00A2416E" w:rsidRDefault="00A2416E">
      <w:pPr>
        <w:pStyle w:val="Brdtext"/>
        <w:rPr>
          <w:rFonts w:ascii="HelveticaNeueLT Std Cn"/>
          <w:sz w:val="20"/>
        </w:rPr>
      </w:pPr>
    </w:p>
    <w:p w14:paraId="01DCA327" w14:textId="77777777" w:rsidR="00A2416E" w:rsidRDefault="00A2416E">
      <w:pPr>
        <w:pStyle w:val="Brdtext"/>
        <w:rPr>
          <w:rFonts w:ascii="HelveticaNeueLT Std Cn"/>
          <w:sz w:val="20"/>
        </w:rPr>
      </w:pPr>
    </w:p>
    <w:p w14:paraId="086BC412" w14:textId="77777777" w:rsidR="00A2416E" w:rsidRDefault="00A2416E">
      <w:pPr>
        <w:pStyle w:val="Brdtext"/>
        <w:rPr>
          <w:rFonts w:ascii="HelveticaNeueLT Std Cn"/>
          <w:sz w:val="20"/>
        </w:rPr>
      </w:pPr>
    </w:p>
    <w:p w14:paraId="294DA329" w14:textId="77777777" w:rsidR="00A2416E" w:rsidRDefault="00A2416E">
      <w:pPr>
        <w:pStyle w:val="Brdtext"/>
        <w:rPr>
          <w:rFonts w:ascii="HelveticaNeueLT Std Cn"/>
          <w:sz w:val="20"/>
        </w:rPr>
      </w:pPr>
    </w:p>
    <w:p w14:paraId="22792458" w14:textId="77777777" w:rsidR="00A2416E" w:rsidRDefault="00A2416E">
      <w:pPr>
        <w:pStyle w:val="Brdtext"/>
        <w:rPr>
          <w:rFonts w:ascii="HelveticaNeueLT Std Cn"/>
          <w:sz w:val="20"/>
        </w:rPr>
      </w:pPr>
    </w:p>
    <w:p w14:paraId="1C740100" w14:textId="77777777" w:rsidR="00A2416E" w:rsidRDefault="00A2416E">
      <w:pPr>
        <w:pStyle w:val="Brdtext"/>
        <w:rPr>
          <w:rFonts w:ascii="HelveticaNeueLT Std Cn"/>
          <w:sz w:val="20"/>
        </w:rPr>
      </w:pPr>
    </w:p>
    <w:p w14:paraId="29572199" w14:textId="77777777" w:rsidR="00A2416E" w:rsidRDefault="00A2416E">
      <w:pPr>
        <w:pStyle w:val="Brdtext"/>
        <w:rPr>
          <w:rFonts w:ascii="HelveticaNeueLT Std Cn"/>
          <w:sz w:val="20"/>
        </w:rPr>
      </w:pPr>
    </w:p>
    <w:p w14:paraId="0EB0BC72" w14:textId="77777777" w:rsidR="00A2416E" w:rsidRDefault="00A2416E">
      <w:pPr>
        <w:pStyle w:val="Brdtext"/>
        <w:rPr>
          <w:rFonts w:ascii="HelveticaNeueLT Std Cn"/>
          <w:sz w:val="20"/>
        </w:rPr>
      </w:pPr>
    </w:p>
    <w:p w14:paraId="2D3A12AE" w14:textId="77777777" w:rsidR="00A2416E" w:rsidRDefault="00A2416E">
      <w:pPr>
        <w:pStyle w:val="Brdtext"/>
        <w:rPr>
          <w:rFonts w:ascii="HelveticaNeueLT Std Cn"/>
          <w:sz w:val="20"/>
        </w:rPr>
      </w:pPr>
    </w:p>
    <w:p w14:paraId="27EB7451" w14:textId="77777777" w:rsidR="00A2416E" w:rsidRDefault="00A2416E">
      <w:pPr>
        <w:pStyle w:val="Brdtext"/>
        <w:rPr>
          <w:rFonts w:ascii="HelveticaNeueLT Std Cn"/>
          <w:sz w:val="20"/>
        </w:rPr>
      </w:pPr>
    </w:p>
    <w:p w14:paraId="0EDA141E" w14:textId="77777777" w:rsidR="00A2416E" w:rsidRDefault="00A2416E">
      <w:pPr>
        <w:pStyle w:val="Brdtext"/>
        <w:rPr>
          <w:rFonts w:ascii="HelveticaNeueLT Std Cn"/>
          <w:sz w:val="20"/>
        </w:rPr>
      </w:pPr>
    </w:p>
    <w:p w14:paraId="5F428612" w14:textId="77777777" w:rsidR="00A2416E" w:rsidRDefault="00A2416E">
      <w:pPr>
        <w:pStyle w:val="Brdtext"/>
        <w:rPr>
          <w:rFonts w:ascii="HelveticaNeueLT Std Cn"/>
          <w:sz w:val="20"/>
        </w:rPr>
      </w:pPr>
    </w:p>
    <w:p w14:paraId="161E4775" w14:textId="77777777" w:rsidR="00A2416E" w:rsidRDefault="00A2416E">
      <w:pPr>
        <w:pStyle w:val="Brdtext"/>
        <w:rPr>
          <w:rFonts w:ascii="HelveticaNeueLT Std Cn"/>
          <w:sz w:val="20"/>
        </w:rPr>
      </w:pPr>
    </w:p>
    <w:p w14:paraId="22A8064F" w14:textId="77777777" w:rsidR="00A2416E" w:rsidRDefault="00A2416E">
      <w:pPr>
        <w:pStyle w:val="Brdtext"/>
        <w:rPr>
          <w:rFonts w:ascii="HelveticaNeueLT Std Cn"/>
          <w:sz w:val="20"/>
        </w:rPr>
      </w:pPr>
    </w:p>
    <w:p w14:paraId="2306BE05" w14:textId="77777777" w:rsidR="00A2416E" w:rsidRDefault="00A2416E">
      <w:pPr>
        <w:pStyle w:val="Brdtext"/>
        <w:rPr>
          <w:rFonts w:ascii="HelveticaNeueLT Std Cn"/>
          <w:sz w:val="20"/>
        </w:rPr>
      </w:pPr>
    </w:p>
    <w:p w14:paraId="54B49DEE" w14:textId="77777777" w:rsidR="00A2416E" w:rsidRDefault="00A2416E">
      <w:pPr>
        <w:pStyle w:val="Brdtext"/>
        <w:rPr>
          <w:rFonts w:ascii="HelveticaNeueLT Std Cn"/>
          <w:sz w:val="20"/>
        </w:rPr>
      </w:pPr>
    </w:p>
    <w:p w14:paraId="301BA4AE" w14:textId="77777777" w:rsidR="00A2416E" w:rsidRDefault="00A2416E">
      <w:pPr>
        <w:pStyle w:val="Brdtext"/>
        <w:rPr>
          <w:rFonts w:ascii="HelveticaNeueLT Std Cn"/>
          <w:sz w:val="20"/>
        </w:rPr>
      </w:pPr>
    </w:p>
    <w:p w14:paraId="2F896C4C" w14:textId="77777777" w:rsidR="00A2416E" w:rsidRDefault="00A2416E">
      <w:pPr>
        <w:pStyle w:val="Brdtext"/>
        <w:rPr>
          <w:rFonts w:ascii="HelveticaNeueLT Std Cn"/>
          <w:sz w:val="20"/>
        </w:rPr>
      </w:pPr>
    </w:p>
    <w:p w14:paraId="460C6538" w14:textId="77777777" w:rsidR="00A2416E" w:rsidRDefault="00A2416E">
      <w:pPr>
        <w:pStyle w:val="Brdtext"/>
        <w:spacing w:before="5"/>
        <w:rPr>
          <w:rFonts w:ascii="HelveticaNeueLT Std Cn"/>
          <w:sz w:val="16"/>
        </w:rPr>
      </w:pPr>
    </w:p>
    <w:p w14:paraId="6493E55E" w14:textId="77777777" w:rsidR="00A2416E" w:rsidRDefault="00534832">
      <w:pPr>
        <w:spacing w:before="94"/>
        <w:ind w:left="3265" w:right="3303"/>
        <w:jc w:val="center"/>
        <w:rPr>
          <w:sz w:val="16"/>
        </w:rPr>
      </w:pPr>
      <w:r>
        <w:rPr>
          <w:sz w:val="16"/>
        </w:rPr>
        <w:t>Arkitektkopia AB, 2021</w:t>
      </w:r>
    </w:p>
    <w:sectPr w:rsidR="00A2416E">
      <w:pgSz w:w="9360" w:h="13720"/>
      <w:pgMar w:top="12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022"/>
    <w:multiLevelType w:val="hybridMultilevel"/>
    <w:tmpl w:val="9C32ADD2"/>
    <w:lvl w:ilvl="0" w:tplc="DCE0122A">
      <w:start w:val="1"/>
      <w:numFmt w:val="lowerLetter"/>
      <w:lvlText w:val="%1."/>
      <w:lvlJc w:val="left"/>
      <w:pPr>
        <w:ind w:left="315" w:hanging="199"/>
      </w:pPr>
      <w:rPr>
        <w:rFonts w:ascii="Times New Roman" w:eastAsia="Times New Roman" w:hAnsi="Times New Roman" w:cs="Times New Roman" w:hint="default"/>
        <w:w w:val="100"/>
        <w:sz w:val="19"/>
        <w:szCs w:val="19"/>
        <w:lang w:val="sv-SE" w:eastAsia="sv-SE" w:bidi="sv-SE"/>
      </w:rPr>
    </w:lvl>
    <w:lvl w:ilvl="1" w:tplc="46349384">
      <w:numFmt w:val="bullet"/>
      <w:lvlText w:val="•"/>
      <w:lvlJc w:val="left"/>
      <w:pPr>
        <w:ind w:left="933" w:hanging="199"/>
      </w:pPr>
      <w:rPr>
        <w:rFonts w:hint="default"/>
        <w:lang w:val="sv-SE" w:eastAsia="sv-SE" w:bidi="sv-SE"/>
      </w:rPr>
    </w:lvl>
    <w:lvl w:ilvl="2" w:tplc="CC300154">
      <w:numFmt w:val="bullet"/>
      <w:lvlText w:val="•"/>
      <w:lvlJc w:val="left"/>
      <w:pPr>
        <w:ind w:left="1546" w:hanging="199"/>
      </w:pPr>
      <w:rPr>
        <w:rFonts w:hint="default"/>
        <w:lang w:val="sv-SE" w:eastAsia="sv-SE" w:bidi="sv-SE"/>
      </w:rPr>
    </w:lvl>
    <w:lvl w:ilvl="3" w:tplc="49C20834">
      <w:numFmt w:val="bullet"/>
      <w:lvlText w:val="•"/>
      <w:lvlJc w:val="left"/>
      <w:pPr>
        <w:ind w:left="2160" w:hanging="199"/>
      </w:pPr>
      <w:rPr>
        <w:rFonts w:hint="default"/>
        <w:lang w:val="sv-SE" w:eastAsia="sv-SE" w:bidi="sv-SE"/>
      </w:rPr>
    </w:lvl>
    <w:lvl w:ilvl="4" w:tplc="265016FE">
      <w:numFmt w:val="bullet"/>
      <w:lvlText w:val="•"/>
      <w:lvlJc w:val="left"/>
      <w:pPr>
        <w:ind w:left="2773" w:hanging="199"/>
      </w:pPr>
      <w:rPr>
        <w:rFonts w:hint="default"/>
        <w:lang w:val="sv-SE" w:eastAsia="sv-SE" w:bidi="sv-SE"/>
      </w:rPr>
    </w:lvl>
    <w:lvl w:ilvl="5" w:tplc="4BD2233C">
      <w:numFmt w:val="bullet"/>
      <w:lvlText w:val="•"/>
      <w:lvlJc w:val="left"/>
      <w:pPr>
        <w:ind w:left="3386" w:hanging="199"/>
      </w:pPr>
      <w:rPr>
        <w:rFonts w:hint="default"/>
        <w:lang w:val="sv-SE" w:eastAsia="sv-SE" w:bidi="sv-SE"/>
      </w:rPr>
    </w:lvl>
    <w:lvl w:ilvl="6" w:tplc="3E8E58BE">
      <w:numFmt w:val="bullet"/>
      <w:lvlText w:val="•"/>
      <w:lvlJc w:val="left"/>
      <w:pPr>
        <w:ind w:left="4000" w:hanging="199"/>
      </w:pPr>
      <w:rPr>
        <w:rFonts w:hint="default"/>
        <w:lang w:val="sv-SE" w:eastAsia="sv-SE" w:bidi="sv-SE"/>
      </w:rPr>
    </w:lvl>
    <w:lvl w:ilvl="7" w:tplc="D1A2B188">
      <w:numFmt w:val="bullet"/>
      <w:lvlText w:val="•"/>
      <w:lvlJc w:val="left"/>
      <w:pPr>
        <w:ind w:left="4613" w:hanging="199"/>
      </w:pPr>
      <w:rPr>
        <w:rFonts w:hint="default"/>
        <w:lang w:val="sv-SE" w:eastAsia="sv-SE" w:bidi="sv-SE"/>
      </w:rPr>
    </w:lvl>
    <w:lvl w:ilvl="8" w:tplc="2B70E1B6">
      <w:numFmt w:val="bullet"/>
      <w:lvlText w:val="•"/>
      <w:lvlJc w:val="left"/>
      <w:pPr>
        <w:ind w:left="5226" w:hanging="199"/>
      </w:pPr>
      <w:rPr>
        <w:rFonts w:hint="default"/>
        <w:lang w:val="sv-SE" w:eastAsia="sv-SE" w:bidi="sv-SE"/>
      </w:rPr>
    </w:lvl>
  </w:abstractNum>
  <w:abstractNum w:abstractNumId="1" w15:restartNumberingAfterBreak="0">
    <w:nsid w:val="481C1347"/>
    <w:multiLevelType w:val="hybridMultilevel"/>
    <w:tmpl w:val="9C7E1930"/>
    <w:lvl w:ilvl="0" w:tplc="C744F9C0">
      <w:start w:val="1"/>
      <w:numFmt w:val="lowerLetter"/>
      <w:lvlText w:val="%1."/>
      <w:lvlJc w:val="left"/>
      <w:pPr>
        <w:ind w:left="315" w:hanging="199"/>
      </w:pPr>
      <w:rPr>
        <w:rFonts w:ascii="Times New Roman" w:eastAsia="Times New Roman" w:hAnsi="Times New Roman" w:cs="Times New Roman" w:hint="default"/>
        <w:w w:val="100"/>
        <w:sz w:val="19"/>
        <w:szCs w:val="19"/>
        <w:lang w:val="sv-SE" w:eastAsia="sv-SE" w:bidi="sv-SE"/>
      </w:rPr>
    </w:lvl>
    <w:lvl w:ilvl="1" w:tplc="FEB4DD82">
      <w:numFmt w:val="bullet"/>
      <w:lvlText w:val="•"/>
      <w:lvlJc w:val="left"/>
      <w:pPr>
        <w:ind w:left="933" w:hanging="199"/>
      </w:pPr>
      <w:rPr>
        <w:rFonts w:hint="default"/>
        <w:lang w:val="sv-SE" w:eastAsia="sv-SE" w:bidi="sv-SE"/>
      </w:rPr>
    </w:lvl>
    <w:lvl w:ilvl="2" w:tplc="50BA73C2">
      <w:numFmt w:val="bullet"/>
      <w:lvlText w:val="•"/>
      <w:lvlJc w:val="left"/>
      <w:pPr>
        <w:ind w:left="1546" w:hanging="199"/>
      </w:pPr>
      <w:rPr>
        <w:rFonts w:hint="default"/>
        <w:lang w:val="sv-SE" w:eastAsia="sv-SE" w:bidi="sv-SE"/>
      </w:rPr>
    </w:lvl>
    <w:lvl w:ilvl="3" w:tplc="4ED00D5E">
      <w:numFmt w:val="bullet"/>
      <w:lvlText w:val="•"/>
      <w:lvlJc w:val="left"/>
      <w:pPr>
        <w:ind w:left="2160" w:hanging="199"/>
      </w:pPr>
      <w:rPr>
        <w:rFonts w:hint="default"/>
        <w:lang w:val="sv-SE" w:eastAsia="sv-SE" w:bidi="sv-SE"/>
      </w:rPr>
    </w:lvl>
    <w:lvl w:ilvl="4" w:tplc="20641262">
      <w:numFmt w:val="bullet"/>
      <w:lvlText w:val="•"/>
      <w:lvlJc w:val="left"/>
      <w:pPr>
        <w:ind w:left="2773" w:hanging="199"/>
      </w:pPr>
      <w:rPr>
        <w:rFonts w:hint="default"/>
        <w:lang w:val="sv-SE" w:eastAsia="sv-SE" w:bidi="sv-SE"/>
      </w:rPr>
    </w:lvl>
    <w:lvl w:ilvl="5" w:tplc="A4BE9D08">
      <w:numFmt w:val="bullet"/>
      <w:lvlText w:val="•"/>
      <w:lvlJc w:val="left"/>
      <w:pPr>
        <w:ind w:left="3386" w:hanging="199"/>
      </w:pPr>
      <w:rPr>
        <w:rFonts w:hint="default"/>
        <w:lang w:val="sv-SE" w:eastAsia="sv-SE" w:bidi="sv-SE"/>
      </w:rPr>
    </w:lvl>
    <w:lvl w:ilvl="6" w:tplc="CCC41658">
      <w:numFmt w:val="bullet"/>
      <w:lvlText w:val="•"/>
      <w:lvlJc w:val="left"/>
      <w:pPr>
        <w:ind w:left="4000" w:hanging="199"/>
      </w:pPr>
      <w:rPr>
        <w:rFonts w:hint="default"/>
        <w:lang w:val="sv-SE" w:eastAsia="sv-SE" w:bidi="sv-SE"/>
      </w:rPr>
    </w:lvl>
    <w:lvl w:ilvl="7" w:tplc="905C7B2E">
      <w:numFmt w:val="bullet"/>
      <w:lvlText w:val="•"/>
      <w:lvlJc w:val="left"/>
      <w:pPr>
        <w:ind w:left="4613" w:hanging="199"/>
      </w:pPr>
      <w:rPr>
        <w:rFonts w:hint="default"/>
        <w:lang w:val="sv-SE" w:eastAsia="sv-SE" w:bidi="sv-SE"/>
      </w:rPr>
    </w:lvl>
    <w:lvl w:ilvl="8" w:tplc="0A20BB10">
      <w:numFmt w:val="bullet"/>
      <w:lvlText w:val="•"/>
      <w:lvlJc w:val="left"/>
      <w:pPr>
        <w:ind w:left="5226" w:hanging="199"/>
      </w:pPr>
      <w:rPr>
        <w:rFonts w:hint="default"/>
        <w:lang w:val="sv-SE" w:eastAsia="sv-SE" w:bidi="sv-SE"/>
      </w:rPr>
    </w:lvl>
  </w:abstractNum>
  <w:abstractNum w:abstractNumId="2" w15:restartNumberingAfterBreak="0">
    <w:nsid w:val="5BD660CD"/>
    <w:multiLevelType w:val="hybridMultilevel"/>
    <w:tmpl w:val="E2CC420E"/>
    <w:lvl w:ilvl="0" w:tplc="87C88236">
      <w:start w:val="1"/>
      <w:numFmt w:val="lowerLetter"/>
      <w:lvlText w:val="%1."/>
      <w:lvlJc w:val="left"/>
      <w:pPr>
        <w:ind w:left="315" w:hanging="199"/>
      </w:pPr>
      <w:rPr>
        <w:rFonts w:ascii="Times New Roman" w:eastAsia="Times New Roman" w:hAnsi="Times New Roman" w:cs="Times New Roman" w:hint="default"/>
        <w:w w:val="100"/>
        <w:sz w:val="19"/>
        <w:szCs w:val="19"/>
        <w:lang w:val="sv-SE" w:eastAsia="sv-SE" w:bidi="sv-SE"/>
      </w:rPr>
    </w:lvl>
    <w:lvl w:ilvl="1" w:tplc="D8EA215C">
      <w:numFmt w:val="bullet"/>
      <w:lvlText w:val="•"/>
      <w:lvlJc w:val="left"/>
      <w:pPr>
        <w:ind w:left="933" w:hanging="199"/>
      </w:pPr>
      <w:rPr>
        <w:rFonts w:hint="default"/>
        <w:lang w:val="sv-SE" w:eastAsia="sv-SE" w:bidi="sv-SE"/>
      </w:rPr>
    </w:lvl>
    <w:lvl w:ilvl="2" w:tplc="2D1CE9CC">
      <w:numFmt w:val="bullet"/>
      <w:lvlText w:val="•"/>
      <w:lvlJc w:val="left"/>
      <w:pPr>
        <w:ind w:left="1546" w:hanging="199"/>
      </w:pPr>
      <w:rPr>
        <w:rFonts w:hint="default"/>
        <w:lang w:val="sv-SE" w:eastAsia="sv-SE" w:bidi="sv-SE"/>
      </w:rPr>
    </w:lvl>
    <w:lvl w:ilvl="3" w:tplc="F2682940">
      <w:numFmt w:val="bullet"/>
      <w:lvlText w:val="•"/>
      <w:lvlJc w:val="left"/>
      <w:pPr>
        <w:ind w:left="2160" w:hanging="199"/>
      </w:pPr>
      <w:rPr>
        <w:rFonts w:hint="default"/>
        <w:lang w:val="sv-SE" w:eastAsia="sv-SE" w:bidi="sv-SE"/>
      </w:rPr>
    </w:lvl>
    <w:lvl w:ilvl="4" w:tplc="C7582D32">
      <w:numFmt w:val="bullet"/>
      <w:lvlText w:val="•"/>
      <w:lvlJc w:val="left"/>
      <w:pPr>
        <w:ind w:left="2773" w:hanging="199"/>
      </w:pPr>
      <w:rPr>
        <w:rFonts w:hint="default"/>
        <w:lang w:val="sv-SE" w:eastAsia="sv-SE" w:bidi="sv-SE"/>
      </w:rPr>
    </w:lvl>
    <w:lvl w:ilvl="5" w:tplc="4C42FF80">
      <w:numFmt w:val="bullet"/>
      <w:lvlText w:val="•"/>
      <w:lvlJc w:val="left"/>
      <w:pPr>
        <w:ind w:left="3386" w:hanging="199"/>
      </w:pPr>
      <w:rPr>
        <w:rFonts w:hint="default"/>
        <w:lang w:val="sv-SE" w:eastAsia="sv-SE" w:bidi="sv-SE"/>
      </w:rPr>
    </w:lvl>
    <w:lvl w:ilvl="6" w:tplc="8EB06906">
      <w:numFmt w:val="bullet"/>
      <w:lvlText w:val="•"/>
      <w:lvlJc w:val="left"/>
      <w:pPr>
        <w:ind w:left="4000" w:hanging="199"/>
      </w:pPr>
      <w:rPr>
        <w:rFonts w:hint="default"/>
        <w:lang w:val="sv-SE" w:eastAsia="sv-SE" w:bidi="sv-SE"/>
      </w:rPr>
    </w:lvl>
    <w:lvl w:ilvl="7" w:tplc="A57C080A">
      <w:numFmt w:val="bullet"/>
      <w:lvlText w:val="•"/>
      <w:lvlJc w:val="left"/>
      <w:pPr>
        <w:ind w:left="4613" w:hanging="199"/>
      </w:pPr>
      <w:rPr>
        <w:rFonts w:hint="default"/>
        <w:lang w:val="sv-SE" w:eastAsia="sv-SE" w:bidi="sv-SE"/>
      </w:rPr>
    </w:lvl>
    <w:lvl w:ilvl="8" w:tplc="D0B8D752">
      <w:numFmt w:val="bullet"/>
      <w:lvlText w:val="•"/>
      <w:lvlJc w:val="left"/>
      <w:pPr>
        <w:ind w:left="5226" w:hanging="199"/>
      </w:pPr>
      <w:rPr>
        <w:rFonts w:hint="default"/>
        <w:lang w:val="sv-SE" w:eastAsia="sv-SE" w:bidi="sv-SE"/>
      </w:rPr>
    </w:lvl>
  </w:abstractNum>
  <w:abstractNum w:abstractNumId="3" w15:restartNumberingAfterBreak="0">
    <w:nsid w:val="75B322EB"/>
    <w:multiLevelType w:val="hybridMultilevel"/>
    <w:tmpl w:val="9434F28E"/>
    <w:lvl w:ilvl="0" w:tplc="B284F896">
      <w:start w:val="4"/>
      <w:numFmt w:val="decimal"/>
      <w:lvlText w:val="%1"/>
      <w:lvlJc w:val="left"/>
      <w:pPr>
        <w:ind w:left="117" w:hanging="191"/>
      </w:pPr>
      <w:rPr>
        <w:rFonts w:ascii="Times New Roman" w:eastAsia="Times New Roman" w:hAnsi="Times New Roman" w:cs="Times New Roman" w:hint="default"/>
        <w:b/>
        <w:bCs/>
        <w:spacing w:val="-8"/>
        <w:w w:val="100"/>
        <w:sz w:val="19"/>
        <w:szCs w:val="19"/>
        <w:lang w:val="sv-SE" w:eastAsia="sv-SE" w:bidi="sv-SE"/>
      </w:rPr>
    </w:lvl>
    <w:lvl w:ilvl="1" w:tplc="393E4A44">
      <w:numFmt w:val="bullet"/>
      <w:lvlText w:val="•"/>
      <w:lvlJc w:val="left"/>
      <w:pPr>
        <w:ind w:left="400" w:hanging="191"/>
      </w:pPr>
      <w:rPr>
        <w:rFonts w:hint="default"/>
        <w:lang w:val="sv-SE" w:eastAsia="sv-SE" w:bidi="sv-SE"/>
      </w:rPr>
    </w:lvl>
    <w:lvl w:ilvl="2" w:tplc="6742EC7E">
      <w:numFmt w:val="bullet"/>
      <w:lvlText w:val="•"/>
      <w:lvlJc w:val="left"/>
      <w:pPr>
        <w:ind w:left="892" w:hanging="191"/>
      </w:pPr>
      <w:rPr>
        <w:rFonts w:hint="default"/>
        <w:lang w:val="sv-SE" w:eastAsia="sv-SE" w:bidi="sv-SE"/>
      </w:rPr>
    </w:lvl>
    <w:lvl w:ilvl="3" w:tplc="458C596A">
      <w:numFmt w:val="bullet"/>
      <w:lvlText w:val="•"/>
      <w:lvlJc w:val="left"/>
      <w:pPr>
        <w:ind w:left="1385" w:hanging="191"/>
      </w:pPr>
      <w:rPr>
        <w:rFonts w:hint="default"/>
        <w:lang w:val="sv-SE" w:eastAsia="sv-SE" w:bidi="sv-SE"/>
      </w:rPr>
    </w:lvl>
    <w:lvl w:ilvl="4" w:tplc="A57C0292">
      <w:numFmt w:val="bullet"/>
      <w:lvlText w:val="•"/>
      <w:lvlJc w:val="left"/>
      <w:pPr>
        <w:ind w:left="1878" w:hanging="191"/>
      </w:pPr>
      <w:rPr>
        <w:rFonts w:hint="default"/>
        <w:lang w:val="sv-SE" w:eastAsia="sv-SE" w:bidi="sv-SE"/>
      </w:rPr>
    </w:lvl>
    <w:lvl w:ilvl="5" w:tplc="EAD81622">
      <w:numFmt w:val="bullet"/>
      <w:lvlText w:val="•"/>
      <w:lvlJc w:val="left"/>
      <w:pPr>
        <w:ind w:left="2371" w:hanging="191"/>
      </w:pPr>
      <w:rPr>
        <w:rFonts w:hint="default"/>
        <w:lang w:val="sv-SE" w:eastAsia="sv-SE" w:bidi="sv-SE"/>
      </w:rPr>
    </w:lvl>
    <w:lvl w:ilvl="6" w:tplc="79FE8E66">
      <w:numFmt w:val="bullet"/>
      <w:lvlText w:val="•"/>
      <w:lvlJc w:val="left"/>
      <w:pPr>
        <w:ind w:left="2864" w:hanging="191"/>
      </w:pPr>
      <w:rPr>
        <w:rFonts w:hint="default"/>
        <w:lang w:val="sv-SE" w:eastAsia="sv-SE" w:bidi="sv-SE"/>
      </w:rPr>
    </w:lvl>
    <w:lvl w:ilvl="7" w:tplc="48705B1C">
      <w:numFmt w:val="bullet"/>
      <w:lvlText w:val="•"/>
      <w:lvlJc w:val="left"/>
      <w:pPr>
        <w:ind w:left="3357" w:hanging="191"/>
      </w:pPr>
      <w:rPr>
        <w:rFonts w:hint="default"/>
        <w:lang w:val="sv-SE" w:eastAsia="sv-SE" w:bidi="sv-SE"/>
      </w:rPr>
    </w:lvl>
    <w:lvl w:ilvl="8" w:tplc="9DD4479E">
      <w:numFmt w:val="bullet"/>
      <w:lvlText w:val="•"/>
      <w:lvlJc w:val="left"/>
      <w:pPr>
        <w:ind w:left="3850" w:hanging="191"/>
      </w:pPr>
      <w:rPr>
        <w:rFonts w:hint="default"/>
        <w:lang w:val="sv-SE" w:eastAsia="sv-SE" w:bidi="sv-SE"/>
      </w:rPr>
    </w:lvl>
  </w:abstractNum>
  <w:abstractNum w:abstractNumId="4" w15:restartNumberingAfterBreak="0">
    <w:nsid w:val="781053DB"/>
    <w:multiLevelType w:val="hybridMultilevel"/>
    <w:tmpl w:val="78DE761A"/>
    <w:lvl w:ilvl="0" w:tplc="46523CC6">
      <w:start w:val="1"/>
      <w:numFmt w:val="lowerLetter"/>
      <w:lvlText w:val="%1."/>
      <w:lvlJc w:val="left"/>
      <w:pPr>
        <w:ind w:left="315" w:hanging="199"/>
      </w:pPr>
      <w:rPr>
        <w:rFonts w:ascii="Times New Roman" w:eastAsia="Times New Roman" w:hAnsi="Times New Roman" w:cs="Times New Roman" w:hint="default"/>
        <w:w w:val="100"/>
        <w:sz w:val="19"/>
        <w:szCs w:val="19"/>
        <w:lang w:val="sv-SE" w:eastAsia="sv-SE" w:bidi="sv-SE"/>
      </w:rPr>
    </w:lvl>
    <w:lvl w:ilvl="1" w:tplc="0C929874">
      <w:numFmt w:val="bullet"/>
      <w:lvlText w:val="•"/>
      <w:lvlJc w:val="left"/>
      <w:pPr>
        <w:ind w:left="933" w:hanging="199"/>
      </w:pPr>
      <w:rPr>
        <w:rFonts w:hint="default"/>
        <w:lang w:val="sv-SE" w:eastAsia="sv-SE" w:bidi="sv-SE"/>
      </w:rPr>
    </w:lvl>
    <w:lvl w:ilvl="2" w:tplc="1D466E7E">
      <w:numFmt w:val="bullet"/>
      <w:lvlText w:val="•"/>
      <w:lvlJc w:val="left"/>
      <w:pPr>
        <w:ind w:left="1546" w:hanging="199"/>
      </w:pPr>
      <w:rPr>
        <w:rFonts w:hint="default"/>
        <w:lang w:val="sv-SE" w:eastAsia="sv-SE" w:bidi="sv-SE"/>
      </w:rPr>
    </w:lvl>
    <w:lvl w:ilvl="3" w:tplc="7B32C61C">
      <w:numFmt w:val="bullet"/>
      <w:lvlText w:val="•"/>
      <w:lvlJc w:val="left"/>
      <w:pPr>
        <w:ind w:left="2160" w:hanging="199"/>
      </w:pPr>
      <w:rPr>
        <w:rFonts w:hint="default"/>
        <w:lang w:val="sv-SE" w:eastAsia="sv-SE" w:bidi="sv-SE"/>
      </w:rPr>
    </w:lvl>
    <w:lvl w:ilvl="4" w:tplc="CC2A008E">
      <w:numFmt w:val="bullet"/>
      <w:lvlText w:val="•"/>
      <w:lvlJc w:val="left"/>
      <w:pPr>
        <w:ind w:left="2773" w:hanging="199"/>
      </w:pPr>
      <w:rPr>
        <w:rFonts w:hint="default"/>
        <w:lang w:val="sv-SE" w:eastAsia="sv-SE" w:bidi="sv-SE"/>
      </w:rPr>
    </w:lvl>
    <w:lvl w:ilvl="5" w:tplc="BFD03AA2">
      <w:numFmt w:val="bullet"/>
      <w:lvlText w:val="•"/>
      <w:lvlJc w:val="left"/>
      <w:pPr>
        <w:ind w:left="3386" w:hanging="199"/>
      </w:pPr>
      <w:rPr>
        <w:rFonts w:hint="default"/>
        <w:lang w:val="sv-SE" w:eastAsia="sv-SE" w:bidi="sv-SE"/>
      </w:rPr>
    </w:lvl>
    <w:lvl w:ilvl="6" w:tplc="BFA48664">
      <w:numFmt w:val="bullet"/>
      <w:lvlText w:val="•"/>
      <w:lvlJc w:val="left"/>
      <w:pPr>
        <w:ind w:left="4000" w:hanging="199"/>
      </w:pPr>
      <w:rPr>
        <w:rFonts w:hint="default"/>
        <w:lang w:val="sv-SE" w:eastAsia="sv-SE" w:bidi="sv-SE"/>
      </w:rPr>
    </w:lvl>
    <w:lvl w:ilvl="7" w:tplc="4F0CD3C6">
      <w:numFmt w:val="bullet"/>
      <w:lvlText w:val="•"/>
      <w:lvlJc w:val="left"/>
      <w:pPr>
        <w:ind w:left="4613" w:hanging="199"/>
      </w:pPr>
      <w:rPr>
        <w:rFonts w:hint="default"/>
        <w:lang w:val="sv-SE" w:eastAsia="sv-SE" w:bidi="sv-SE"/>
      </w:rPr>
    </w:lvl>
    <w:lvl w:ilvl="8" w:tplc="00F4FAC6">
      <w:numFmt w:val="bullet"/>
      <w:lvlText w:val="•"/>
      <w:lvlJc w:val="left"/>
      <w:pPr>
        <w:ind w:left="5226" w:hanging="199"/>
      </w:pPr>
      <w:rPr>
        <w:rFonts w:hint="default"/>
        <w:lang w:val="sv-SE" w:eastAsia="sv-SE" w:bidi="sv-S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2416E"/>
    <w:rsid w:val="00534832"/>
    <w:rsid w:val="00581354"/>
    <w:rsid w:val="00A2416E"/>
    <w:rsid w:val="00B32B66"/>
    <w:rsid w:val="00FF7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978AA5"/>
  <w15:docId w15:val="{3431FC6E-06A0-4218-8771-913709BB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sv-SE" w:bidi="sv-SE"/>
    </w:rPr>
  </w:style>
  <w:style w:type="paragraph" w:styleId="Rubrik1">
    <w:name w:val="heading 1"/>
    <w:basedOn w:val="Normal"/>
    <w:uiPriority w:val="9"/>
    <w:qFormat/>
    <w:pPr>
      <w:spacing w:before="71"/>
      <w:ind w:right="33"/>
      <w:outlineLvl w:val="0"/>
    </w:pPr>
    <w:rPr>
      <w:b/>
      <w:bCs/>
      <w:sz w:val="26"/>
      <w:szCs w:val="26"/>
    </w:rPr>
  </w:style>
  <w:style w:type="paragraph" w:styleId="Rubrik2">
    <w:name w:val="heading 2"/>
    <w:basedOn w:val="Normal"/>
    <w:uiPriority w:val="9"/>
    <w:unhideWhenUsed/>
    <w:qFormat/>
    <w:pPr>
      <w:spacing w:before="73"/>
      <w:ind w:left="117"/>
      <w:outlineLvl w:val="1"/>
    </w:pPr>
    <w:rPr>
      <w:b/>
      <w:bCs/>
      <w:sz w:val="21"/>
      <w:szCs w:val="21"/>
    </w:rPr>
  </w:style>
  <w:style w:type="paragraph" w:styleId="Rubrik3">
    <w:name w:val="heading 3"/>
    <w:basedOn w:val="Normal"/>
    <w:uiPriority w:val="9"/>
    <w:unhideWhenUsed/>
    <w:qFormat/>
    <w:pPr>
      <w:spacing w:before="1"/>
      <w:ind w:left="117"/>
      <w:outlineLvl w:val="2"/>
    </w:pPr>
    <w:rPr>
      <w:rFonts w:ascii="HelveticaNeueLT Std Cn" w:eastAsia="HelveticaNeueLT Std Cn" w:hAnsi="HelveticaNeueLT Std Cn" w:cs="HelveticaNeueLT Std C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9"/>
      <w:szCs w:val="19"/>
    </w:rPr>
  </w:style>
  <w:style w:type="paragraph" w:styleId="Liststycke">
    <w:name w:val="List Paragraph"/>
    <w:basedOn w:val="Normal"/>
    <w:uiPriority w:val="1"/>
    <w:qFormat/>
    <w:pPr>
      <w:spacing w:before="68"/>
      <w:ind w:left="315" w:hanging="199"/>
    </w:pPr>
  </w:style>
  <w:style w:type="paragraph" w:customStyle="1" w:styleId="TableParagraph">
    <w:name w:val="Table Paragraph"/>
    <w:basedOn w:val="Normal"/>
    <w:uiPriority w:val="1"/>
    <w:qFormat/>
    <w:pPr>
      <w:spacing w:before="36"/>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1786</Words>
  <Characters>9470</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STEMFS 2021:2 Föreskrifter om ändring av Statens energimyndighets föreskrifter (STEMFS 2017:3) om rapportering och beräkning enligt drivmedelslagen</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STEMFS 2021:2 Föreskrifter om ändring av Statens energimyndighets föreskrifter (STEMFS 2017:3) om rapportering och beräkning enligt drivmedelslagen</dc:title>
  <dc:creator>Rikard Janson (chefsjurist)</dc:creator>
  <cp:keywords>STEMFS 2021:2 Föreskrifter om ändring av Statens energimyndighets föreskrifter (STEMFS 2017:3) om rapportering och beräkning enligt drivmedelslagen</cp:keywords>
  <cp:lastModifiedBy>Edison Moises Parraga Chica</cp:lastModifiedBy>
  <cp:revision>4</cp:revision>
  <dcterms:created xsi:type="dcterms:W3CDTF">2021-04-07T09:34:00Z</dcterms:created>
  <dcterms:modified xsi:type="dcterms:W3CDTF">2022-01-17T19:00:00Z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InDesign 16.0 (Windows)</vt:lpwstr>
  </property>
  <property fmtid="{D5CDD505-2E9C-101B-9397-08002B2CF9AE}" pid="4" name="LastSaved">
    <vt:filetime>2021-04-07T00:00:00Z</vt:filetime>
  </property>
</Properties>
</file>