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C66" w:rsidRPr="0018322C" w:rsidRDefault="00627C66" w:rsidP="00627C66">
      <w:pPr>
        <w:jc w:val="center"/>
        <w:rPr>
          <w:rFonts w:ascii="Courier New" w:hAnsi="Courier New"/>
          <w:sz w:val="20"/>
        </w:rPr>
      </w:pPr>
      <w:bookmarkStart w:id="0" w:name="_GoBack"/>
      <w:bookmarkEnd w:id="0"/>
      <w:r>
        <w:rPr>
          <w:rFonts w:ascii="Courier New" w:hAnsi="Courier New"/>
          <w:sz w:val="20"/>
        </w:rPr>
        <w:t xml:space="preserve">1. ------IND- 2019 0388 B-- </w:t>
      </w:r>
      <w:proofErr w:type="spellStart"/>
      <w:r>
        <w:rPr>
          <w:rFonts w:ascii="Courier New" w:hAnsi="Courier New"/>
          <w:sz w:val="20"/>
        </w:rPr>
        <w:t>CS</w:t>
      </w:r>
      <w:proofErr w:type="spellEnd"/>
      <w:r>
        <w:rPr>
          <w:rFonts w:ascii="Courier New" w:hAnsi="Courier New"/>
          <w:sz w:val="20"/>
        </w:rPr>
        <w:t>- ------ 20190807 --- --- PROJET</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C0762" w:rsidTr="00E17616">
        <w:tc>
          <w:tcPr>
            <w:tcW w:w="2500" w:type="pct"/>
          </w:tcPr>
          <w:p w:rsidR="00AC0762" w:rsidRPr="007A328A" w:rsidRDefault="00AC0762" w:rsidP="00A532E7">
            <w:pPr>
              <w:jc w:val="center"/>
              <w:rPr>
                <w:sz w:val="28"/>
                <w:szCs w:val="28"/>
              </w:rPr>
            </w:pPr>
          </w:p>
        </w:tc>
        <w:tc>
          <w:tcPr>
            <w:tcW w:w="2500" w:type="pct"/>
          </w:tcPr>
          <w:p w:rsidR="00AC0762" w:rsidRPr="007A328A" w:rsidRDefault="00A532E7" w:rsidP="00A532E7">
            <w:pPr>
              <w:jc w:val="center"/>
              <w:rPr>
                <w:sz w:val="28"/>
                <w:szCs w:val="28"/>
              </w:rPr>
            </w:pPr>
            <w:r>
              <w:rPr>
                <w:rFonts w:ascii="Times New Roman" w:hAnsi="Times New Roman"/>
                <w:b/>
                <w:sz w:val="28"/>
              </w:rPr>
              <w:t>BELGICKÉ KRÁLOVSTVÍ</w:t>
            </w:r>
          </w:p>
        </w:tc>
      </w:tr>
      <w:tr w:rsidR="00AC0762" w:rsidTr="00E17616">
        <w:tc>
          <w:tcPr>
            <w:tcW w:w="2500" w:type="pct"/>
          </w:tcPr>
          <w:p w:rsidR="00AC0762" w:rsidRPr="007A328A" w:rsidRDefault="00AC0762">
            <w:pPr>
              <w:rPr>
                <w:sz w:val="28"/>
                <w:szCs w:val="28"/>
              </w:rPr>
            </w:pPr>
          </w:p>
        </w:tc>
        <w:tc>
          <w:tcPr>
            <w:tcW w:w="2500" w:type="pct"/>
          </w:tcPr>
          <w:p w:rsidR="00AC0762" w:rsidRPr="007A328A" w:rsidRDefault="00AC0762" w:rsidP="00A532E7">
            <w:pPr>
              <w:jc w:val="center"/>
              <w:rPr>
                <w:sz w:val="28"/>
                <w:szCs w:val="28"/>
              </w:rPr>
            </w:pPr>
          </w:p>
        </w:tc>
      </w:tr>
      <w:tr w:rsidR="00AC0762" w:rsidRPr="00B75558" w:rsidTr="00E17616">
        <w:tc>
          <w:tcPr>
            <w:tcW w:w="2500" w:type="pct"/>
          </w:tcPr>
          <w:p w:rsidR="00AC0762" w:rsidRPr="007A328A" w:rsidRDefault="00AC0762" w:rsidP="000D4FF6">
            <w:pPr>
              <w:jc w:val="both"/>
              <w:rPr>
                <w:sz w:val="28"/>
                <w:szCs w:val="28"/>
              </w:rPr>
            </w:pPr>
          </w:p>
        </w:tc>
        <w:tc>
          <w:tcPr>
            <w:tcW w:w="2500" w:type="pct"/>
          </w:tcPr>
          <w:p w:rsidR="00AC0762" w:rsidRPr="007A328A" w:rsidRDefault="000D4FF6" w:rsidP="000D4FF6">
            <w:pPr>
              <w:jc w:val="both"/>
              <w:rPr>
                <w:sz w:val="28"/>
                <w:szCs w:val="28"/>
              </w:rPr>
            </w:pPr>
            <w:r>
              <w:rPr>
                <w:rFonts w:ascii="Times New Roman" w:hAnsi="Times New Roman"/>
                <w:b/>
                <w:sz w:val="28"/>
              </w:rPr>
              <w:t xml:space="preserve">FEDERÁLNÍ VEŘEJNÁ SLUŽBA PRO ZDRAVOTNICTVÍ, BEZPEČNOST POTRAVINOVÉHO ŘETĚZCE A ŽIVOTNÍ </w:t>
            </w:r>
            <w:proofErr w:type="spellStart"/>
            <w:r>
              <w:rPr>
                <w:rFonts w:ascii="Times New Roman" w:hAnsi="Times New Roman"/>
                <w:b/>
                <w:sz w:val="28"/>
              </w:rPr>
              <w:t>PROTŘEDÍ</w:t>
            </w:r>
            <w:proofErr w:type="spellEnd"/>
            <w:r>
              <w:rPr>
                <w:rFonts w:ascii="Times New Roman" w:hAnsi="Times New Roman"/>
                <w:b/>
                <w:sz w:val="28"/>
              </w:rPr>
              <w:t xml:space="preserve"> A FEDERÁLNÍ AGENTURA PRO LÉČIVA A ZDRAVOTNICKÉ PROSTŘEDKY</w:t>
            </w:r>
          </w:p>
        </w:tc>
      </w:tr>
      <w:tr w:rsidR="00AC0762" w:rsidRPr="00B75558" w:rsidTr="00E17616">
        <w:tc>
          <w:tcPr>
            <w:tcW w:w="2500" w:type="pct"/>
          </w:tcPr>
          <w:p w:rsidR="00AC0762" w:rsidRPr="007A328A" w:rsidRDefault="00AC0762">
            <w:pPr>
              <w:rPr>
                <w:sz w:val="28"/>
                <w:szCs w:val="28"/>
              </w:rPr>
            </w:pPr>
          </w:p>
        </w:tc>
        <w:tc>
          <w:tcPr>
            <w:tcW w:w="2500" w:type="pct"/>
          </w:tcPr>
          <w:p w:rsidR="00AC0762" w:rsidRPr="007A328A" w:rsidRDefault="00AC0762" w:rsidP="00A532E7">
            <w:pPr>
              <w:jc w:val="center"/>
              <w:rPr>
                <w:sz w:val="28"/>
                <w:szCs w:val="28"/>
              </w:rPr>
            </w:pPr>
          </w:p>
        </w:tc>
      </w:tr>
      <w:tr w:rsidR="00AC0762" w:rsidRPr="00B75558" w:rsidTr="00E17616">
        <w:tc>
          <w:tcPr>
            <w:tcW w:w="2500" w:type="pct"/>
          </w:tcPr>
          <w:p w:rsidR="00AC0762" w:rsidRPr="00B75558" w:rsidRDefault="00AC0762" w:rsidP="00A532E7">
            <w:pPr>
              <w:jc w:val="both"/>
              <w:rPr>
                <w:sz w:val="28"/>
                <w:szCs w:val="28"/>
              </w:rPr>
            </w:pPr>
          </w:p>
        </w:tc>
        <w:tc>
          <w:tcPr>
            <w:tcW w:w="2500" w:type="pct"/>
          </w:tcPr>
          <w:p w:rsidR="00AC0762" w:rsidRPr="007A328A" w:rsidRDefault="00A532E7" w:rsidP="00A532E7">
            <w:pPr>
              <w:jc w:val="both"/>
              <w:rPr>
                <w:sz w:val="28"/>
                <w:szCs w:val="28"/>
              </w:rPr>
            </w:pPr>
            <w:r>
              <w:rPr>
                <w:rFonts w:ascii="Times New Roman" w:hAnsi="Times New Roman"/>
                <w:b/>
                <w:sz w:val="28"/>
              </w:rPr>
              <w:t>Královský výnos, kterým se mění královský výnos ze dne 21. července 2016 o podmínkách užívání léčiv veterináři a osobami odpovědnými za zvířata</w:t>
            </w:r>
          </w:p>
        </w:tc>
      </w:tr>
      <w:tr w:rsidR="00AC0762" w:rsidRPr="00B75558" w:rsidTr="00E17616">
        <w:tc>
          <w:tcPr>
            <w:tcW w:w="2500" w:type="pct"/>
          </w:tcPr>
          <w:p w:rsidR="00AC0762" w:rsidRPr="00A532E7" w:rsidRDefault="00AC0762"/>
        </w:tc>
        <w:tc>
          <w:tcPr>
            <w:tcW w:w="2500" w:type="pct"/>
          </w:tcPr>
          <w:p w:rsidR="00AC0762" w:rsidRPr="00A532E7" w:rsidRDefault="00AC0762" w:rsidP="00A532E7">
            <w:pPr>
              <w:jc w:val="center"/>
            </w:pPr>
          </w:p>
        </w:tc>
      </w:tr>
      <w:tr w:rsidR="00AC0762" w:rsidRPr="007A328A" w:rsidTr="00E17616">
        <w:tc>
          <w:tcPr>
            <w:tcW w:w="2500" w:type="pct"/>
          </w:tcPr>
          <w:p w:rsidR="00AC0762" w:rsidRPr="007A328A" w:rsidRDefault="00AC0762" w:rsidP="00B75558">
            <w:pPr>
              <w:rPr>
                <w:b/>
                <w:sz w:val="24"/>
                <w:szCs w:val="24"/>
              </w:rPr>
            </w:pPr>
          </w:p>
        </w:tc>
        <w:tc>
          <w:tcPr>
            <w:tcW w:w="2500" w:type="pct"/>
          </w:tcPr>
          <w:p w:rsidR="00AC0762" w:rsidRPr="007A328A" w:rsidRDefault="00A532E7" w:rsidP="00A532E7">
            <w:pPr>
              <w:jc w:val="center"/>
              <w:rPr>
                <w:b/>
                <w:sz w:val="24"/>
                <w:szCs w:val="24"/>
              </w:rPr>
            </w:pPr>
            <w:r>
              <w:rPr>
                <w:rFonts w:ascii="Times New Roman" w:hAnsi="Times New Roman"/>
                <w:b/>
                <w:sz w:val="24"/>
              </w:rPr>
              <w:t>PHILIPPE, král Belgičanů,</w:t>
            </w:r>
          </w:p>
        </w:tc>
      </w:tr>
      <w:tr w:rsidR="00AC0762" w:rsidRPr="007A328A" w:rsidTr="00E17616">
        <w:tc>
          <w:tcPr>
            <w:tcW w:w="2500" w:type="pct"/>
          </w:tcPr>
          <w:p w:rsidR="00AC0762" w:rsidRPr="007A328A" w:rsidRDefault="00AC0762">
            <w:pPr>
              <w:rPr>
                <w:sz w:val="24"/>
                <w:szCs w:val="24"/>
              </w:rPr>
            </w:pPr>
          </w:p>
        </w:tc>
        <w:tc>
          <w:tcPr>
            <w:tcW w:w="2500" w:type="pct"/>
          </w:tcPr>
          <w:p w:rsidR="00AC0762" w:rsidRPr="007A328A" w:rsidRDefault="00AC0762" w:rsidP="00A532E7">
            <w:pPr>
              <w:jc w:val="center"/>
              <w:rPr>
                <w:sz w:val="24"/>
                <w:szCs w:val="24"/>
              </w:rPr>
            </w:pPr>
          </w:p>
        </w:tc>
      </w:tr>
      <w:tr w:rsidR="00AC0762" w:rsidRPr="00B75558" w:rsidTr="00E17616">
        <w:tc>
          <w:tcPr>
            <w:tcW w:w="2500" w:type="pct"/>
          </w:tcPr>
          <w:p w:rsidR="00AC0762" w:rsidRPr="007A328A" w:rsidRDefault="00AC0762">
            <w:pPr>
              <w:rPr>
                <w:sz w:val="24"/>
                <w:szCs w:val="24"/>
              </w:rPr>
            </w:pPr>
          </w:p>
        </w:tc>
        <w:tc>
          <w:tcPr>
            <w:tcW w:w="2500" w:type="pct"/>
          </w:tcPr>
          <w:p w:rsidR="00AC0762" w:rsidRPr="007A328A" w:rsidRDefault="00A532E7" w:rsidP="00A532E7">
            <w:pPr>
              <w:jc w:val="center"/>
              <w:rPr>
                <w:sz w:val="24"/>
                <w:szCs w:val="24"/>
              </w:rPr>
            </w:pPr>
            <w:r>
              <w:rPr>
                <w:rFonts w:ascii="Times New Roman" w:hAnsi="Times New Roman"/>
                <w:sz w:val="24"/>
              </w:rPr>
              <w:t>s pozdravem všem zde přítomným i příchozím.</w:t>
            </w:r>
          </w:p>
        </w:tc>
      </w:tr>
      <w:tr w:rsidR="00774F9F" w:rsidRPr="00B75558" w:rsidTr="00E17616">
        <w:tc>
          <w:tcPr>
            <w:tcW w:w="2500" w:type="pct"/>
          </w:tcPr>
          <w:p w:rsidR="00774F9F" w:rsidRPr="007A328A" w:rsidRDefault="00774F9F" w:rsidP="00270D6C">
            <w:pPr>
              <w:pStyle w:val="BodyTextIndent"/>
              <w:jc w:val="center"/>
              <w:rPr>
                <w:rFonts w:ascii="Times New Roman" w:hAnsi="Times New Roman" w:cs="Times New Roman"/>
                <w:bCs/>
                <w:sz w:val="24"/>
                <w:szCs w:val="24"/>
              </w:rPr>
            </w:pPr>
          </w:p>
        </w:tc>
        <w:tc>
          <w:tcPr>
            <w:tcW w:w="2500" w:type="pct"/>
          </w:tcPr>
          <w:p w:rsidR="00774F9F" w:rsidRPr="007A328A" w:rsidRDefault="00774F9F" w:rsidP="00A532E7">
            <w:pPr>
              <w:jc w:val="center"/>
              <w:rPr>
                <w:rFonts w:ascii="Times New Roman" w:eastAsia="Times New Roman" w:hAnsi="Times New Roman" w:cs="Times New Roman"/>
                <w:bCs/>
                <w:sz w:val="24"/>
                <w:szCs w:val="24"/>
              </w:rPr>
            </w:pPr>
          </w:p>
        </w:tc>
      </w:tr>
      <w:tr w:rsidR="004E466E" w:rsidRPr="00B75558" w:rsidTr="00E17616">
        <w:tc>
          <w:tcPr>
            <w:tcW w:w="2500" w:type="pct"/>
          </w:tcPr>
          <w:p w:rsidR="004E466E" w:rsidRPr="007A328A" w:rsidRDefault="004E466E" w:rsidP="00270D6C">
            <w:pPr>
              <w:pStyle w:val="BodyTextIndent"/>
              <w:jc w:val="center"/>
              <w:rPr>
                <w:rFonts w:ascii="Times New Roman" w:hAnsi="Times New Roman" w:cs="Times New Roman"/>
                <w:bCs/>
                <w:sz w:val="24"/>
                <w:szCs w:val="24"/>
              </w:rPr>
            </w:pPr>
          </w:p>
        </w:tc>
        <w:tc>
          <w:tcPr>
            <w:tcW w:w="2500" w:type="pct"/>
          </w:tcPr>
          <w:p w:rsidR="004E466E" w:rsidRPr="007A328A" w:rsidRDefault="004E466E" w:rsidP="00A532E7">
            <w:pPr>
              <w:jc w:val="center"/>
              <w:rPr>
                <w:rFonts w:ascii="Times New Roman" w:eastAsia="Times New Roman" w:hAnsi="Times New Roman" w:cs="Times New Roman"/>
                <w:bCs/>
                <w:sz w:val="24"/>
                <w:szCs w:val="24"/>
              </w:rPr>
            </w:pPr>
          </w:p>
        </w:tc>
      </w:tr>
      <w:tr w:rsidR="00774F9F" w:rsidRPr="00B75558" w:rsidTr="00E17616">
        <w:tc>
          <w:tcPr>
            <w:tcW w:w="2500" w:type="pct"/>
          </w:tcPr>
          <w:p w:rsidR="00774F9F" w:rsidRPr="007A328A" w:rsidRDefault="00774F9F" w:rsidP="00774F9F">
            <w:pPr>
              <w:pStyle w:val="BodyTextIndent"/>
              <w:ind w:firstLine="0"/>
              <w:rPr>
                <w:rFonts w:ascii="Times New Roman" w:hAnsi="Times New Roman" w:cs="Times New Roman"/>
                <w:bCs/>
                <w:sz w:val="24"/>
                <w:szCs w:val="24"/>
              </w:rPr>
            </w:pPr>
          </w:p>
        </w:tc>
        <w:tc>
          <w:tcPr>
            <w:tcW w:w="2500" w:type="pct"/>
          </w:tcPr>
          <w:p w:rsidR="00774F9F" w:rsidRPr="007A328A" w:rsidRDefault="00773261" w:rsidP="00773261">
            <w:pPr>
              <w:jc w:val="both"/>
              <w:rPr>
                <w:rFonts w:ascii="Times New Roman" w:eastAsia="Times New Roman" w:hAnsi="Times New Roman" w:cs="Times New Roman"/>
                <w:bCs/>
                <w:sz w:val="24"/>
                <w:szCs w:val="24"/>
              </w:rPr>
            </w:pPr>
            <w:r>
              <w:rPr>
                <w:rFonts w:ascii="Times New Roman" w:hAnsi="Times New Roman"/>
                <w:sz w:val="24"/>
              </w:rPr>
              <w:t xml:space="preserve">S ohledem na zákon ze dne 25. března 1964 o léčivech, článek </w:t>
            </w:r>
            <w:proofErr w:type="spellStart"/>
            <w:r>
              <w:rPr>
                <w:rFonts w:ascii="Times New Roman" w:hAnsi="Times New Roman"/>
                <w:sz w:val="24"/>
              </w:rPr>
              <w:t>12</w:t>
            </w:r>
            <w:r>
              <w:rPr>
                <w:rFonts w:ascii="Times New Roman" w:hAnsi="Times New Roman"/>
                <w:i/>
                <w:sz w:val="24"/>
              </w:rPr>
              <w:t>septies</w:t>
            </w:r>
            <w:proofErr w:type="spellEnd"/>
            <w:r>
              <w:rPr>
                <w:rFonts w:ascii="Times New Roman" w:hAnsi="Times New Roman"/>
                <w:sz w:val="24"/>
              </w:rPr>
              <w:t xml:space="preserve"> vložený v souladu se zákonem ze dne 1. května 2006;</w:t>
            </w:r>
          </w:p>
        </w:tc>
      </w:tr>
      <w:tr w:rsidR="00520AD9" w:rsidRPr="00B75558" w:rsidTr="00E17616">
        <w:tc>
          <w:tcPr>
            <w:tcW w:w="2500" w:type="pct"/>
          </w:tcPr>
          <w:p w:rsidR="00520AD9" w:rsidRPr="007A328A" w:rsidRDefault="00520AD9" w:rsidP="00774F9F">
            <w:pPr>
              <w:pStyle w:val="BodyTextIndent"/>
              <w:ind w:firstLine="0"/>
              <w:rPr>
                <w:rFonts w:ascii="Times New Roman" w:hAnsi="Times New Roman" w:cs="Times New Roman"/>
                <w:bCs/>
                <w:sz w:val="24"/>
                <w:szCs w:val="24"/>
              </w:rPr>
            </w:pPr>
          </w:p>
        </w:tc>
        <w:tc>
          <w:tcPr>
            <w:tcW w:w="2500" w:type="pct"/>
          </w:tcPr>
          <w:p w:rsidR="00520AD9" w:rsidRPr="007A328A" w:rsidRDefault="00520AD9" w:rsidP="00A532E7">
            <w:pPr>
              <w:jc w:val="center"/>
              <w:rPr>
                <w:rFonts w:ascii="Times New Roman" w:eastAsia="Times New Roman" w:hAnsi="Times New Roman" w:cs="Times New Roman"/>
                <w:bCs/>
                <w:sz w:val="24"/>
                <w:szCs w:val="24"/>
              </w:rPr>
            </w:pPr>
          </w:p>
        </w:tc>
      </w:tr>
      <w:tr w:rsidR="00520AD9" w:rsidRPr="00B75558" w:rsidTr="00E17616">
        <w:tc>
          <w:tcPr>
            <w:tcW w:w="2500" w:type="pct"/>
          </w:tcPr>
          <w:p w:rsidR="00520AD9" w:rsidRPr="00B75558" w:rsidRDefault="00520AD9" w:rsidP="00773261">
            <w:pPr>
              <w:pStyle w:val="BodyTextIndent"/>
              <w:ind w:firstLine="0"/>
              <w:rPr>
                <w:rFonts w:ascii="Times New Roman" w:hAnsi="Times New Roman" w:cs="Times New Roman"/>
                <w:bCs/>
                <w:sz w:val="24"/>
                <w:szCs w:val="24"/>
              </w:rPr>
            </w:pPr>
          </w:p>
        </w:tc>
        <w:tc>
          <w:tcPr>
            <w:tcW w:w="2500" w:type="pct"/>
          </w:tcPr>
          <w:p w:rsidR="00520AD9" w:rsidRPr="007A328A" w:rsidRDefault="00773261" w:rsidP="004769A4">
            <w:pPr>
              <w:jc w:val="both"/>
              <w:rPr>
                <w:rFonts w:ascii="Times New Roman" w:eastAsia="Times New Roman" w:hAnsi="Times New Roman" w:cs="Times New Roman"/>
                <w:bCs/>
                <w:sz w:val="24"/>
                <w:szCs w:val="24"/>
              </w:rPr>
            </w:pPr>
            <w:r>
              <w:rPr>
                <w:rFonts w:ascii="Times New Roman" w:hAnsi="Times New Roman"/>
                <w:sz w:val="24"/>
              </w:rPr>
              <w:t>s ohledem na zákon ze dne 28. srpna 1991 o praxi veterinárního lékařství, čl. 9 odst. 2, ve znění zákonů ze dne 22. června 2016 a 30. října 2018;</w:t>
            </w:r>
          </w:p>
        </w:tc>
      </w:tr>
      <w:tr w:rsidR="00773261" w:rsidRPr="00B75558" w:rsidTr="00E17616">
        <w:tc>
          <w:tcPr>
            <w:tcW w:w="2500" w:type="pct"/>
          </w:tcPr>
          <w:p w:rsidR="00773261" w:rsidRPr="007A328A" w:rsidRDefault="00773261" w:rsidP="00773261">
            <w:pPr>
              <w:pStyle w:val="BodyTextIndent"/>
              <w:ind w:firstLine="0"/>
              <w:rPr>
                <w:rFonts w:ascii="Times New Roman" w:hAnsi="Times New Roman" w:cs="Times New Roman"/>
                <w:bCs/>
                <w:sz w:val="24"/>
                <w:szCs w:val="24"/>
              </w:rPr>
            </w:pPr>
          </w:p>
        </w:tc>
        <w:tc>
          <w:tcPr>
            <w:tcW w:w="2500" w:type="pct"/>
          </w:tcPr>
          <w:p w:rsidR="00773261" w:rsidRPr="007A328A" w:rsidRDefault="00773261" w:rsidP="00773261">
            <w:pPr>
              <w:rPr>
                <w:rFonts w:ascii="Times New Roman" w:eastAsia="Times New Roman" w:hAnsi="Times New Roman" w:cs="Times New Roman"/>
                <w:bCs/>
                <w:sz w:val="24"/>
                <w:szCs w:val="24"/>
              </w:rPr>
            </w:pPr>
          </w:p>
        </w:tc>
      </w:tr>
      <w:tr w:rsidR="00C5784C" w:rsidRPr="00B75558" w:rsidTr="00E17616">
        <w:tc>
          <w:tcPr>
            <w:tcW w:w="2500" w:type="pct"/>
          </w:tcPr>
          <w:p w:rsidR="00C5784C" w:rsidRPr="00B75558" w:rsidRDefault="00C5784C" w:rsidP="00B75558">
            <w:pPr>
              <w:pStyle w:val="BodyTextIndent"/>
              <w:ind w:firstLine="0"/>
              <w:rPr>
                <w:rFonts w:ascii="Times New Roman" w:hAnsi="Times New Roman" w:cs="Times New Roman"/>
                <w:bCs/>
                <w:sz w:val="24"/>
                <w:szCs w:val="24"/>
              </w:rPr>
            </w:pPr>
          </w:p>
        </w:tc>
        <w:tc>
          <w:tcPr>
            <w:tcW w:w="2500" w:type="pct"/>
          </w:tcPr>
          <w:p w:rsidR="00C5784C" w:rsidRPr="007A328A" w:rsidRDefault="007F6A71" w:rsidP="000C18D6">
            <w:pPr>
              <w:jc w:val="both"/>
              <w:rPr>
                <w:rFonts w:ascii="Times New Roman" w:eastAsia="Times New Roman" w:hAnsi="Times New Roman" w:cs="Times New Roman"/>
                <w:bCs/>
                <w:sz w:val="24"/>
                <w:szCs w:val="24"/>
              </w:rPr>
            </w:pPr>
            <w:r>
              <w:rPr>
                <w:rFonts w:ascii="Times New Roman" w:hAnsi="Times New Roman"/>
                <w:sz w:val="24"/>
              </w:rPr>
              <w:t>s ohledem na královský výnos ze dne 21. července 2016 o podmínkách užívání léčiv veterináři a osobami odpovědnými za zvířata, částečně zrušený rozhodnutím Státní rady č. 244.629 ze dne 28. května 2019;</w:t>
            </w:r>
          </w:p>
        </w:tc>
      </w:tr>
      <w:tr w:rsidR="00C5784C" w:rsidRPr="00B75558" w:rsidTr="00E17616">
        <w:tc>
          <w:tcPr>
            <w:tcW w:w="2500" w:type="pct"/>
          </w:tcPr>
          <w:p w:rsidR="00C5784C" w:rsidRPr="007A328A" w:rsidRDefault="00C5784C" w:rsidP="00773261">
            <w:pPr>
              <w:pStyle w:val="BodyTextIndent"/>
              <w:ind w:firstLine="0"/>
              <w:rPr>
                <w:rFonts w:ascii="Times New Roman" w:hAnsi="Times New Roman" w:cs="Times New Roman"/>
                <w:bCs/>
                <w:sz w:val="24"/>
                <w:szCs w:val="24"/>
              </w:rPr>
            </w:pPr>
          </w:p>
        </w:tc>
        <w:tc>
          <w:tcPr>
            <w:tcW w:w="2500" w:type="pct"/>
          </w:tcPr>
          <w:p w:rsidR="00C5784C" w:rsidRPr="007A328A" w:rsidRDefault="00C5784C" w:rsidP="00773261">
            <w:pPr>
              <w:rPr>
                <w:rFonts w:ascii="Times New Roman" w:eastAsia="Times New Roman" w:hAnsi="Times New Roman" w:cs="Times New Roman"/>
                <w:bCs/>
                <w:sz w:val="24"/>
                <w:szCs w:val="24"/>
              </w:rPr>
            </w:pPr>
          </w:p>
        </w:tc>
      </w:tr>
      <w:tr w:rsidR="001432A5" w:rsidRPr="00B75558" w:rsidTr="00E17616">
        <w:tc>
          <w:tcPr>
            <w:tcW w:w="2500" w:type="pct"/>
          </w:tcPr>
          <w:p w:rsidR="001432A5" w:rsidRPr="00B75558" w:rsidRDefault="001432A5" w:rsidP="00B75558">
            <w:pPr>
              <w:pStyle w:val="BodyTextIndent"/>
              <w:ind w:firstLine="0"/>
              <w:rPr>
                <w:rFonts w:ascii="Times New Roman" w:hAnsi="Times New Roman" w:cs="Times New Roman"/>
                <w:bCs/>
                <w:sz w:val="24"/>
                <w:szCs w:val="24"/>
              </w:rPr>
            </w:pPr>
          </w:p>
        </w:tc>
        <w:tc>
          <w:tcPr>
            <w:tcW w:w="2500" w:type="pct"/>
          </w:tcPr>
          <w:p w:rsidR="001432A5" w:rsidRPr="007A328A" w:rsidRDefault="001432A5" w:rsidP="001432A5">
            <w:pPr>
              <w:jc w:val="both"/>
              <w:rPr>
                <w:rFonts w:ascii="Times New Roman" w:eastAsia="Times New Roman" w:hAnsi="Times New Roman" w:cs="Times New Roman"/>
                <w:bCs/>
                <w:sz w:val="24"/>
                <w:szCs w:val="24"/>
              </w:rPr>
            </w:pPr>
            <w:r>
              <w:rPr>
                <w:rFonts w:ascii="Times New Roman" w:hAnsi="Times New Roman"/>
                <w:sz w:val="24"/>
              </w:rPr>
              <w:t>s ohledem na sdělení Evropské komisi ze dne … v souladu s čl. 5 odst. 1 směrnice Evropského parlamentu a Rady (EU) 2015/1535 ze dne 9. září 2015 o postupu při poskytování informací v oblasti technických předpisů a předpisů pro služby informační společnosti;</w:t>
            </w:r>
          </w:p>
        </w:tc>
      </w:tr>
      <w:tr w:rsidR="001432A5" w:rsidRPr="00B75558" w:rsidTr="00E17616">
        <w:tc>
          <w:tcPr>
            <w:tcW w:w="2500" w:type="pct"/>
          </w:tcPr>
          <w:p w:rsidR="001432A5" w:rsidRPr="007A328A" w:rsidRDefault="001432A5" w:rsidP="00773261">
            <w:pPr>
              <w:pStyle w:val="BodyTextIndent"/>
              <w:ind w:firstLine="0"/>
              <w:rPr>
                <w:rFonts w:ascii="Times New Roman" w:hAnsi="Times New Roman" w:cs="Times New Roman"/>
                <w:bCs/>
                <w:sz w:val="24"/>
                <w:szCs w:val="24"/>
              </w:rPr>
            </w:pPr>
          </w:p>
        </w:tc>
        <w:tc>
          <w:tcPr>
            <w:tcW w:w="2500" w:type="pct"/>
          </w:tcPr>
          <w:p w:rsidR="001432A5" w:rsidRPr="007A328A" w:rsidRDefault="001432A5" w:rsidP="00773261">
            <w:pPr>
              <w:rPr>
                <w:rFonts w:ascii="Times New Roman" w:eastAsia="Times New Roman" w:hAnsi="Times New Roman" w:cs="Times New Roman"/>
                <w:bCs/>
                <w:sz w:val="24"/>
                <w:szCs w:val="24"/>
              </w:rPr>
            </w:pPr>
          </w:p>
        </w:tc>
      </w:tr>
      <w:tr w:rsidR="00773261" w:rsidRPr="00B75558" w:rsidTr="00E17616">
        <w:tc>
          <w:tcPr>
            <w:tcW w:w="2500" w:type="pct"/>
          </w:tcPr>
          <w:p w:rsidR="00773261" w:rsidRPr="00B75558" w:rsidRDefault="00773261" w:rsidP="00773261">
            <w:pPr>
              <w:pStyle w:val="BodyTextIndent"/>
              <w:ind w:firstLine="0"/>
              <w:rPr>
                <w:rFonts w:ascii="Times New Roman" w:hAnsi="Times New Roman" w:cs="Times New Roman"/>
                <w:bCs/>
                <w:sz w:val="24"/>
                <w:szCs w:val="24"/>
              </w:rPr>
            </w:pPr>
          </w:p>
        </w:tc>
        <w:tc>
          <w:tcPr>
            <w:tcW w:w="2500" w:type="pct"/>
          </w:tcPr>
          <w:p w:rsidR="00773261" w:rsidRPr="007A328A" w:rsidRDefault="00773261" w:rsidP="004769A4">
            <w:pPr>
              <w:jc w:val="both"/>
              <w:rPr>
                <w:rFonts w:ascii="Times New Roman" w:eastAsia="Times New Roman" w:hAnsi="Times New Roman" w:cs="Times New Roman"/>
                <w:bCs/>
                <w:sz w:val="24"/>
                <w:szCs w:val="24"/>
              </w:rPr>
            </w:pPr>
            <w:r>
              <w:rPr>
                <w:rFonts w:ascii="Times New Roman" w:hAnsi="Times New Roman"/>
                <w:sz w:val="24"/>
              </w:rPr>
              <w:t xml:space="preserve">s ohledem na stanovisko finančního inspektora vydané dne </w:t>
            </w:r>
            <w:proofErr w:type="spellStart"/>
            <w:r>
              <w:rPr>
                <w:rFonts w:ascii="Times New Roman" w:hAnsi="Times New Roman"/>
                <w:sz w:val="24"/>
              </w:rPr>
              <w:t>XX.XX</w:t>
            </w:r>
            <w:proofErr w:type="spellEnd"/>
            <w:r>
              <w:rPr>
                <w:rFonts w:ascii="Times New Roman" w:hAnsi="Times New Roman"/>
                <w:sz w:val="24"/>
              </w:rPr>
              <w:t xml:space="preserve"> </w:t>
            </w:r>
            <w:proofErr w:type="spellStart"/>
            <w:r>
              <w:rPr>
                <w:rFonts w:ascii="Times New Roman" w:hAnsi="Times New Roman"/>
                <w:sz w:val="24"/>
              </w:rPr>
              <w:t>XXXX</w:t>
            </w:r>
            <w:proofErr w:type="spellEnd"/>
            <w:r>
              <w:rPr>
                <w:rFonts w:ascii="Times New Roman" w:hAnsi="Times New Roman"/>
                <w:sz w:val="24"/>
              </w:rPr>
              <w:t>;</w:t>
            </w:r>
          </w:p>
        </w:tc>
      </w:tr>
      <w:tr w:rsidR="00EA7D63" w:rsidRPr="00B75558" w:rsidTr="00E17616">
        <w:tc>
          <w:tcPr>
            <w:tcW w:w="2500" w:type="pct"/>
          </w:tcPr>
          <w:p w:rsidR="00EA7D63" w:rsidRPr="000D4FF6" w:rsidRDefault="00EA7D63" w:rsidP="00773261">
            <w:pPr>
              <w:pStyle w:val="BodyTextIndent"/>
              <w:ind w:firstLine="0"/>
              <w:rPr>
                <w:rFonts w:ascii="Times New Roman" w:hAnsi="Times New Roman" w:cs="Times New Roman"/>
                <w:bCs/>
                <w:sz w:val="24"/>
                <w:szCs w:val="24"/>
              </w:rPr>
            </w:pPr>
          </w:p>
        </w:tc>
        <w:tc>
          <w:tcPr>
            <w:tcW w:w="2500" w:type="pct"/>
          </w:tcPr>
          <w:p w:rsidR="00EA7D63" w:rsidRPr="007A328A" w:rsidRDefault="00EA7D63" w:rsidP="00773261">
            <w:pPr>
              <w:rPr>
                <w:rFonts w:ascii="Times New Roman" w:eastAsia="Times New Roman" w:hAnsi="Times New Roman" w:cs="Times New Roman"/>
                <w:bCs/>
                <w:sz w:val="24"/>
                <w:szCs w:val="24"/>
              </w:rPr>
            </w:pPr>
          </w:p>
        </w:tc>
      </w:tr>
      <w:tr w:rsidR="00EA7D63" w:rsidRPr="00B75558" w:rsidTr="00E17616">
        <w:tc>
          <w:tcPr>
            <w:tcW w:w="2500" w:type="pct"/>
          </w:tcPr>
          <w:p w:rsidR="00EA7D63" w:rsidRPr="00B75558" w:rsidRDefault="00EA7D63" w:rsidP="00773261">
            <w:pPr>
              <w:pStyle w:val="BodyTextIndent"/>
              <w:ind w:firstLine="0"/>
              <w:rPr>
                <w:rFonts w:ascii="Times New Roman" w:hAnsi="Times New Roman" w:cs="Times New Roman"/>
                <w:bCs/>
                <w:sz w:val="24"/>
                <w:szCs w:val="24"/>
              </w:rPr>
            </w:pPr>
          </w:p>
        </w:tc>
        <w:tc>
          <w:tcPr>
            <w:tcW w:w="2500" w:type="pct"/>
          </w:tcPr>
          <w:p w:rsidR="00EA7D63" w:rsidRPr="007A328A" w:rsidRDefault="003446C7" w:rsidP="003446C7">
            <w:pPr>
              <w:jc w:val="both"/>
              <w:rPr>
                <w:rFonts w:ascii="Times New Roman" w:eastAsia="Times New Roman" w:hAnsi="Times New Roman" w:cs="Times New Roman"/>
                <w:bCs/>
                <w:sz w:val="24"/>
                <w:szCs w:val="24"/>
              </w:rPr>
            </w:pPr>
            <w:r>
              <w:rPr>
                <w:rFonts w:ascii="Times New Roman" w:hAnsi="Times New Roman"/>
                <w:sz w:val="24"/>
              </w:rPr>
              <w:t xml:space="preserve">s ohledem na stanovisko Státní rady č. </w:t>
            </w:r>
            <w:proofErr w:type="spellStart"/>
            <w:r>
              <w:rPr>
                <w:rFonts w:ascii="Times New Roman" w:hAnsi="Times New Roman"/>
                <w:sz w:val="24"/>
              </w:rPr>
              <w:t>XX.XXX</w:t>
            </w:r>
            <w:proofErr w:type="spellEnd"/>
            <w:r>
              <w:rPr>
                <w:rFonts w:ascii="Times New Roman" w:hAnsi="Times New Roman"/>
                <w:sz w:val="24"/>
              </w:rPr>
              <w:t xml:space="preserve">/XX vydané dne </w:t>
            </w:r>
            <w:proofErr w:type="spellStart"/>
            <w:r>
              <w:rPr>
                <w:rFonts w:ascii="Times New Roman" w:hAnsi="Times New Roman"/>
                <w:sz w:val="24"/>
              </w:rPr>
              <w:t>XX.XX</w:t>
            </w:r>
            <w:proofErr w:type="spellEnd"/>
            <w:r>
              <w:rPr>
                <w:rFonts w:ascii="Times New Roman" w:hAnsi="Times New Roman"/>
                <w:sz w:val="24"/>
              </w:rPr>
              <w:t xml:space="preserve"> </w:t>
            </w:r>
            <w:proofErr w:type="spellStart"/>
            <w:r>
              <w:rPr>
                <w:rFonts w:ascii="Times New Roman" w:hAnsi="Times New Roman"/>
                <w:sz w:val="24"/>
              </w:rPr>
              <w:t>XXXX</w:t>
            </w:r>
            <w:proofErr w:type="spellEnd"/>
            <w:r>
              <w:rPr>
                <w:rFonts w:ascii="Times New Roman" w:hAnsi="Times New Roman"/>
                <w:sz w:val="24"/>
              </w:rPr>
              <w:t>, při uplatnění čl. 84 odst. 1 bodu 2 zákonů Státní rady, koordinovaných dne 12. ledna 1973;</w:t>
            </w:r>
          </w:p>
        </w:tc>
      </w:tr>
      <w:tr w:rsidR="00EA7D63" w:rsidRPr="00B75558" w:rsidTr="00E17616">
        <w:tc>
          <w:tcPr>
            <w:tcW w:w="2500" w:type="pct"/>
          </w:tcPr>
          <w:p w:rsidR="00EA7D63" w:rsidRPr="007A328A" w:rsidRDefault="00EA7D63" w:rsidP="00773261">
            <w:pPr>
              <w:pStyle w:val="BodyTextIndent"/>
              <w:ind w:firstLine="0"/>
              <w:rPr>
                <w:rFonts w:ascii="Times New Roman" w:hAnsi="Times New Roman" w:cs="Times New Roman"/>
                <w:bCs/>
                <w:sz w:val="24"/>
                <w:szCs w:val="24"/>
              </w:rPr>
            </w:pPr>
          </w:p>
        </w:tc>
        <w:tc>
          <w:tcPr>
            <w:tcW w:w="2500" w:type="pct"/>
          </w:tcPr>
          <w:p w:rsidR="00EA7D63" w:rsidRPr="007A328A" w:rsidRDefault="00EA7D63" w:rsidP="00773261">
            <w:pPr>
              <w:rPr>
                <w:rFonts w:ascii="Times New Roman" w:eastAsia="Times New Roman" w:hAnsi="Times New Roman" w:cs="Times New Roman"/>
                <w:bCs/>
                <w:sz w:val="24"/>
                <w:szCs w:val="24"/>
              </w:rPr>
            </w:pPr>
          </w:p>
        </w:tc>
      </w:tr>
      <w:tr w:rsidR="00AC0762" w:rsidRPr="00B75558" w:rsidTr="00E17616">
        <w:tc>
          <w:tcPr>
            <w:tcW w:w="2500" w:type="pct"/>
          </w:tcPr>
          <w:p w:rsidR="00AC0762" w:rsidRPr="00B75558" w:rsidRDefault="00AC0762" w:rsidP="00270D6C">
            <w:pPr>
              <w:jc w:val="both"/>
              <w:rPr>
                <w:sz w:val="24"/>
                <w:szCs w:val="24"/>
              </w:rPr>
            </w:pPr>
          </w:p>
        </w:tc>
        <w:tc>
          <w:tcPr>
            <w:tcW w:w="2500" w:type="pct"/>
          </w:tcPr>
          <w:p w:rsidR="00AC0762" w:rsidRPr="007A328A" w:rsidRDefault="003446C7" w:rsidP="003446C7">
            <w:pPr>
              <w:jc w:val="both"/>
              <w:rPr>
                <w:rFonts w:ascii="Times New Roman" w:hAnsi="Times New Roman" w:cs="Times New Roman"/>
                <w:sz w:val="24"/>
                <w:szCs w:val="24"/>
              </w:rPr>
            </w:pPr>
            <w:r>
              <w:rPr>
                <w:rFonts w:ascii="Times New Roman" w:hAnsi="Times New Roman"/>
                <w:sz w:val="24"/>
              </w:rPr>
              <w:t>na doporučení ministra pro veřejné zdraví a ministra zemědělství;</w:t>
            </w:r>
          </w:p>
        </w:tc>
      </w:tr>
      <w:tr w:rsidR="00AC0762" w:rsidRPr="00B75558" w:rsidTr="00E17616">
        <w:tc>
          <w:tcPr>
            <w:tcW w:w="2500" w:type="pct"/>
          </w:tcPr>
          <w:p w:rsidR="00AC0762" w:rsidRPr="007A328A" w:rsidRDefault="00AC0762">
            <w:pPr>
              <w:rPr>
                <w:sz w:val="24"/>
                <w:szCs w:val="24"/>
              </w:rPr>
            </w:pPr>
          </w:p>
        </w:tc>
        <w:tc>
          <w:tcPr>
            <w:tcW w:w="2500" w:type="pct"/>
          </w:tcPr>
          <w:p w:rsidR="00AC0762" w:rsidRPr="007A328A" w:rsidRDefault="00AC0762">
            <w:pPr>
              <w:rPr>
                <w:sz w:val="24"/>
                <w:szCs w:val="24"/>
              </w:rPr>
            </w:pPr>
          </w:p>
        </w:tc>
      </w:tr>
      <w:tr w:rsidR="00270D6C" w:rsidRPr="00B75558" w:rsidTr="00E17616">
        <w:tc>
          <w:tcPr>
            <w:tcW w:w="2500" w:type="pct"/>
          </w:tcPr>
          <w:p w:rsidR="00270D6C" w:rsidRPr="00B75558" w:rsidRDefault="00270D6C" w:rsidP="0074657B">
            <w:pPr>
              <w:jc w:val="both"/>
              <w:rPr>
                <w:caps/>
                <w:sz w:val="24"/>
                <w:szCs w:val="24"/>
              </w:rPr>
            </w:pPr>
          </w:p>
        </w:tc>
        <w:tc>
          <w:tcPr>
            <w:tcW w:w="2500" w:type="pct"/>
          </w:tcPr>
          <w:p w:rsidR="00270D6C" w:rsidRPr="007A328A" w:rsidRDefault="00270D6C" w:rsidP="0074657B">
            <w:pPr>
              <w:jc w:val="both"/>
              <w:rPr>
                <w:caps/>
                <w:sz w:val="24"/>
                <w:szCs w:val="24"/>
              </w:rPr>
            </w:pPr>
            <w:r>
              <w:rPr>
                <w:rFonts w:ascii="Times New Roman" w:hAnsi="Times New Roman"/>
                <w:caps/>
                <w:sz w:val="24"/>
              </w:rPr>
              <w:t>jsme rozhodli a tímto nařizujeme následující:</w:t>
            </w:r>
          </w:p>
        </w:tc>
      </w:tr>
      <w:tr w:rsidR="00270D6C" w:rsidRPr="00B75558" w:rsidTr="00E17616">
        <w:tc>
          <w:tcPr>
            <w:tcW w:w="2500" w:type="pct"/>
          </w:tcPr>
          <w:p w:rsidR="00270D6C" w:rsidRPr="007A328A" w:rsidRDefault="00270D6C">
            <w:pPr>
              <w:rPr>
                <w:sz w:val="24"/>
                <w:szCs w:val="24"/>
              </w:rPr>
            </w:pPr>
          </w:p>
        </w:tc>
        <w:tc>
          <w:tcPr>
            <w:tcW w:w="2500" w:type="pct"/>
          </w:tcPr>
          <w:p w:rsidR="00270D6C" w:rsidRPr="007A328A" w:rsidRDefault="00270D6C">
            <w:pPr>
              <w:rPr>
                <w:sz w:val="24"/>
                <w:szCs w:val="24"/>
              </w:rPr>
            </w:pPr>
          </w:p>
        </w:tc>
      </w:tr>
      <w:tr w:rsidR="00270D6C" w:rsidRPr="00B75558" w:rsidTr="00E17616">
        <w:tc>
          <w:tcPr>
            <w:tcW w:w="2500" w:type="pct"/>
          </w:tcPr>
          <w:p w:rsidR="00270D6C" w:rsidRPr="007A328A" w:rsidRDefault="00270D6C">
            <w:pPr>
              <w:rPr>
                <w:rFonts w:ascii="Times New Roman" w:hAnsi="Times New Roman" w:cs="Times New Roman"/>
                <w:sz w:val="24"/>
                <w:szCs w:val="24"/>
              </w:rPr>
            </w:pPr>
          </w:p>
        </w:tc>
        <w:tc>
          <w:tcPr>
            <w:tcW w:w="2500" w:type="pct"/>
          </w:tcPr>
          <w:p w:rsidR="00270D6C" w:rsidRPr="007A328A" w:rsidRDefault="00270D6C">
            <w:pPr>
              <w:rPr>
                <w:sz w:val="24"/>
                <w:szCs w:val="24"/>
              </w:rPr>
            </w:pPr>
          </w:p>
        </w:tc>
      </w:tr>
      <w:tr w:rsidR="00270D6C" w:rsidRPr="00B75558" w:rsidTr="00E17616">
        <w:tc>
          <w:tcPr>
            <w:tcW w:w="2500" w:type="pct"/>
          </w:tcPr>
          <w:p w:rsidR="00270D6C" w:rsidRPr="00B75558" w:rsidRDefault="00270D6C" w:rsidP="00A8079B">
            <w:pPr>
              <w:jc w:val="both"/>
              <w:rPr>
                <w:rFonts w:ascii="Times New Roman" w:hAnsi="Times New Roman" w:cs="Times New Roman"/>
                <w:sz w:val="24"/>
                <w:szCs w:val="24"/>
              </w:rPr>
            </w:pPr>
          </w:p>
        </w:tc>
        <w:tc>
          <w:tcPr>
            <w:tcW w:w="2500" w:type="pct"/>
          </w:tcPr>
          <w:p w:rsidR="009C2993" w:rsidRPr="007A328A" w:rsidRDefault="00FA2D30" w:rsidP="000A16EF">
            <w:pPr>
              <w:jc w:val="both"/>
              <w:rPr>
                <w:rFonts w:ascii="Times New Roman" w:eastAsia="Times New Roman" w:hAnsi="Times New Roman" w:cs="Times New Roman"/>
                <w:bCs/>
                <w:sz w:val="24"/>
                <w:szCs w:val="24"/>
              </w:rPr>
            </w:pPr>
            <w:r>
              <w:rPr>
                <w:rFonts w:ascii="Times New Roman" w:hAnsi="Times New Roman"/>
                <w:b/>
                <w:sz w:val="24"/>
              </w:rPr>
              <w:t>Článek 1.</w:t>
            </w:r>
            <w:r>
              <w:rPr>
                <w:rFonts w:ascii="Times New Roman" w:hAnsi="Times New Roman"/>
                <w:sz w:val="24"/>
              </w:rPr>
              <w:t xml:space="preserve"> Článek 65 královského výnosu ze dne 21. července 2016 o podmínkách užívání léčiv veterináři a osobami odpovědnými za zvířata, který byl zrušen rozhodnutím Státní rady č. 244.629 ze dne 28. května 2019, se opravuje takto:</w:t>
            </w:r>
          </w:p>
        </w:tc>
      </w:tr>
      <w:tr w:rsidR="007D1C9B" w:rsidRPr="00B75558" w:rsidTr="00E17616">
        <w:tc>
          <w:tcPr>
            <w:tcW w:w="2500" w:type="pct"/>
          </w:tcPr>
          <w:p w:rsidR="007D1C9B" w:rsidRPr="007A328A" w:rsidRDefault="007D1C9B">
            <w:pPr>
              <w:rPr>
                <w:sz w:val="24"/>
                <w:szCs w:val="24"/>
              </w:rPr>
            </w:pPr>
          </w:p>
        </w:tc>
        <w:tc>
          <w:tcPr>
            <w:tcW w:w="2500" w:type="pct"/>
          </w:tcPr>
          <w:p w:rsidR="007D1C9B" w:rsidRPr="000520B5" w:rsidRDefault="007D1C9B">
            <w:pPr>
              <w:rPr>
                <w:rFonts w:ascii="Times New Roman" w:eastAsia="Times New Roman" w:hAnsi="Times New Roman" w:cs="Times New Roman"/>
                <w:bCs/>
                <w:sz w:val="24"/>
                <w:szCs w:val="24"/>
              </w:rPr>
            </w:pPr>
          </w:p>
        </w:tc>
      </w:tr>
      <w:tr w:rsidR="007D1C9B" w:rsidRPr="00B75558" w:rsidTr="00E17616">
        <w:tc>
          <w:tcPr>
            <w:tcW w:w="2500" w:type="pct"/>
          </w:tcPr>
          <w:p w:rsidR="007D1C9B" w:rsidRPr="007A328A" w:rsidRDefault="007D1C9B" w:rsidP="00776DD2">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jc w:val="both"/>
              <w:rPr>
                <w:rFonts w:ascii="Times New Roman" w:eastAsia="Times New Roman" w:hAnsi="Times New Roman" w:cs="Times New Roman"/>
                <w:sz w:val="24"/>
                <w:szCs w:val="24"/>
              </w:rPr>
            </w:pPr>
          </w:p>
        </w:tc>
        <w:tc>
          <w:tcPr>
            <w:tcW w:w="2500" w:type="pct"/>
          </w:tcPr>
          <w:p w:rsidR="007D1C9B" w:rsidRPr="007A328A" w:rsidRDefault="00A8079B" w:rsidP="00776DD2">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line="280" w:lineRule="exact"/>
              <w:jc w:val="both"/>
              <w:rPr>
                <w:rFonts w:ascii="Times New Roman" w:eastAsia="Times New Roman" w:hAnsi="Times New Roman" w:cs="Times New Roman"/>
                <w:bCs/>
                <w:sz w:val="24"/>
                <w:szCs w:val="24"/>
              </w:rPr>
            </w:pPr>
            <w:r>
              <w:rPr>
                <w:rFonts w:ascii="Times New Roman" w:hAnsi="Times New Roman"/>
                <w:sz w:val="24"/>
              </w:rPr>
              <w:t xml:space="preserve">„Článek 65. Tento oddíl se nevztahuje na: </w:t>
            </w:r>
          </w:p>
        </w:tc>
      </w:tr>
      <w:tr w:rsidR="007D1C9B" w:rsidRPr="00B75558" w:rsidTr="00E17616">
        <w:tc>
          <w:tcPr>
            <w:tcW w:w="2500" w:type="pct"/>
          </w:tcPr>
          <w:p w:rsidR="007D1C9B" w:rsidRPr="00776DD2" w:rsidRDefault="007D1C9B" w:rsidP="00B75558">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jc w:val="both"/>
              <w:rPr>
                <w:rFonts w:ascii="Times New Roman" w:eastAsia="Times New Roman" w:hAnsi="Times New Roman" w:cs="Times New Roman"/>
                <w:sz w:val="24"/>
                <w:szCs w:val="24"/>
              </w:rPr>
            </w:pPr>
          </w:p>
        </w:tc>
        <w:tc>
          <w:tcPr>
            <w:tcW w:w="2500" w:type="pct"/>
          </w:tcPr>
          <w:p w:rsidR="007D1C9B" w:rsidRPr="007A328A" w:rsidRDefault="007D1C9B" w:rsidP="007D1C9B">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spacing w:line="280" w:lineRule="exact"/>
              <w:jc w:val="both"/>
              <w:rPr>
                <w:rFonts w:ascii="Times New Roman" w:eastAsia="Times New Roman" w:hAnsi="Times New Roman" w:cs="Times New Roman"/>
                <w:bCs/>
                <w:sz w:val="24"/>
                <w:szCs w:val="24"/>
              </w:rPr>
            </w:pPr>
            <w:r>
              <w:rPr>
                <w:rFonts w:ascii="Times New Roman" w:hAnsi="Times New Roman"/>
                <w:sz w:val="24"/>
              </w:rPr>
              <w:t>1. koňovité;</w:t>
            </w:r>
          </w:p>
          <w:p w:rsidR="007D1C9B" w:rsidRPr="007A328A" w:rsidRDefault="007D1C9B" w:rsidP="007D1C9B">
            <w:pPr>
              <w:jc w:val="both"/>
              <w:rPr>
                <w:sz w:val="24"/>
                <w:szCs w:val="24"/>
              </w:rPr>
            </w:pPr>
            <w:r>
              <w:rPr>
                <w:rFonts w:ascii="Times New Roman" w:hAnsi="Times New Roman"/>
                <w:sz w:val="24"/>
              </w:rPr>
              <w:t>2. léčiva obsahující kriticky důležitá antibiotika, která byla registrována výhradně pro podávání do vemene.“</w:t>
            </w:r>
          </w:p>
        </w:tc>
      </w:tr>
      <w:tr w:rsidR="007D1C9B" w:rsidRPr="00B75558" w:rsidTr="00E17616">
        <w:tc>
          <w:tcPr>
            <w:tcW w:w="2500" w:type="pct"/>
          </w:tcPr>
          <w:p w:rsidR="007D1C9B" w:rsidRPr="007A328A" w:rsidRDefault="007D1C9B">
            <w:pPr>
              <w:rPr>
                <w:sz w:val="24"/>
                <w:szCs w:val="24"/>
              </w:rPr>
            </w:pPr>
          </w:p>
        </w:tc>
        <w:tc>
          <w:tcPr>
            <w:tcW w:w="2500" w:type="pct"/>
          </w:tcPr>
          <w:p w:rsidR="007D1C9B" w:rsidRPr="007A328A" w:rsidRDefault="007D1C9B">
            <w:pPr>
              <w:rPr>
                <w:sz w:val="24"/>
                <w:szCs w:val="24"/>
              </w:rPr>
            </w:pPr>
          </w:p>
        </w:tc>
      </w:tr>
      <w:tr w:rsidR="00A43346" w:rsidRPr="00B75558" w:rsidTr="00E17616">
        <w:tc>
          <w:tcPr>
            <w:tcW w:w="2500" w:type="pct"/>
          </w:tcPr>
          <w:p w:rsidR="00A43346" w:rsidRPr="007A328A" w:rsidRDefault="00A43346">
            <w:pPr>
              <w:rPr>
                <w:sz w:val="24"/>
                <w:szCs w:val="24"/>
              </w:rPr>
            </w:pPr>
          </w:p>
        </w:tc>
        <w:tc>
          <w:tcPr>
            <w:tcW w:w="2500" w:type="pct"/>
          </w:tcPr>
          <w:p w:rsidR="00A43346" w:rsidRPr="007A328A" w:rsidRDefault="00A43346">
            <w:pPr>
              <w:rPr>
                <w:sz w:val="24"/>
                <w:szCs w:val="24"/>
              </w:rPr>
            </w:pPr>
          </w:p>
        </w:tc>
      </w:tr>
      <w:tr w:rsidR="00A8079B" w:rsidRPr="00B75558" w:rsidTr="00E17616">
        <w:tc>
          <w:tcPr>
            <w:tcW w:w="2500" w:type="pct"/>
          </w:tcPr>
          <w:p w:rsidR="00A8079B" w:rsidRPr="007A328A" w:rsidRDefault="00A8079B" w:rsidP="007A328A">
            <w:pPr>
              <w:jc w:val="both"/>
              <w:rPr>
                <w:rFonts w:ascii="Times New Roman" w:hAnsi="Times New Roman" w:cs="Times New Roman"/>
                <w:sz w:val="24"/>
                <w:szCs w:val="24"/>
              </w:rPr>
            </w:pPr>
          </w:p>
        </w:tc>
        <w:tc>
          <w:tcPr>
            <w:tcW w:w="2500" w:type="pct"/>
          </w:tcPr>
          <w:p w:rsidR="00A8079B" w:rsidRPr="007A328A" w:rsidRDefault="000A16EF" w:rsidP="007A328A">
            <w:pPr>
              <w:jc w:val="both"/>
              <w:rPr>
                <w:sz w:val="24"/>
                <w:szCs w:val="24"/>
              </w:rPr>
            </w:pPr>
            <w:r>
              <w:rPr>
                <w:rFonts w:ascii="Times New Roman" w:hAnsi="Times New Roman"/>
                <w:b/>
                <w:sz w:val="24"/>
              </w:rPr>
              <w:t>Článek 2.</w:t>
            </w:r>
            <w:r>
              <w:rPr>
                <w:rFonts w:ascii="Times New Roman" w:hAnsi="Times New Roman"/>
                <w:sz w:val="24"/>
              </w:rPr>
              <w:t xml:space="preserve"> Článek 66 téhož královského výnosu, který byl zrušen v souladu s rozhodnutím Státní rady č. 244.629 ze dne 28. května 2019, se opravuje takto:</w:t>
            </w:r>
          </w:p>
        </w:tc>
      </w:tr>
      <w:tr w:rsidR="007D1C9B" w:rsidRPr="00B75558" w:rsidTr="00E17616">
        <w:tc>
          <w:tcPr>
            <w:tcW w:w="2500" w:type="pct"/>
          </w:tcPr>
          <w:p w:rsidR="007D1C9B" w:rsidRPr="007A328A" w:rsidRDefault="007D1C9B">
            <w:pPr>
              <w:rPr>
                <w:sz w:val="24"/>
                <w:szCs w:val="24"/>
              </w:rPr>
            </w:pPr>
          </w:p>
        </w:tc>
        <w:tc>
          <w:tcPr>
            <w:tcW w:w="2500" w:type="pct"/>
          </w:tcPr>
          <w:p w:rsidR="007D1C9B" w:rsidRPr="007A328A" w:rsidRDefault="007D1C9B">
            <w:pPr>
              <w:rPr>
                <w:sz w:val="24"/>
                <w:szCs w:val="24"/>
              </w:rPr>
            </w:pPr>
          </w:p>
        </w:tc>
      </w:tr>
      <w:tr w:rsidR="007D1C9B" w:rsidRPr="00B75558" w:rsidTr="00E17616">
        <w:tc>
          <w:tcPr>
            <w:tcW w:w="2500" w:type="pct"/>
          </w:tcPr>
          <w:p w:rsidR="007D1C9B" w:rsidRPr="007A328A" w:rsidRDefault="007D1C9B" w:rsidP="005D6452">
            <w:pPr>
              <w:jc w:val="both"/>
              <w:rPr>
                <w:sz w:val="24"/>
                <w:szCs w:val="24"/>
              </w:rPr>
            </w:pPr>
          </w:p>
        </w:tc>
        <w:tc>
          <w:tcPr>
            <w:tcW w:w="2500" w:type="pct"/>
          </w:tcPr>
          <w:p w:rsidR="007D1C9B" w:rsidRPr="007A328A" w:rsidRDefault="000A16EF" w:rsidP="000A16EF">
            <w:pPr>
              <w:jc w:val="both"/>
              <w:rPr>
                <w:sz w:val="24"/>
                <w:szCs w:val="24"/>
              </w:rPr>
            </w:pPr>
            <w:r>
              <w:rPr>
                <w:rFonts w:ascii="Times New Roman" w:hAnsi="Times New Roman"/>
                <w:sz w:val="24"/>
              </w:rPr>
              <w:t>„Článek 66. Veterinářům se zakazuje předpisovat, poskytovat nebo podávat kriticky důležitá antibiotika pro léčbu zvířat určených k produkci potravin, pokud nejsou splněny požadavky článku 67 nebo 69.“</w:t>
            </w:r>
          </w:p>
        </w:tc>
      </w:tr>
      <w:tr w:rsidR="007D1C9B" w:rsidRPr="00B75558" w:rsidTr="00E17616">
        <w:tc>
          <w:tcPr>
            <w:tcW w:w="2500" w:type="pct"/>
          </w:tcPr>
          <w:p w:rsidR="007D1C9B" w:rsidRPr="007A328A" w:rsidRDefault="007D1C9B">
            <w:pPr>
              <w:rPr>
                <w:sz w:val="24"/>
                <w:szCs w:val="24"/>
              </w:rPr>
            </w:pPr>
          </w:p>
        </w:tc>
        <w:tc>
          <w:tcPr>
            <w:tcW w:w="2500" w:type="pct"/>
          </w:tcPr>
          <w:p w:rsidR="007D1C9B" w:rsidRPr="007A328A" w:rsidRDefault="007D1C9B">
            <w:pPr>
              <w:rPr>
                <w:sz w:val="24"/>
                <w:szCs w:val="24"/>
              </w:rPr>
            </w:pPr>
          </w:p>
        </w:tc>
      </w:tr>
      <w:tr w:rsidR="00A43346" w:rsidRPr="00B75558" w:rsidTr="00E17616">
        <w:tc>
          <w:tcPr>
            <w:tcW w:w="2500" w:type="pct"/>
          </w:tcPr>
          <w:p w:rsidR="00A43346" w:rsidRPr="007A328A" w:rsidRDefault="00A43346">
            <w:pPr>
              <w:rPr>
                <w:sz w:val="24"/>
                <w:szCs w:val="24"/>
              </w:rPr>
            </w:pPr>
          </w:p>
        </w:tc>
        <w:tc>
          <w:tcPr>
            <w:tcW w:w="2500" w:type="pct"/>
          </w:tcPr>
          <w:p w:rsidR="00A43346" w:rsidRPr="007A328A" w:rsidRDefault="00A43346">
            <w:pPr>
              <w:rPr>
                <w:sz w:val="24"/>
                <w:szCs w:val="24"/>
              </w:rPr>
            </w:pPr>
          </w:p>
        </w:tc>
      </w:tr>
      <w:tr w:rsidR="007D1C9B" w:rsidRPr="00B75558" w:rsidTr="00E17616">
        <w:tc>
          <w:tcPr>
            <w:tcW w:w="2500" w:type="pct"/>
          </w:tcPr>
          <w:p w:rsidR="007D1C9B" w:rsidRPr="007A328A" w:rsidRDefault="007D1C9B" w:rsidP="007A328A">
            <w:pPr>
              <w:jc w:val="both"/>
              <w:rPr>
                <w:sz w:val="24"/>
                <w:szCs w:val="24"/>
              </w:rPr>
            </w:pPr>
          </w:p>
        </w:tc>
        <w:tc>
          <w:tcPr>
            <w:tcW w:w="2500" w:type="pct"/>
          </w:tcPr>
          <w:p w:rsidR="007D1C9B" w:rsidRPr="007A328A" w:rsidRDefault="000A16EF" w:rsidP="007A328A">
            <w:pPr>
              <w:jc w:val="both"/>
              <w:rPr>
                <w:sz w:val="24"/>
                <w:szCs w:val="24"/>
              </w:rPr>
            </w:pPr>
            <w:r>
              <w:rPr>
                <w:rFonts w:ascii="Times New Roman" w:hAnsi="Times New Roman"/>
                <w:b/>
                <w:sz w:val="24"/>
              </w:rPr>
              <w:t>Článek 3.</w:t>
            </w:r>
            <w:r>
              <w:rPr>
                <w:rFonts w:ascii="Times New Roman" w:hAnsi="Times New Roman"/>
                <w:sz w:val="24"/>
              </w:rPr>
              <w:t xml:space="preserve"> Článek 67 téhož královského výnosu, který byl zrušen v souladu s rozhodnutím Státní rady č. 244.629 ze dne 28. května 2019, se opravuje takto:</w:t>
            </w:r>
          </w:p>
        </w:tc>
      </w:tr>
      <w:tr w:rsidR="007D1C9B" w:rsidRPr="00B75558" w:rsidTr="00E17616">
        <w:tc>
          <w:tcPr>
            <w:tcW w:w="2500" w:type="pct"/>
          </w:tcPr>
          <w:p w:rsidR="007D1C9B" w:rsidRPr="007A328A" w:rsidRDefault="007D1C9B">
            <w:pPr>
              <w:rPr>
                <w:sz w:val="24"/>
                <w:szCs w:val="24"/>
              </w:rPr>
            </w:pPr>
          </w:p>
        </w:tc>
        <w:tc>
          <w:tcPr>
            <w:tcW w:w="2500" w:type="pct"/>
          </w:tcPr>
          <w:p w:rsidR="007D1C9B" w:rsidRPr="007A328A" w:rsidRDefault="007D1C9B">
            <w:pPr>
              <w:rPr>
                <w:sz w:val="24"/>
                <w:szCs w:val="24"/>
              </w:rPr>
            </w:pPr>
          </w:p>
        </w:tc>
      </w:tr>
      <w:tr w:rsidR="007D1C9B" w:rsidRPr="00B75558" w:rsidTr="00E17616">
        <w:tc>
          <w:tcPr>
            <w:tcW w:w="2500" w:type="pct"/>
          </w:tcPr>
          <w:p w:rsidR="007D1C9B" w:rsidRPr="007A328A" w:rsidRDefault="007D1C9B" w:rsidP="00832A42">
            <w:pPr>
              <w:jc w:val="both"/>
              <w:rPr>
                <w:sz w:val="24"/>
                <w:szCs w:val="24"/>
              </w:rPr>
            </w:pPr>
          </w:p>
        </w:tc>
        <w:tc>
          <w:tcPr>
            <w:tcW w:w="2500" w:type="pct"/>
          </w:tcPr>
          <w:p w:rsidR="007D1C9B" w:rsidRPr="007A328A" w:rsidRDefault="000A16EF" w:rsidP="007D1C9B">
            <w:pPr>
              <w:jc w:val="both"/>
              <w:rPr>
                <w:sz w:val="24"/>
                <w:szCs w:val="24"/>
              </w:rPr>
            </w:pPr>
            <w:r>
              <w:rPr>
                <w:rFonts w:ascii="Times New Roman" w:hAnsi="Times New Roman"/>
                <w:sz w:val="24"/>
              </w:rPr>
              <w:t xml:space="preserve">„Článek 67. § 1. Předpisování, poskytování a podávání kriticky důležitých antibiotik pro </w:t>
            </w:r>
            <w:proofErr w:type="spellStart"/>
            <w:r>
              <w:rPr>
                <w:rFonts w:ascii="Times New Roman" w:hAnsi="Times New Roman"/>
                <w:sz w:val="24"/>
              </w:rPr>
              <w:t>metafylaktickou</w:t>
            </w:r>
            <w:proofErr w:type="spellEnd"/>
            <w:r>
              <w:rPr>
                <w:rFonts w:ascii="Times New Roman" w:hAnsi="Times New Roman"/>
                <w:sz w:val="24"/>
              </w:rPr>
              <w:t xml:space="preserve"> a ozdravnou léčbu zvířat </w:t>
            </w:r>
            <w:r>
              <w:rPr>
                <w:rFonts w:ascii="Times New Roman" w:hAnsi="Times New Roman"/>
                <w:sz w:val="24"/>
              </w:rPr>
              <w:lastRenderedPageBreak/>
              <w:t>určených k produkci potravin se však povoluje, pokud jsou dodrženy podmínky oddílu 2 a pokud může být následně vyvodit závěry, že totožný kmen bakterií není citlivý na zkoušená nekriticky důležitá antibiotika nebo jiné zkoušené antibakteriální látky, ale je citlivá pouze na zkoušená kritická důležitá antibiotika. Posledně jmenovaný kmen, jehož citlivost byla účinně prokázána v rámci zkouška, může být následně použit.</w:t>
            </w:r>
          </w:p>
        </w:tc>
      </w:tr>
      <w:tr w:rsidR="007D1C9B" w:rsidRPr="00B75558" w:rsidTr="00E17616">
        <w:tc>
          <w:tcPr>
            <w:tcW w:w="2500" w:type="pct"/>
          </w:tcPr>
          <w:p w:rsidR="007D1C9B" w:rsidRPr="007A328A" w:rsidRDefault="007D1C9B" w:rsidP="00832A42">
            <w:pPr>
              <w:jc w:val="both"/>
              <w:rPr>
                <w:sz w:val="24"/>
                <w:szCs w:val="24"/>
              </w:rPr>
            </w:pPr>
          </w:p>
        </w:tc>
        <w:tc>
          <w:tcPr>
            <w:tcW w:w="2500" w:type="pct"/>
          </w:tcPr>
          <w:p w:rsidR="007D1C9B" w:rsidRPr="007A328A" w:rsidRDefault="007D1C9B">
            <w:pPr>
              <w:rPr>
                <w:sz w:val="24"/>
                <w:szCs w:val="24"/>
              </w:rPr>
            </w:pPr>
          </w:p>
        </w:tc>
      </w:tr>
      <w:tr w:rsidR="007D1C9B" w:rsidRPr="00B75558" w:rsidTr="00E17616">
        <w:tc>
          <w:tcPr>
            <w:tcW w:w="2500" w:type="pct"/>
          </w:tcPr>
          <w:p w:rsidR="007D1C9B" w:rsidRPr="007A328A" w:rsidRDefault="007D1C9B" w:rsidP="00832A42">
            <w:pPr>
              <w:jc w:val="both"/>
              <w:rPr>
                <w:sz w:val="24"/>
                <w:szCs w:val="24"/>
              </w:rPr>
            </w:pPr>
          </w:p>
        </w:tc>
        <w:tc>
          <w:tcPr>
            <w:tcW w:w="2500" w:type="pct"/>
          </w:tcPr>
          <w:p w:rsidR="007D1C9B" w:rsidRPr="007A328A" w:rsidRDefault="007D1C9B" w:rsidP="007D1C9B">
            <w:pPr>
              <w:jc w:val="both"/>
              <w:rPr>
                <w:sz w:val="24"/>
                <w:szCs w:val="24"/>
              </w:rPr>
            </w:pPr>
            <w:r>
              <w:rPr>
                <w:rFonts w:ascii="Times New Roman" w:hAnsi="Times New Roman"/>
                <w:sz w:val="24"/>
              </w:rPr>
              <w:t xml:space="preserve">Pro účely tohoto článku zkouška citlivosti antibiotik se provádí v laboratoři akreditované ze strany </w:t>
            </w:r>
            <w:proofErr w:type="spellStart"/>
            <w:r>
              <w:rPr>
                <w:rFonts w:ascii="Times New Roman" w:hAnsi="Times New Roman"/>
                <w:sz w:val="24"/>
              </w:rPr>
              <w:t>BELAC</w:t>
            </w:r>
            <w:proofErr w:type="spellEnd"/>
            <w:r>
              <w:rPr>
                <w:rFonts w:ascii="Times New Roman" w:hAnsi="Times New Roman"/>
                <w:sz w:val="24"/>
              </w:rPr>
              <w:t xml:space="preserve"> (belgický akreditační orgán) nebo rovnocennou akreditací.</w:t>
            </w:r>
          </w:p>
        </w:tc>
      </w:tr>
      <w:tr w:rsidR="007D1C9B" w:rsidRPr="00B75558" w:rsidTr="00E17616">
        <w:tc>
          <w:tcPr>
            <w:tcW w:w="2500" w:type="pct"/>
          </w:tcPr>
          <w:p w:rsidR="007D1C9B" w:rsidRPr="007A328A" w:rsidRDefault="007D1C9B">
            <w:pPr>
              <w:rPr>
                <w:sz w:val="24"/>
                <w:szCs w:val="24"/>
              </w:rPr>
            </w:pPr>
          </w:p>
        </w:tc>
        <w:tc>
          <w:tcPr>
            <w:tcW w:w="2500" w:type="pct"/>
          </w:tcPr>
          <w:p w:rsidR="007D1C9B" w:rsidRPr="007A328A" w:rsidRDefault="007D1C9B">
            <w:pPr>
              <w:rPr>
                <w:sz w:val="24"/>
                <w:szCs w:val="24"/>
              </w:rPr>
            </w:pPr>
          </w:p>
        </w:tc>
      </w:tr>
      <w:tr w:rsidR="007D1C9B" w:rsidRPr="00B75558" w:rsidTr="00E17616">
        <w:tc>
          <w:tcPr>
            <w:tcW w:w="2500" w:type="pct"/>
          </w:tcPr>
          <w:p w:rsidR="007D1C9B" w:rsidRPr="00B75558" w:rsidRDefault="007D1C9B" w:rsidP="005D6452">
            <w:pPr>
              <w:jc w:val="both"/>
              <w:rPr>
                <w:sz w:val="24"/>
                <w:szCs w:val="24"/>
              </w:rPr>
            </w:pPr>
          </w:p>
        </w:tc>
        <w:tc>
          <w:tcPr>
            <w:tcW w:w="2500" w:type="pct"/>
          </w:tcPr>
          <w:p w:rsidR="007D1C9B" w:rsidRPr="007A328A" w:rsidRDefault="007D1C9B" w:rsidP="007D1C9B">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jc w:val="both"/>
              <w:rPr>
                <w:rFonts w:ascii="Times New Roman" w:hAnsi="Times New Roman" w:cs="Times New Roman"/>
                <w:bCs/>
                <w:strike/>
                <w:sz w:val="24"/>
                <w:szCs w:val="24"/>
              </w:rPr>
            </w:pPr>
            <w:r>
              <w:rPr>
                <w:rFonts w:ascii="Times New Roman" w:hAnsi="Times New Roman"/>
                <w:sz w:val="24"/>
              </w:rPr>
              <w:t>§ 2. Za účelem provedení léčby uvedené v oddílu 1 musí být splněny níže uvedené podmínky:</w:t>
            </w:r>
          </w:p>
        </w:tc>
      </w:tr>
      <w:tr w:rsidR="00832A42" w:rsidRPr="00B75558" w:rsidTr="00E17616">
        <w:tc>
          <w:tcPr>
            <w:tcW w:w="2500" w:type="pct"/>
          </w:tcPr>
          <w:p w:rsidR="00832A42" w:rsidRPr="007A328A" w:rsidRDefault="00832A42" w:rsidP="007D1C9B">
            <w:pPr>
              <w:rPr>
                <w:sz w:val="24"/>
                <w:szCs w:val="24"/>
              </w:rPr>
            </w:pPr>
          </w:p>
        </w:tc>
        <w:tc>
          <w:tcPr>
            <w:tcW w:w="2500" w:type="pct"/>
          </w:tcPr>
          <w:p w:rsidR="00832A42" w:rsidRPr="007A328A" w:rsidRDefault="00832A42" w:rsidP="007D1C9B">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jc w:val="both"/>
              <w:rPr>
                <w:rFonts w:ascii="Times New Roman" w:hAnsi="Times New Roman" w:cs="Times New Roman"/>
                <w:sz w:val="24"/>
                <w:szCs w:val="24"/>
              </w:rPr>
            </w:pPr>
          </w:p>
        </w:tc>
      </w:tr>
      <w:tr w:rsidR="007D1C9B" w:rsidRPr="00B75558" w:rsidTr="00E17616">
        <w:tc>
          <w:tcPr>
            <w:tcW w:w="2500" w:type="pct"/>
          </w:tcPr>
          <w:p w:rsidR="007D1C9B" w:rsidRPr="00B75558" w:rsidRDefault="007D1C9B" w:rsidP="00832A42">
            <w:pPr>
              <w:jc w:val="both"/>
              <w:rPr>
                <w:sz w:val="24"/>
                <w:szCs w:val="24"/>
              </w:rPr>
            </w:pPr>
          </w:p>
        </w:tc>
        <w:tc>
          <w:tcPr>
            <w:tcW w:w="2500" w:type="pct"/>
          </w:tcPr>
          <w:p w:rsidR="007D1C9B" w:rsidRPr="007A328A" w:rsidRDefault="00832A42" w:rsidP="004E466E">
            <w:pPr>
              <w:jc w:val="both"/>
              <w:rPr>
                <w:sz w:val="24"/>
                <w:szCs w:val="24"/>
              </w:rPr>
            </w:pPr>
            <w:r>
              <w:rPr>
                <w:rFonts w:ascii="Times New Roman" w:hAnsi="Times New Roman"/>
                <w:sz w:val="24"/>
              </w:rPr>
              <w:t>1. onemocnění je bakteriální povahy;</w:t>
            </w:r>
          </w:p>
        </w:tc>
      </w:tr>
      <w:tr w:rsidR="004E466E" w:rsidRPr="00B75558" w:rsidTr="00E17616">
        <w:tc>
          <w:tcPr>
            <w:tcW w:w="2500" w:type="pct"/>
          </w:tcPr>
          <w:p w:rsidR="004E466E" w:rsidRPr="000D4FF6" w:rsidRDefault="004E466E" w:rsidP="00832A42">
            <w:pPr>
              <w:jc w:val="both"/>
              <w:rPr>
                <w:rFonts w:ascii="Times New Roman" w:eastAsia="Times New Roman" w:hAnsi="Times New Roman" w:cs="Times New Roman"/>
                <w:sz w:val="24"/>
                <w:szCs w:val="24"/>
              </w:rPr>
            </w:pPr>
          </w:p>
        </w:tc>
        <w:tc>
          <w:tcPr>
            <w:tcW w:w="2500" w:type="pct"/>
          </w:tcPr>
          <w:p w:rsidR="004E466E" w:rsidRPr="007A328A" w:rsidRDefault="004E466E" w:rsidP="007D1C9B">
            <w:pPr>
              <w:rPr>
                <w:rFonts w:ascii="Times New Roman" w:eastAsia="Times New Roman" w:hAnsi="Times New Roman" w:cs="Times New Roman"/>
                <w:sz w:val="24"/>
                <w:szCs w:val="24"/>
              </w:rPr>
            </w:pPr>
          </w:p>
        </w:tc>
      </w:tr>
      <w:tr w:rsidR="007D1C9B" w:rsidRPr="00B75558" w:rsidTr="00E17616">
        <w:tc>
          <w:tcPr>
            <w:tcW w:w="2500" w:type="pct"/>
          </w:tcPr>
          <w:p w:rsidR="007D1C9B" w:rsidRPr="00B75558" w:rsidRDefault="007D1C9B" w:rsidP="00832A42">
            <w:pPr>
              <w:jc w:val="both"/>
              <w:rPr>
                <w:sz w:val="24"/>
                <w:szCs w:val="24"/>
              </w:rPr>
            </w:pPr>
          </w:p>
        </w:tc>
        <w:tc>
          <w:tcPr>
            <w:tcW w:w="2500" w:type="pct"/>
          </w:tcPr>
          <w:p w:rsidR="007D1C9B" w:rsidRPr="007A328A" w:rsidRDefault="00832A42" w:rsidP="00832A42">
            <w:pPr>
              <w:jc w:val="both"/>
              <w:rPr>
                <w:sz w:val="24"/>
                <w:szCs w:val="24"/>
              </w:rPr>
            </w:pPr>
            <w:r>
              <w:rPr>
                <w:rFonts w:ascii="Times New Roman" w:hAnsi="Times New Roman"/>
                <w:sz w:val="24"/>
              </w:rPr>
              <w:t>2. veterinář provedl předchozí klinické vyšetření v zemědělském podniku u zvířete (zvířat), které má být ošetřeno (která mají být ošetřena);</w:t>
            </w:r>
          </w:p>
        </w:tc>
      </w:tr>
      <w:tr w:rsidR="004E466E" w:rsidRPr="00B75558" w:rsidTr="00E17616">
        <w:tc>
          <w:tcPr>
            <w:tcW w:w="2500" w:type="pct"/>
          </w:tcPr>
          <w:p w:rsidR="004E466E" w:rsidRPr="000D4FF6" w:rsidRDefault="004E466E" w:rsidP="00832A42">
            <w:pPr>
              <w:jc w:val="both"/>
              <w:rPr>
                <w:rFonts w:ascii="Times New Roman" w:eastAsia="Times New Roman" w:hAnsi="Times New Roman" w:cs="Times New Roman"/>
                <w:sz w:val="24"/>
                <w:szCs w:val="24"/>
              </w:rPr>
            </w:pPr>
          </w:p>
        </w:tc>
        <w:tc>
          <w:tcPr>
            <w:tcW w:w="2500" w:type="pct"/>
          </w:tcPr>
          <w:p w:rsidR="004E466E" w:rsidRPr="007A328A" w:rsidRDefault="004E466E" w:rsidP="00832A42">
            <w:pPr>
              <w:jc w:val="both"/>
              <w:rPr>
                <w:rFonts w:ascii="Times New Roman" w:eastAsia="Times New Roman" w:hAnsi="Times New Roman" w:cs="Times New Roman"/>
                <w:sz w:val="24"/>
                <w:szCs w:val="24"/>
              </w:rPr>
            </w:pPr>
          </w:p>
        </w:tc>
      </w:tr>
      <w:tr w:rsidR="007D1C9B" w:rsidRPr="00B75558" w:rsidTr="00E17616">
        <w:tc>
          <w:tcPr>
            <w:tcW w:w="2500" w:type="pct"/>
          </w:tcPr>
          <w:p w:rsidR="007D1C9B" w:rsidRPr="00B75558" w:rsidRDefault="007D1C9B" w:rsidP="00832A42">
            <w:pPr>
              <w:jc w:val="both"/>
              <w:rPr>
                <w:sz w:val="24"/>
                <w:szCs w:val="24"/>
              </w:rPr>
            </w:pPr>
          </w:p>
        </w:tc>
        <w:tc>
          <w:tcPr>
            <w:tcW w:w="2500" w:type="pct"/>
          </w:tcPr>
          <w:p w:rsidR="007D1C9B" w:rsidRPr="007A328A" w:rsidRDefault="00832A42" w:rsidP="00832A42">
            <w:pPr>
              <w:jc w:val="both"/>
              <w:rPr>
                <w:sz w:val="24"/>
                <w:szCs w:val="24"/>
              </w:rPr>
            </w:pPr>
            <w:r>
              <w:rPr>
                <w:rFonts w:ascii="Times New Roman" w:hAnsi="Times New Roman"/>
                <w:sz w:val="24"/>
              </w:rPr>
              <w:t>3. během návštěvy uvedené v bodě 2 samotný veterinář nebo samotná veterinářka odebral (odebrala) odpovídající vzorky ze zvířete nebo si vyžádala (vyžádala) autopsii;</w:t>
            </w:r>
          </w:p>
        </w:tc>
      </w:tr>
      <w:tr w:rsidR="004E466E" w:rsidRPr="00B75558" w:rsidTr="00E17616">
        <w:tc>
          <w:tcPr>
            <w:tcW w:w="2500" w:type="pct"/>
          </w:tcPr>
          <w:p w:rsidR="004E466E" w:rsidRPr="000D4FF6" w:rsidRDefault="004E466E" w:rsidP="00832A42">
            <w:pPr>
              <w:jc w:val="both"/>
              <w:rPr>
                <w:rFonts w:ascii="Times New Roman" w:eastAsia="Times New Roman" w:hAnsi="Times New Roman" w:cs="Times New Roman"/>
                <w:sz w:val="24"/>
                <w:szCs w:val="24"/>
              </w:rPr>
            </w:pPr>
          </w:p>
        </w:tc>
        <w:tc>
          <w:tcPr>
            <w:tcW w:w="2500" w:type="pct"/>
          </w:tcPr>
          <w:p w:rsidR="004E466E" w:rsidRPr="007A328A" w:rsidRDefault="004E466E" w:rsidP="00832A42">
            <w:pPr>
              <w:jc w:val="both"/>
              <w:rPr>
                <w:rFonts w:ascii="Times New Roman" w:eastAsia="Times New Roman" w:hAnsi="Times New Roman" w:cs="Times New Roman"/>
                <w:sz w:val="24"/>
                <w:szCs w:val="24"/>
              </w:rPr>
            </w:pPr>
          </w:p>
        </w:tc>
      </w:tr>
      <w:tr w:rsidR="00832A42" w:rsidRPr="00B75558" w:rsidTr="00E17616">
        <w:tc>
          <w:tcPr>
            <w:tcW w:w="2500" w:type="pct"/>
          </w:tcPr>
          <w:p w:rsidR="00832A42" w:rsidRPr="00B75558" w:rsidRDefault="00832A42" w:rsidP="005D6452">
            <w:pPr>
              <w:jc w:val="both"/>
              <w:rPr>
                <w:sz w:val="24"/>
                <w:szCs w:val="24"/>
              </w:rPr>
            </w:pPr>
          </w:p>
        </w:tc>
        <w:tc>
          <w:tcPr>
            <w:tcW w:w="2500" w:type="pct"/>
          </w:tcPr>
          <w:p w:rsidR="00832A42" w:rsidRPr="007A328A" w:rsidRDefault="00832A42" w:rsidP="005D6452">
            <w:pPr>
              <w:jc w:val="both"/>
              <w:rPr>
                <w:sz w:val="24"/>
                <w:szCs w:val="24"/>
              </w:rPr>
            </w:pPr>
            <w:r>
              <w:rPr>
                <w:rFonts w:ascii="Times New Roman" w:hAnsi="Times New Roman"/>
                <w:sz w:val="24"/>
              </w:rPr>
              <w:t>4. je provedeno vyšetření vzorků nebo autopsie za účelem identifikace bakteriálního kmene, který je pravděpodobně příčinou nákazy;</w:t>
            </w:r>
          </w:p>
        </w:tc>
      </w:tr>
      <w:tr w:rsidR="004E466E" w:rsidRPr="00B75558" w:rsidTr="00E17616">
        <w:tc>
          <w:tcPr>
            <w:tcW w:w="2500" w:type="pct"/>
          </w:tcPr>
          <w:p w:rsidR="004E466E" w:rsidRPr="000D4FF6" w:rsidRDefault="004E466E" w:rsidP="005D6452">
            <w:pPr>
              <w:jc w:val="both"/>
              <w:rPr>
                <w:rFonts w:ascii="Times New Roman" w:eastAsia="Times New Roman" w:hAnsi="Times New Roman" w:cs="Times New Roman"/>
                <w:sz w:val="24"/>
                <w:szCs w:val="24"/>
              </w:rPr>
            </w:pPr>
          </w:p>
        </w:tc>
        <w:tc>
          <w:tcPr>
            <w:tcW w:w="2500" w:type="pct"/>
          </w:tcPr>
          <w:p w:rsidR="004E466E" w:rsidRPr="007A328A" w:rsidRDefault="004E466E" w:rsidP="005D6452">
            <w:pPr>
              <w:jc w:val="both"/>
              <w:rPr>
                <w:rFonts w:ascii="Times New Roman" w:eastAsia="Times New Roman" w:hAnsi="Times New Roman" w:cs="Times New Roman"/>
                <w:sz w:val="24"/>
                <w:szCs w:val="24"/>
              </w:rPr>
            </w:pPr>
          </w:p>
        </w:tc>
      </w:tr>
      <w:tr w:rsidR="00832A42" w:rsidRPr="00B75558" w:rsidTr="00E17616">
        <w:tc>
          <w:tcPr>
            <w:tcW w:w="2500" w:type="pct"/>
          </w:tcPr>
          <w:p w:rsidR="00832A42" w:rsidRPr="00B75558" w:rsidRDefault="00832A42" w:rsidP="005D6452">
            <w:pPr>
              <w:jc w:val="both"/>
              <w:rPr>
                <w:sz w:val="24"/>
                <w:szCs w:val="24"/>
              </w:rPr>
            </w:pPr>
          </w:p>
        </w:tc>
        <w:tc>
          <w:tcPr>
            <w:tcW w:w="2500" w:type="pct"/>
          </w:tcPr>
          <w:p w:rsidR="00832A42" w:rsidRPr="007A328A" w:rsidRDefault="00832A42" w:rsidP="005D6452">
            <w:pPr>
              <w:jc w:val="both"/>
              <w:rPr>
                <w:sz w:val="24"/>
                <w:szCs w:val="24"/>
              </w:rPr>
            </w:pPr>
            <w:r>
              <w:rPr>
                <w:rFonts w:ascii="Times New Roman" w:hAnsi="Times New Roman"/>
                <w:sz w:val="24"/>
              </w:rPr>
              <w:t>5. laboratorní zkouška na citlivost antibiotik se provádí u určeného bakteriálního kmene, který je pravděpodobně příčinou nákazy. Tato zkouška na citlivost antibiotik posuzuje citlivost určeného bakteriálního kmene na kriticky důležitá antibiotika ve srovnání s alespoň sedmi nekriticky důležitými antibiotiky náležícími do alespoň pěti různých tříd antibiotik.</w:t>
            </w:r>
          </w:p>
        </w:tc>
      </w:tr>
      <w:tr w:rsidR="00832A42" w:rsidRPr="00B75558" w:rsidTr="00E17616">
        <w:tc>
          <w:tcPr>
            <w:tcW w:w="2500" w:type="pct"/>
          </w:tcPr>
          <w:p w:rsidR="00832A42" w:rsidRPr="007A328A" w:rsidRDefault="00832A42" w:rsidP="007D1C9B">
            <w:pPr>
              <w:rPr>
                <w:sz w:val="24"/>
                <w:szCs w:val="24"/>
              </w:rPr>
            </w:pPr>
          </w:p>
        </w:tc>
        <w:tc>
          <w:tcPr>
            <w:tcW w:w="2500" w:type="pct"/>
          </w:tcPr>
          <w:p w:rsidR="00832A42" w:rsidRPr="007A328A" w:rsidRDefault="00832A42" w:rsidP="007D1C9B">
            <w:pPr>
              <w:rPr>
                <w:sz w:val="24"/>
                <w:szCs w:val="24"/>
              </w:rPr>
            </w:pPr>
          </w:p>
        </w:tc>
      </w:tr>
      <w:tr w:rsidR="00832A42" w:rsidRPr="00B75558" w:rsidTr="00E17616">
        <w:tc>
          <w:tcPr>
            <w:tcW w:w="2500" w:type="pct"/>
          </w:tcPr>
          <w:p w:rsidR="00832A42" w:rsidRPr="007A328A" w:rsidRDefault="00832A42" w:rsidP="00832A42">
            <w:pPr>
              <w:jc w:val="both"/>
              <w:rPr>
                <w:sz w:val="24"/>
                <w:szCs w:val="24"/>
              </w:rPr>
            </w:pPr>
          </w:p>
        </w:tc>
        <w:tc>
          <w:tcPr>
            <w:tcW w:w="2500" w:type="pct"/>
          </w:tcPr>
          <w:p w:rsidR="00832A42" w:rsidRPr="007A328A" w:rsidRDefault="00832A42" w:rsidP="00832A42">
            <w:pPr>
              <w:jc w:val="both"/>
              <w:rPr>
                <w:sz w:val="24"/>
                <w:szCs w:val="24"/>
              </w:rPr>
            </w:pPr>
            <w:r>
              <w:rPr>
                <w:rFonts w:ascii="Times New Roman" w:hAnsi="Times New Roman"/>
                <w:sz w:val="24"/>
              </w:rPr>
              <w:t xml:space="preserve">Pokud při vyšetření uvedeném v bodě 4 nelze získat čistou kulturu z bakteriálního kmene, </w:t>
            </w:r>
            <w:r>
              <w:rPr>
                <w:rFonts w:ascii="Times New Roman" w:hAnsi="Times New Roman"/>
                <w:sz w:val="24"/>
              </w:rPr>
              <w:lastRenderedPageBreak/>
              <w:t>který je pravděpodobně příčinou nákazy nebo pokud není k dispozici žádná zkouška na citlivost antibiotik uvedená v bodě 5 v případě identifikovatelného bakteriálního kmene, nebo pokud nelze odebrat vzorky v případě určené patologie, odůvodňuje veterinář své rozhodnutí použít kriticky důležité antibiotikum na základě srovnatelných, současných vědeckých informací o rezistenci vůči antibiotikům v případě bakteriálního kmene, který je pravděpodobně příčinou nákazy, které prokazují, že účinná jsou pouze kriticky důležitá antibiotika. V případě každého jednotlivého případu se toto odůvodnění přidává k negativnímu výsledku z laboratoře v písemné zprávě.</w:t>
            </w:r>
          </w:p>
        </w:tc>
      </w:tr>
      <w:tr w:rsidR="00832A42" w:rsidRPr="00B75558" w:rsidTr="00E17616">
        <w:tc>
          <w:tcPr>
            <w:tcW w:w="2500" w:type="pct"/>
          </w:tcPr>
          <w:p w:rsidR="00832A42" w:rsidRPr="007A328A" w:rsidRDefault="00832A42" w:rsidP="007D1C9B">
            <w:pPr>
              <w:rPr>
                <w:sz w:val="24"/>
                <w:szCs w:val="24"/>
              </w:rPr>
            </w:pPr>
          </w:p>
        </w:tc>
        <w:tc>
          <w:tcPr>
            <w:tcW w:w="2500" w:type="pct"/>
          </w:tcPr>
          <w:p w:rsidR="00832A42" w:rsidRPr="007A328A" w:rsidRDefault="00832A42" w:rsidP="007D1C9B">
            <w:pPr>
              <w:rPr>
                <w:sz w:val="24"/>
                <w:szCs w:val="24"/>
              </w:rPr>
            </w:pPr>
          </w:p>
        </w:tc>
      </w:tr>
      <w:tr w:rsidR="007D1C9B" w:rsidRPr="00B75558" w:rsidTr="00E17616">
        <w:tc>
          <w:tcPr>
            <w:tcW w:w="2500" w:type="pct"/>
          </w:tcPr>
          <w:p w:rsidR="007D1C9B" w:rsidRPr="007A328A" w:rsidRDefault="007D1C9B" w:rsidP="005D6452">
            <w:pPr>
              <w:jc w:val="both"/>
              <w:rPr>
                <w:sz w:val="24"/>
                <w:szCs w:val="24"/>
              </w:rPr>
            </w:pPr>
          </w:p>
        </w:tc>
        <w:tc>
          <w:tcPr>
            <w:tcW w:w="2500" w:type="pct"/>
          </w:tcPr>
          <w:p w:rsidR="007D1C9B" w:rsidRPr="007A328A" w:rsidRDefault="007D1C9B" w:rsidP="007D1C9B">
            <w:pPr>
              <w:jc w:val="both"/>
              <w:rPr>
                <w:sz w:val="24"/>
                <w:szCs w:val="24"/>
              </w:rPr>
            </w:pPr>
            <w:r>
              <w:rPr>
                <w:rFonts w:ascii="Times New Roman" w:hAnsi="Times New Roman"/>
                <w:sz w:val="24"/>
              </w:rPr>
              <w:t>§ 3. Veterinář neprovádí vyšetření uvedená v oddílu 2, bodech 3 a 4, pokud má k dispozici výsledky rovnocenných předchozích vyšetření stejného zvířete nebo stejného skupiny nebo partie zvířat v případě stejné patologie, a to v takové míře, že tato vyšetření jsou stará méně než šest měsíců v případě kategorií drůbeže, prasat a jatečních telat uvedených v čl. 15 odst. 1, bodech 2 a 6, nebo méně než dvanáct měsíců v případě ostatního skotu a drůbeže, malých přežvýkavců, králíků a v případě akvakultury.</w:t>
            </w:r>
          </w:p>
        </w:tc>
      </w:tr>
      <w:tr w:rsidR="007D1C9B" w:rsidRPr="00B75558" w:rsidTr="00E17616">
        <w:tc>
          <w:tcPr>
            <w:tcW w:w="2500" w:type="pct"/>
          </w:tcPr>
          <w:p w:rsidR="007D1C9B" w:rsidRPr="007A328A" w:rsidRDefault="007D1C9B" w:rsidP="007D1C9B">
            <w:pPr>
              <w:rPr>
                <w:sz w:val="24"/>
                <w:szCs w:val="24"/>
              </w:rPr>
            </w:pPr>
          </w:p>
        </w:tc>
        <w:tc>
          <w:tcPr>
            <w:tcW w:w="2500" w:type="pct"/>
          </w:tcPr>
          <w:p w:rsidR="007D1C9B" w:rsidRPr="007A328A" w:rsidRDefault="007D1C9B" w:rsidP="007D1C9B">
            <w:pPr>
              <w:rPr>
                <w:sz w:val="24"/>
                <w:szCs w:val="24"/>
              </w:rPr>
            </w:pPr>
          </w:p>
        </w:tc>
      </w:tr>
      <w:tr w:rsidR="007D1C9B" w:rsidRPr="00B75558" w:rsidTr="00E17616">
        <w:tc>
          <w:tcPr>
            <w:tcW w:w="2500" w:type="pct"/>
          </w:tcPr>
          <w:p w:rsidR="007D1C9B" w:rsidRPr="00B75558" w:rsidRDefault="007D1C9B" w:rsidP="005D6452">
            <w:pPr>
              <w:jc w:val="both"/>
              <w:rPr>
                <w:sz w:val="24"/>
                <w:szCs w:val="24"/>
              </w:rPr>
            </w:pPr>
          </w:p>
        </w:tc>
        <w:tc>
          <w:tcPr>
            <w:tcW w:w="2500" w:type="pct"/>
          </w:tcPr>
          <w:p w:rsidR="007D1C9B" w:rsidRPr="007A328A" w:rsidRDefault="005243E8" w:rsidP="005243E8">
            <w:pPr>
              <w:jc w:val="both"/>
              <w:rPr>
                <w:sz w:val="24"/>
                <w:szCs w:val="24"/>
              </w:rPr>
            </w:pPr>
            <w:r>
              <w:rPr>
                <w:rFonts w:ascii="Times New Roman" w:hAnsi="Times New Roman"/>
                <w:sz w:val="24"/>
              </w:rPr>
              <w:t>§ 4. Veterinář, který předepisuje, poskytuje a podává kritická antibiotika, uchovává výsledky vyšetření uvedených v tomto článku po dobu alespoň pěti let a předkládá je v případě kontroly. Veterinář rovněž po stejnou dobu uchovává všechny výsledky ostatních rozborů a odůvodní jeho rozhodnutí o způsobu léčby.“</w:t>
            </w:r>
          </w:p>
        </w:tc>
      </w:tr>
      <w:tr w:rsidR="007D1C9B" w:rsidRPr="00B75558" w:rsidTr="00E17616">
        <w:tc>
          <w:tcPr>
            <w:tcW w:w="2500" w:type="pct"/>
          </w:tcPr>
          <w:p w:rsidR="007D1C9B" w:rsidRPr="007A328A" w:rsidRDefault="007D1C9B" w:rsidP="007D1C9B">
            <w:pPr>
              <w:rPr>
                <w:sz w:val="24"/>
                <w:szCs w:val="24"/>
              </w:rPr>
            </w:pPr>
          </w:p>
        </w:tc>
        <w:tc>
          <w:tcPr>
            <w:tcW w:w="2500" w:type="pct"/>
          </w:tcPr>
          <w:p w:rsidR="007D1C9B" w:rsidRPr="007A328A" w:rsidRDefault="007D1C9B" w:rsidP="007D1C9B">
            <w:pPr>
              <w:rPr>
                <w:sz w:val="24"/>
                <w:szCs w:val="24"/>
              </w:rPr>
            </w:pPr>
          </w:p>
        </w:tc>
      </w:tr>
      <w:tr w:rsidR="00A43346" w:rsidRPr="00B75558" w:rsidTr="00E17616">
        <w:tc>
          <w:tcPr>
            <w:tcW w:w="2500" w:type="pct"/>
          </w:tcPr>
          <w:p w:rsidR="00A43346" w:rsidRPr="007A328A" w:rsidRDefault="00A43346" w:rsidP="007D1C9B">
            <w:pPr>
              <w:rPr>
                <w:sz w:val="24"/>
                <w:szCs w:val="24"/>
              </w:rPr>
            </w:pPr>
          </w:p>
        </w:tc>
        <w:tc>
          <w:tcPr>
            <w:tcW w:w="2500" w:type="pct"/>
          </w:tcPr>
          <w:p w:rsidR="00A43346" w:rsidRPr="007A328A" w:rsidRDefault="00A43346" w:rsidP="007D1C9B">
            <w:pPr>
              <w:rPr>
                <w:sz w:val="24"/>
                <w:szCs w:val="24"/>
              </w:rPr>
            </w:pPr>
          </w:p>
        </w:tc>
      </w:tr>
      <w:tr w:rsidR="007D1C9B" w:rsidRPr="00B75558" w:rsidTr="00E17616">
        <w:tc>
          <w:tcPr>
            <w:tcW w:w="2500" w:type="pct"/>
          </w:tcPr>
          <w:p w:rsidR="007D1C9B" w:rsidRPr="007A328A" w:rsidRDefault="007D1C9B" w:rsidP="00640AB7">
            <w:pPr>
              <w:jc w:val="both"/>
              <w:rPr>
                <w:sz w:val="24"/>
                <w:szCs w:val="24"/>
              </w:rPr>
            </w:pPr>
          </w:p>
        </w:tc>
        <w:tc>
          <w:tcPr>
            <w:tcW w:w="2500" w:type="pct"/>
          </w:tcPr>
          <w:p w:rsidR="007D1C9B" w:rsidRPr="007A328A" w:rsidRDefault="006D0FC0" w:rsidP="00640AB7">
            <w:pPr>
              <w:jc w:val="both"/>
              <w:rPr>
                <w:sz w:val="24"/>
                <w:szCs w:val="24"/>
              </w:rPr>
            </w:pPr>
            <w:r>
              <w:rPr>
                <w:rFonts w:ascii="Times New Roman" w:hAnsi="Times New Roman"/>
                <w:b/>
                <w:sz w:val="24"/>
              </w:rPr>
              <w:t>Článek 4.</w:t>
            </w:r>
            <w:r>
              <w:rPr>
                <w:rFonts w:ascii="Times New Roman" w:hAnsi="Times New Roman"/>
                <w:sz w:val="24"/>
              </w:rPr>
              <w:t xml:space="preserve"> Článek 68 téhož královského výnosu, který byl zrušen v souladu s rozhodnutím Státní rady č. 244.629 ze dne 28. května 2019, se opravuje takto:</w:t>
            </w:r>
          </w:p>
        </w:tc>
      </w:tr>
      <w:tr w:rsidR="005243E8" w:rsidRPr="00B75558" w:rsidTr="00E17616">
        <w:tc>
          <w:tcPr>
            <w:tcW w:w="2500" w:type="pct"/>
          </w:tcPr>
          <w:p w:rsidR="005243E8" w:rsidRPr="007A328A" w:rsidRDefault="005243E8" w:rsidP="007D1C9B">
            <w:pPr>
              <w:rPr>
                <w:sz w:val="24"/>
                <w:szCs w:val="24"/>
              </w:rPr>
            </w:pPr>
          </w:p>
        </w:tc>
        <w:tc>
          <w:tcPr>
            <w:tcW w:w="2500" w:type="pct"/>
          </w:tcPr>
          <w:p w:rsidR="005243E8" w:rsidRPr="007A328A" w:rsidRDefault="005243E8" w:rsidP="007D1C9B">
            <w:pPr>
              <w:rPr>
                <w:sz w:val="24"/>
                <w:szCs w:val="24"/>
              </w:rPr>
            </w:pPr>
          </w:p>
        </w:tc>
      </w:tr>
      <w:tr w:rsidR="005243E8" w:rsidRPr="00B75558" w:rsidTr="00E17616">
        <w:tc>
          <w:tcPr>
            <w:tcW w:w="2500" w:type="pct"/>
          </w:tcPr>
          <w:p w:rsidR="005243E8" w:rsidRPr="007A328A" w:rsidRDefault="005243E8" w:rsidP="005243E8">
            <w:pPr>
              <w:rPr>
                <w:sz w:val="24"/>
                <w:szCs w:val="24"/>
              </w:rPr>
            </w:pPr>
          </w:p>
        </w:tc>
        <w:tc>
          <w:tcPr>
            <w:tcW w:w="2500" w:type="pct"/>
          </w:tcPr>
          <w:p w:rsidR="005243E8" w:rsidRPr="007A328A" w:rsidRDefault="006D0FC0" w:rsidP="005243E8">
            <w:pPr>
              <w:autoSpaceDE w:val="0"/>
              <w:autoSpaceDN w:val="0"/>
              <w:adjustRightInd w:val="0"/>
              <w:jc w:val="both"/>
              <w:rPr>
                <w:rFonts w:ascii="Times New Roman" w:hAnsi="Times New Roman" w:cs="Times New Roman"/>
                <w:sz w:val="24"/>
                <w:szCs w:val="24"/>
              </w:rPr>
            </w:pPr>
            <w:r>
              <w:rPr>
                <w:rFonts w:ascii="Times New Roman" w:hAnsi="Times New Roman"/>
                <w:sz w:val="24"/>
              </w:rPr>
              <w:t xml:space="preserve">„Článek 68. Veterinář, který v souladu s touto kapitolou předepisuje a poskytuje kriticky důležitá antibiotika, předává odpovědné osobě kopii výsledku laboratorní studie spolu </w:t>
            </w:r>
            <w:r>
              <w:rPr>
                <w:rFonts w:ascii="Times New Roman" w:hAnsi="Times New Roman"/>
                <w:sz w:val="24"/>
              </w:rPr>
              <w:lastRenderedPageBreak/>
              <w:t>s odůvodněním, je-li k dispozici, podle popisu uvedeného v čl. 67 odst. 2 bodu 2. Jedinečný odkaz na zprávu s uvedením výsledku laboratorní studie musí být uveden v dokumentu pro podání a poskytnutí, který obsahuje jedinečné číslování uvedené v čl. 32 odst. 2 nebo v předpisu dle popisu v článku 37, aby bylo zajištěno spojení mezi výsledkem a předpisem nebo poskytnutím kriticky důležitých antibiotik.“</w:t>
            </w:r>
          </w:p>
        </w:tc>
      </w:tr>
      <w:tr w:rsidR="005243E8" w:rsidRPr="00B75558" w:rsidTr="00E17616">
        <w:tc>
          <w:tcPr>
            <w:tcW w:w="2500" w:type="pct"/>
          </w:tcPr>
          <w:p w:rsidR="005243E8" w:rsidRPr="007A328A" w:rsidRDefault="005243E8" w:rsidP="005243E8">
            <w:pPr>
              <w:rPr>
                <w:sz w:val="24"/>
                <w:szCs w:val="24"/>
              </w:rPr>
            </w:pPr>
          </w:p>
        </w:tc>
        <w:tc>
          <w:tcPr>
            <w:tcW w:w="2500" w:type="pct"/>
          </w:tcPr>
          <w:p w:rsidR="005243E8" w:rsidRPr="007A328A" w:rsidRDefault="005243E8" w:rsidP="005243E8">
            <w:pPr>
              <w:autoSpaceDE w:val="0"/>
              <w:autoSpaceDN w:val="0"/>
              <w:adjustRightInd w:val="0"/>
              <w:jc w:val="both"/>
              <w:rPr>
                <w:rFonts w:ascii="Times New Roman" w:hAnsi="Times New Roman" w:cs="Times New Roman"/>
                <w:b/>
                <w:sz w:val="24"/>
                <w:szCs w:val="24"/>
              </w:rPr>
            </w:pPr>
          </w:p>
        </w:tc>
      </w:tr>
      <w:tr w:rsidR="00A43346" w:rsidRPr="00B75558" w:rsidTr="00E17616">
        <w:tc>
          <w:tcPr>
            <w:tcW w:w="2500" w:type="pct"/>
          </w:tcPr>
          <w:p w:rsidR="00A43346" w:rsidRPr="007A328A" w:rsidRDefault="00A43346" w:rsidP="005243E8">
            <w:pPr>
              <w:rPr>
                <w:sz w:val="24"/>
                <w:szCs w:val="24"/>
              </w:rPr>
            </w:pPr>
          </w:p>
        </w:tc>
        <w:tc>
          <w:tcPr>
            <w:tcW w:w="2500" w:type="pct"/>
          </w:tcPr>
          <w:p w:rsidR="00A43346" w:rsidRPr="007A328A" w:rsidRDefault="00A43346" w:rsidP="005243E8">
            <w:pPr>
              <w:autoSpaceDE w:val="0"/>
              <w:autoSpaceDN w:val="0"/>
              <w:adjustRightInd w:val="0"/>
              <w:jc w:val="both"/>
              <w:rPr>
                <w:rFonts w:ascii="Times New Roman" w:hAnsi="Times New Roman" w:cs="Times New Roman"/>
                <w:b/>
                <w:sz w:val="24"/>
                <w:szCs w:val="24"/>
              </w:rPr>
            </w:pPr>
          </w:p>
        </w:tc>
      </w:tr>
      <w:tr w:rsidR="006D0FC0" w:rsidRPr="00B75558" w:rsidTr="00E17616">
        <w:tc>
          <w:tcPr>
            <w:tcW w:w="2500" w:type="pct"/>
          </w:tcPr>
          <w:p w:rsidR="006D0FC0" w:rsidRPr="00B75558" w:rsidRDefault="006D0FC0" w:rsidP="00640AB7">
            <w:pPr>
              <w:jc w:val="both"/>
              <w:rPr>
                <w:rFonts w:ascii="Times New Roman" w:hAnsi="Times New Roman" w:cs="Times New Roman"/>
                <w:sz w:val="24"/>
                <w:szCs w:val="24"/>
              </w:rPr>
            </w:pPr>
          </w:p>
        </w:tc>
        <w:tc>
          <w:tcPr>
            <w:tcW w:w="2500" w:type="pct"/>
          </w:tcPr>
          <w:p w:rsidR="006D0FC0" w:rsidRPr="007A328A" w:rsidRDefault="006D0FC0" w:rsidP="00640AB7">
            <w:pPr>
              <w:autoSpaceDE w:val="0"/>
              <w:autoSpaceDN w:val="0"/>
              <w:adjustRightInd w:val="0"/>
              <w:jc w:val="both"/>
              <w:rPr>
                <w:rFonts w:ascii="Times New Roman" w:hAnsi="Times New Roman" w:cs="Times New Roman"/>
                <w:b/>
                <w:sz w:val="24"/>
                <w:szCs w:val="24"/>
              </w:rPr>
            </w:pPr>
            <w:r>
              <w:rPr>
                <w:rFonts w:ascii="Times New Roman" w:hAnsi="Times New Roman"/>
                <w:b/>
                <w:sz w:val="24"/>
              </w:rPr>
              <w:t>Článek 5.</w:t>
            </w:r>
            <w:r>
              <w:rPr>
                <w:rFonts w:ascii="Times New Roman" w:hAnsi="Times New Roman"/>
                <w:sz w:val="24"/>
              </w:rPr>
              <w:t xml:space="preserve"> Článek 69 téhož královského výnosu, který byl zrušen v souladu s rozhodnutím Státní rady č. 244.629 ze dne 28. května 2019, se opravuje takto:</w:t>
            </w:r>
          </w:p>
        </w:tc>
      </w:tr>
      <w:tr w:rsidR="006D0FC0" w:rsidRPr="00B75558" w:rsidTr="00E17616">
        <w:tc>
          <w:tcPr>
            <w:tcW w:w="2500" w:type="pct"/>
          </w:tcPr>
          <w:p w:rsidR="006D0FC0" w:rsidRPr="007A328A" w:rsidRDefault="006D0FC0" w:rsidP="005243E8">
            <w:pPr>
              <w:rPr>
                <w:sz w:val="24"/>
                <w:szCs w:val="24"/>
              </w:rPr>
            </w:pPr>
          </w:p>
        </w:tc>
        <w:tc>
          <w:tcPr>
            <w:tcW w:w="2500" w:type="pct"/>
          </w:tcPr>
          <w:p w:rsidR="006D0FC0" w:rsidRPr="000520B5" w:rsidRDefault="006D0FC0" w:rsidP="005243E8">
            <w:pPr>
              <w:autoSpaceDE w:val="0"/>
              <w:autoSpaceDN w:val="0"/>
              <w:adjustRightInd w:val="0"/>
              <w:jc w:val="both"/>
              <w:rPr>
                <w:rFonts w:ascii="Times New Roman" w:hAnsi="Times New Roman" w:cs="Times New Roman"/>
                <w:sz w:val="24"/>
                <w:szCs w:val="24"/>
              </w:rPr>
            </w:pPr>
          </w:p>
        </w:tc>
      </w:tr>
      <w:tr w:rsidR="005243E8" w:rsidRPr="00B75558" w:rsidTr="00E17616">
        <w:tc>
          <w:tcPr>
            <w:tcW w:w="2500" w:type="pct"/>
          </w:tcPr>
          <w:p w:rsidR="005243E8" w:rsidRPr="00B75558" w:rsidRDefault="005243E8" w:rsidP="00B75558">
            <w:pPr>
              <w:jc w:val="both"/>
              <w:rPr>
                <w:sz w:val="24"/>
                <w:szCs w:val="24"/>
              </w:rPr>
            </w:pPr>
          </w:p>
        </w:tc>
        <w:tc>
          <w:tcPr>
            <w:tcW w:w="2500" w:type="pct"/>
          </w:tcPr>
          <w:p w:rsidR="005243E8" w:rsidRPr="000520B5" w:rsidRDefault="006D0FC0" w:rsidP="00F60C7F">
            <w:pPr>
              <w:autoSpaceDE w:val="0"/>
              <w:autoSpaceDN w:val="0"/>
              <w:adjustRightInd w:val="0"/>
              <w:jc w:val="both"/>
              <w:rPr>
                <w:rFonts w:ascii="Times New Roman" w:hAnsi="Times New Roman" w:cs="Times New Roman"/>
                <w:sz w:val="24"/>
                <w:szCs w:val="24"/>
              </w:rPr>
            </w:pPr>
            <w:r>
              <w:rPr>
                <w:rFonts w:ascii="Times New Roman" w:hAnsi="Times New Roman"/>
                <w:sz w:val="24"/>
              </w:rPr>
              <w:t>„Článek 69. Ve výjimečných případech, kdy je to odůvodněno mimořádnou naléhavostí, může veterinář na svou odpovědnost a po klinickém vyšetření podat kriticky důležitá antibiotika zvířeti, pokud má důvod se domnívat, že kriticky důležité antibiotikum představuje jediný způsob léčby schopný záchrany života dotčeného zvířete nebo zabránění nenapravitelného poškození. Ustanovení čl. 67 odst. 2 body 1, 3 až 5 a čl. 67 odst. 2 bodu 2 nadále platí v plném rozsahu. Jakmile budou známé výsledky laboratorních studií a citlivost na antibiotika, může veterinář upravit svou léčbu v souladu s ustanoveními článku 67. Při čekání na výše uvedené výsledky může být prováděna léčba pouze veterinářem a pouze u výše uvedeného zvířete.“</w:t>
            </w:r>
          </w:p>
        </w:tc>
      </w:tr>
      <w:tr w:rsidR="005243E8" w:rsidRPr="00B75558" w:rsidTr="00E17616">
        <w:tc>
          <w:tcPr>
            <w:tcW w:w="2500" w:type="pct"/>
          </w:tcPr>
          <w:p w:rsidR="005243E8" w:rsidRPr="007A328A" w:rsidRDefault="005243E8" w:rsidP="005243E8">
            <w:pPr>
              <w:rPr>
                <w:sz w:val="24"/>
                <w:szCs w:val="24"/>
              </w:rPr>
            </w:pPr>
          </w:p>
        </w:tc>
        <w:tc>
          <w:tcPr>
            <w:tcW w:w="2500" w:type="pct"/>
          </w:tcPr>
          <w:p w:rsidR="005243E8" w:rsidRPr="007A328A" w:rsidRDefault="005243E8" w:rsidP="005243E8">
            <w:pPr>
              <w:autoSpaceDE w:val="0"/>
              <w:autoSpaceDN w:val="0"/>
              <w:adjustRightInd w:val="0"/>
              <w:jc w:val="both"/>
              <w:rPr>
                <w:rFonts w:ascii="Times New Roman" w:hAnsi="Times New Roman" w:cs="Times New Roman"/>
                <w:b/>
                <w:sz w:val="24"/>
                <w:szCs w:val="24"/>
              </w:rPr>
            </w:pPr>
          </w:p>
        </w:tc>
      </w:tr>
      <w:tr w:rsidR="00A43346" w:rsidRPr="00B75558" w:rsidTr="00E17616">
        <w:tc>
          <w:tcPr>
            <w:tcW w:w="2500" w:type="pct"/>
          </w:tcPr>
          <w:p w:rsidR="00A43346" w:rsidRPr="007A328A" w:rsidRDefault="00A43346" w:rsidP="005243E8">
            <w:pPr>
              <w:rPr>
                <w:sz w:val="24"/>
                <w:szCs w:val="24"/>
              </w:rPr>
            </w:pPr>
          </w:p>
        </w:tc>
        <w:tc>
          <w:tcPr>
            <w:tcW w:w="2500" w:type="pct"/>
          </w:tcPr>
          <w:p w:rsidR="00A43346" w:rsidRPr="007A328A" w:rsidRDefault="00A43346" w:rsidP="005243E8">
            <w:pPr>
              <w:autoSpaceDE w:val="0"/>
              <w:autoSpaceDN w:val="0"/>
              <w:adjustRightInd w:val="0"/>
              <w:jc w:val="both"/>
              <w:rPr>
                <w:rFonts w:ascii="Times New Roman" w:hAnsi="Times New Roman" w:cs="Times New Roman"/>
                <w:b/>
                <w:sz w:val="24"/>
                <w:szCs w:val="24"/>
              </w:rPr>
            </w:pPr>
          </w:p>
        </w:tc>
      </w:tr>
      <w:tr w:rsidR="006D0FC0" w:rsidRPr="00B75558" w:rsidTr="00E17616">
        <w:tc>
          <w:tcPr>
            <w:tcW w:w="2500" w:type="pct"/>
          </w:tcPr>
          <w:p w:rsidR="006D0FC0" w:rsidRPr="00B75558" w:rsidRDefault="006D0FC0" w:rsidP="00802D78">
            <w:pPr>
              <w:jc w:val="both"/>
              <w:rPr>
                <w:sz w:val="24"/>
                <w:szCs w:val="24"/>
              </w:rPr>
            </w:pPr>
          </w:p>
        </w:tc>
        <w:tc>
          <w:tcPr>
            <w:tcW w:w="2500" w:type="pct"/>
          </w:tcPr>
          <w:p w:rsidR="006D0FC0" w:rsidRPr="007A328A" w:rsidRDefault="00704F59" w:rsidP="00802D78">
            <w:pPr>
              <w:autoSpaceDE w:val="0"/>
              <w:autoSpaceDN w:val="0"/>
              <w:adjustRightInd w:val="0"/>
              <w:jc w:val="both"/>
              <w:rPr>
                <w:rFonts w:ascii="Times New Roman" w:hAnsi="Times New Roman" w:cs="Times New Roman"/>
                <w:sz w:val="24"/>
                <w:szCs w:val="24"/>
              </w:rPr>
            </w:pPr>
            <w:r>
              <w:rPr>
                <w:rFonts w:ascii="Times New Roman" w:hAnsi="Times New Roman"/>
                <w:b/>
                <w:sz w:val="24"/>
              </w:rPr>
              <w:t>Článek 6.</w:t>
            </w:r>
            <w:r>
              <w:rPr>
                <w:rFonts w:ascii="Times New Roman" w:hAnsi="Times New Roman"/>
                <w:sz w:val="24"/>
              </w:rPr>
              <w:t xml:space="preserve"> Článek 70 téhož královského výnosu ze dne 21. července 2016, který by zrušen rozhodnutím Státní rady č. 244.629 ze dne 28. května 2019 se opravuje takto:</w:t>
            </w:r>
          </w:p>
        </w:tc>
      </w:tr>
      <w:tr w:rsidR="006D0FC0" w:rsidRPr="00B75558" w:rsidTr="00E17616">
        <w:tc>
          <w:tcPr>
            <w:tcW w:w="2500" w:type="pct"/>
          </w:tcPr>
          <w:p w:rsidR="006D0FC0" w:rsidRPr="007A328A" w:rsidRDefault="006D0FC0" w:rsidP="005243E8">
            <w:pPr>
              <w:rPr>
                <w:sz w:val="24"/>
                <w:szCs w:val="24"/>
              </w:rPr>
            </w:pPr>
          </w:p>
        </w:tc>
        <w:tc>
          <w:tcPr>
            <w:tcW w:w="2500" w:type="pct"/>
          </w:tcPr>
          <w:p w:rsidR="006D0FC0" w:rsidRPr="007A328A" w:rsidRDefault="006D0FC0" w:rsidP="005243E8">
            <w:pPr>
              <w:autoSpaceDE w:val="0"/>
              <w:autoSpaceDN w:val="0"/>
              <w:adjustRightInd w:val="0"/>
              <w:jc w:val="both"/>
              <w:rPr>
                <w:rFonts w:ascii="Times New Roman" w:hAnsi="Times New Roman" w:cs="Times New Roman"/>
                <w:b/>
                <w:sz w:val="24"/>
                <w:szCs w:val="24"/>
              </w:rPr>
            </w:pPr>
          </w:p>
        </w:tc>
      </w:tr>
      <w:tr w:rsidR="005243E8" w:rsidRPr="00B75558" w:rsidTr="00E17616">
        <w:tc>
          <w:tcPr>
            <w:tcW w:w="2500" w:type="pct"/>
          </w:tcPr>
          <w:p w:rsidR="005243E8" w:rsidRPr="00B75558" w:rsidRDefault="005243E8" w:rsidP="005D6452">
            <w:pPr>
              <w:jc w:val="both"/>
              <w:rPr>
                <w:sz w:val="24"/>
                <w:szCs w:val="24"/>
              </w:rPr>
            </w:pPr>
          </w:p>
        </w:tc>
        <w:tc>
          <w:tcPr>
            <w:tcW w:w="2500" w:type="pct"/>
          </w:tcPr>
          <w:p w:rsidR="005243E8" w:rsidRPr="007A328A" w:rsidRDefault="00704F59" w:rsidP="005243E8">
            <w:pPr>
              <w:autoSpaceDE w:val="0"/>
              <w:autoSpaceDN w:val="0"/>
              <w:adjustRightInd w:val="0"/>
              <w:jc w:val="both"/>
              <w:rPr>
                <w:rFonts w:ascii="Times New Roman" w:hAnsi="Times New Roman" w:cs="Times New Roman"/>
                <w:b/>
                <w:sz w:val="24"/>
                <w:szCs w:val="24"/>
              </w:rPr>
            </w:pPr>
            <w:r>
              <w:rPr>
                <w:rFonts w:ascii="Times New Roman" w:hAnsi="Times New Roman"/>
                <w:sz w:val="24"/>
              </w:rPr>
              <w:t>„Článek 70. Ministr může změnit seznam v příloze č. 4.“</w:t>
            </w:r>
          </w:p>
        </w:tc>
      </w:tr>
      <w:tr w:rsidR="005243E8" w:rsidRPr="00B75558" w:rsidTr="00E17616">
        <w:tc>
          <w:tcPr>
            <w:tcW w:w="2500" w:type="pct"/>
          </w:tcPr>
          <w:p w:rsidR="005243E8" w:rsidRPr="007A328A" w:rsidRDefault="005243E8" w:rsidP="005243E8">
            <w:pPr>
              <w:rPr>
                <w:sz w:val="24"/>
                <w:szCs w:val="24"/>
              </w:rPr>
            </w:pPr>
          </w:p>
        </w:tc>
        <w:tc>
          <w:tcPr>
            <w:tcW w:w="2500" w:type="pct"/>
          </w:tcPr>
          <w:p w:rsidR="005243E8" w:rsidRPr="007A328A" w:rsidRDefault="005243E8" w:rsidP="005243E8">
            <w:pPr>
              <w:autoSpaceDE w:val="0"/>
              <w:autoSpaceDN w:val="0"/>
              <w:adjustRightInd w:val="0"/>
              <w:jc w:val="both"/>
              <w:rPr>
                <w:rFonts w:ascii="Times New Roman" w:hAnsi="Times New Roman" w:cs="Times New Roman"/>
                <w:b/>
                <w:sz w:val="24"/>
                <w:szCs w:val="24"/>
              </w:rPr>
            </w:pPr>
          </w:p>
        </w:tc>
      </w:tr>
      <w:tr w:rsidR="00A43346" w:rsidRPr="00B75558" w:rsidTr="00E17616">
        <w:tc>
          <w:tcPr>
            <w:tcW w:w="2500" w:type="pct"/>
          </w:tcPr>
          <w:p w:rsidR="00A43346" w:rsidRPr="007A328A" w:rsidRDefault="00A43346" w:rsidP="005243E8">
            <w:pPr>
              <w:rPr>
                <w:sz w:val="24"/>
                <w:szCs w:val="24"/>
              </w:rPr>
            </w:pPr>
          </w:p>
        </w:tc>
        <w:tc>
          <w:tcPr>
            <w:tcW w:w="2500" w:type="pct"/>
          </w:tcPr>
          <w:p w:rsidR="00A43346" w:rsidRPr="007A328A" w:rsidRDefault="00A43346" w:rsidP="005243E8">
            <w:pPr>
              <w:autoSpaceDE w:val="0"/>
              <w:autoSpaceDN w:val="0"/>
              <w:adjustRightInd w:val="0"/>
              <w:jc w:val="both"/>
              <w:rPr>
                <w:rFonts w:ascii="Times New Roman" w:hAnsi="Times New Roman" w:cs="Times New Roman"/>
                <w:b/>
                <w:sz w:val="24"/>
                <w:szCs w:val="24"/>
              </w:rPr>
            </w:pPr>
          </w:p>
        </w:tc>
      </w:tr>
      <w:tr w:rsidR="00704F59" w:rsidRPr="00B75558" w:rsidTr="00E17616">
        <w:tc>
          <w:tcPr>
            <w:tcW w:w="2500" w:type="pct"/>
          </w:tcPr>
          <w:p w:rsidR="00704F59" w:rsidRPr="00B75558" w:rsidRDefault="00704F59" w:rsidP="004E466E">
            <w:pPr>
              <w:jc w:val="both"/>
              <w:rPr>
                <w:rFonts w:ascii="Times New Roman" w:hAnsi="Times New Roman" w:cs="Times New Roman"/>
                <w:sz w:val="24"/>
                <w:szCs w:val="24"/>
              </w:rPr>
            </w:pPr>
          </w:p>
        </w:tc>
        <w:tc>
          <w:tcPr>
            <w:tcW w:w="2500" w:type="pct"/>
          </w:tcPr>
          <w:p w:rsidR="00704F59" w:rsidRPr="003B127F" w:rsidRDefault="007A328A" w:rsidP="003B127F">
            <w:pPr>
              <w:autoSpaceDE w:val="0"/>
              <w:autoSpaceDN w:val="0"/>
              <w:adjustRightInd w:val="0"/>
              <w:jc w:val="both"/>
              <w:rPr>
                <w:rFonts w:ascii="Times New Roman" w:hAnsi="Times New Roman" w:cs="Times New Roman"/>
                <w:sz w:val="24"/>
                <w:szCs w:val="24"/>
              </w:rPr>
            </w:pPr>
            <w:r>
              <w:rPr>
                <w:rFonts w:ascii="Times New Roman" w:hAnsi="Times New Roman"/>
                <w:b/>
                <w:sz w:val="24"/>
              </w:rPr>
              <w:t>Článek 7.</w:t>
            </w:r>
            <w:r>
              <w:rPr>
                <w:rFonts w:ascii="Times New Roman" w:hAnsi="Times New Roman"/>
                <w:sz w:val="24"/>
              </w:rPr>
              <w:t xml:space="preserve"> V témže výnosu, se příloha č. 4, která byla zrušena rozhodnutím č. 244.629 ze dne 28. května 2019, nahrazuje přílohou připojenou k tomuto výnosu.</w:t>
            </w:r>
          </w:p>
        </w:tc>
      </w:tr>
      <w:tr w:rsidR="00704F59" w:rsidRPr="00B75558" w:rsidTr="00E17616">
        <w:tc>
          <w:tcPr>
            <w:tcW w:w="2500" w:type="pct"/>
          </w:tcPr>
          <w:p w:rsidR="00704F59" w:rsidRPr="003B127F" w:rsidRDefault="00704F59" w:rsidP="005243E8">
            <w:pPr>
              <w:rPr>
                <w:sz w:val="24"/>
                <w:szCs w:val="24"/>
              </w:rPr>
            </w:pPr>
          </w:p>
        </w:tc>
        <w:tc>
          <w:tcPr>
            <w:tcW w:w="2500" w:type="pct"/>
          </w:tcPr>
          <w:p w:rsidR="00704F59" w:rsidRPr="003B127F" w:rsidRDefault="00704F59" w:rsidP="005243E8">
            <w:pPr>
              <w:autoSpaceDE w:val="0"/>
              <w:autoSpaceDN w:val="0"/>
              <w:adjustRightInd w:val="0"/>
              <w:jc w:val="both"/>
              <w:rPr>
                <w:rFonts w:ascii="Times New Roman" w:hAnsi="Times New Roman" w:cs="Times New Roman"/>
                <w:b/>
                <w:sz w:val="24"/>
                <w:szCs w:val="24"/>
              </w:rPr>
            </w:pPr>
          </w:p>
        </w:tc>
      </w:tr>
      <w:tr w:rsidR="00A43346" w:rsidRPr="00B75558" w:rsidTr="00E17616">
        <w:tc>
          <w:tcPr>
            <w:tcW w:w="2500" w:type="pct"/>
          </w:tcPr>
          <w:p w:rsidR="00A43346" w:rsidRPr="003B127F" w:rsidRDefault="00A43346" w:rsidP="005243E8">
            <w:pPr>
              <w:rPr>
                <w:sz w:val="24"/>
                <w:szCs w:val="24"/>
              </w:rPr>
            </w:pPr>
          </w:p>
        </w:tc>
        <w:tc>
          <w:tcPr>
            <w:tcW w:w="2500" w:type="pct"/>
          </w:tcPr>
          <w:p w:rsidR="00A43346" w:rsidRPr="003B127F" w:rsidRDefault="00A43346" w:rsidP="005243E8">
            <w:pPr>
              <w:autoSpaceDE w:val="0"/>
              <w:autoSpaceDN w:val="0"/>
              <w:adjustRightInd w:val="0"/>
              <w:jc w:val="both"/>
              <w:rPr>
                <w:rFonts w:ascii="Times New Roman" w:hAnsi="Times New Roman" w:cs="Times New Roman"/>
                <w:b/>
                <w:sz w:val="24"/>
                <w:szCs w:val="24"/>
              </w:rPr>
            </w:pPr>
          </w:p>
        </w:tc>
      </w:tr>
      <w:tr w:rsidR="006E50F9" w:rsidRPr="00B75558" w:rsidTr="00E17616">
        <w:tc>
          <w:tcPr>
            <w:tcW w:w="2500" w:type="pct"/>
          </w:tcPr>
          <w:p w:rsidR="006E50F9" w:rsidRPr="00B75558" w:rsidRDefault="006E50F9" w:rsidP="007A328A">
            <w:pPr>
              <w:jc w:val="both"/>
              <w:rPr>
                <w:rFonts w:ascii="Times New Roman" w:hAnsi="Times New Roman" w:cs="Times New Roman"/>
                <w:sz w:val="24"/>
                <w:szCs w:val="24"/>
                <w:highlight w:val="yellow"/>
              </w:rPr>
            </w:pPr>
          </w:p>
        </w:tc>
        <w:tc>
          <w:tcPr>
            <w:tcW w:w="2500" w:type="pct"/>
          </w:tcPr>
          <w:p w:rsidR="006E50F9" w:rsidRPr="000D4FF6" w:rsidRDefault="006E50F9" w:rsidP="007A328A">
            <w:pPr>
              <w:autoSpaceDE w:val="0"/>
              <w:autoSpaceDN w:val="0"/>
              <w:adjustRightInd w:val="0"/>
              <w:jc w:val="both"/>
              <w:rPr>
                <w:rFonts w:ascii="Times New Roman" w:hAnsi="Times New Roman" w:cs="Times New Roman"/>
                <w:sz w:val="24"/>
                <w:szCs w:val="24"/>
                <w:highlight w:val="yellow"/>
              </w:rPr>
            </w:pPr>
            <w:r>
              <w:rPr>
                <w:rFonts w:ascii="Times New Roman" w:hAnsi="Times New Roman"/>
                <w:b/>
                <w:sz w:val="24"/>
              </w:rPr>
              <w:t>Článek 8.</w:t>
            </w:r>
            <w:r>
              <w:rPr>
                <w:rFonts w:ascii="Times New Roman" w:hAnsi="Times New Roman"/>
                <w:sz w:val="24"/>
              </w:rPr>
              <w:t xml:space="preserve"> Tento výnos vstupuje v platnost v den jeho zveřejnění v belgickém úředním věstníku [</w:t>
            </w:r>
            <w:proofErr w:type="spellStart"/>
            <w:r>
              <w:rPr>
                <w:rFonts w:ascii="Times New Roman" w:hAnsi="Times New Roman"/>
                <w:sz w:val="24"/>
              </w:rPr>
              <w:t>Belgisch</w:t>
            </w:r>
            <w:proofErr w:type="spellEnd"/>
            <w:r>
              <w:rPr>
                <w:rFonts w:ascii="Times New Roman" w:hAnsi="Times New Roman"/>
                <w:sz w:val="24"/>
              </w:rPr>
              <w:t xml:space="preserve"> </w:t>
            </w:r>
            <w:proofErr w:type="spellStart"/>
            <w:r>
              <w:rPr>
                <w:rFonts w:ascii="Times New Roman" w:hAnsi="Times New Roman"/>
                <w:sz w:val="24"/>
              </w:rPr>
              <w:t>Staatsblad</w:t>
            </w:r>
            <w:proofErr w:type="spellEnd"/>
            <w:r>
              <w:rPr>
                <w:rFonts w:ascii="Times New Roman" w:hAnsi="Times New Roman"/>
                <w:sz w:val="24"/>
              </w:rPr>
              <w:t>].</w:t>
            </w:r>
          </w:p>
        </w:tc>
      </w:tr>
      <w:tr w:rsidR="005243E8" w:rsidRPr="00B75558" w:rsidTr="00E17616">
        <w:tc>
          <w:tcPr>
            <w:tcW w:w="2500" w:type="pct"/>
          </w:tcPr>
          <w:p w:rsidR="005243E8" w:rsidRPr="000D4FF6" w:rsidRDefault="005243E8" w:rsidP="005243E8">
            <w:pPr>
              <w:rPr>
                <w:sz w:val="24"/>
                <w:szCs w:val="24"/>
              </w:rPr>
            </w:pPr>
          </w:p>
        </w:tc>
        <w:tc>
          <w:tcPr>
            <w:tcW w:w="2500" w:type="pct"/>
          </w:tcPr>
          <w:p w:rsidR="005243E8" w:rsidRPr="000D4FF6" w:rsidRDefault="005243E8" w:rsidP="005243E8">
            <w:pPr>
              <w:autoSpaceDE w:val="0"/>
              <w:autoSpaceDN w:val="0"/>
              <w:adjustRightInd w:val="0"/>
              <w:jc w:val="both"/>
              <w:rPr>
                <w:rFonts w:ascii="Times New Roman" w:hAnsi="Times New Roman" w:cs="Times New Roman"/>
                <w:b/>
                <w:sz w:val="24"/>
                <w:szCs w:val="24"/>
              </w:rPr>
            </w:pPr>
          </w:p>
        </w:tc>
      </w:tr>
      <w:tr w:rsidR="00A43346" w:rsidRPr="00B75558" w:rsidTr="00E17616">
        <w:tc>
          <w:tcPr>
            <w:tcW w:w="2500" w:type="pct"/>
          </w:tcPr>
          <w:p w:rsidR="00A43346" w:rsidRPr="000D4FF6" w:rsidRDefault="00A43346" w:rsidP="005243E8">
            <w:pPr>
              <w:rPr>
                <w:sz w:val="24"/>
                <w:szCs w:val="24"/>
              </w:rPr>
            </w:pPr>
          </w:p>
        </w:tc>
        <w:tc>
          <w:tcPr>
            <w:tcW w:w="2500" w:type="pct"/>
          </w:tcPr>
          <w:p w:rsidR="00A43346" w:rsidRPr="000D4FF6" w:rsidRDefault="00A43346" w:rsidP="005243E8">
            <w:pPr>
              <w:autoSpaceDE w:val="0"/>
              <w:autoSpaceDN w:val="0"/>
              <w:adjustRightInd w:val="0"/>
              <w:jc w:val="both"/>
              <w:rPr>
                <w:rFonts w:ascii="Times New Roman" w:hAnsi="Times New Roman" w:cs="Times New Roman"/>
                <w:b/>
                <w:sz w:val="24"/>
                <w:szCs w:val="24"/>
              </w:rPr>
            </w:pPr>
          </w:p>
        </w:tc>
      </w:tr>
      <w:tr w:rsidR="005243E8" w:rsidRPr="00B75558" w:rsidTr="00E17616">
        <w:tc>
          <w:tcPr>
            <w:tcW w:w="2500" w:type="pct"/>
          </w:tcPr>
          <w:p w:rsidR="005243E8" w:rsidRPr="00B75558" w:rsidRDefault="005243E8" w:rsidP="007A328A">
            <w:pPr>
              <w:jc w:val="both"/>
              <w:rPr>
                <w:sz w:val="24"/>
                <w:szCs w:val="24"/>
              </w:rPr>
            </w:pPr>
          </w:p>
        </w:tc>
        <w:tc>
          <w:tcPr>
            <w:tcW w:w="2500" w:type="pct"/>
          </w:tcPr>
          <w:p w:rsidR="005243E8" w:rsidRPr="007A328A" w:rsidRDefault="00802D78" w:rsidP="007A328A">
            <w:pPr>
              <w:autoSpaceDE w:val="0"/>
              <w:autoSpaceDN w:val="0"/>
              <w:adjustRightInd w:val="0"/>
              <w:jc w:val="both"/>
              <w:rPr>
                <w:rFonts w:ascii="Times New Roman" w:hAnsi="Times New Roman" w:cs="Times New Roman"/>
                <w:b/>
                <w:sz w:val="24"/>
                <w:szCs w:val="24"/>
              </w:rPr>
            </w:pPr>
            <w:r>
              <w:rPr>
                <w:rFonts w:ascii="Times New Roman" w:hAnsi="Times New Roman"/>
                <w:b/>
                <w:sz w:val="24"/>
              </w:rPr>
              <w:t>Článek 9.</w:t>
            </w:r>
            <w:r>
              <w:rPr>
                <w:rFonts w:ascii="Times New Roman" w:hAnsi="Times New Roman"/>
                <w:sz w:val="24"/>
              </w:rPr>
              <w:t xml:space="preserve"> Ministr pro veřejné zdraví a ministr pro zemědělství jsou oba ve své oblasti působnosti odpovědní za provádění tohoto výnosu.</w:t>
            </w:r>
          </w:p>
        </w:tc>
      </w:tr>
      <w:tr w:rsidR="005243E8" w:rsidRPr="00B75558" w:rsidTr="00E17616">
        <w:tc>
          <w:tcPr>
            <w:tcW w:w="2500" w:type="pct"/>
          </w:tcPr>
          <w:p w:rsidR="005243E8" w:rsidRPr="007A328A" w:rsidRDefault="005243E8" w:rsidP="005243E8">
            <w:pPr>
              <w:rPr>
                <w:sz w:val="24"/>
                <w:szCs w:val="24"/>
              </w:rPr>
            </w:pPr>
          </w:p>
        </w:tc>
        <w:tc>
          <w:tcPr>
            <w:tcW w:w="2500" w:type="pct"/>
          </w:tcPr>
          <w:p w:rsidR="005243E8" w:rsidRPr="007A328A" w:rsidRDefault="005243E8" w:rsidP="005243E8">
            <w:pPr>
              <w:autoSpaceDE w:val="0"/>
              <w:autoSpaceDN w:val="0"/>
              <w:adjustRightInd w:val="0"/>
              <w:jc w:val="both"/>
              <w:rPr>
                <w:rFonts w:ascii="Times New Roman" w:hAnsi="Times New Roman" w:cs="Times New Roman"/>
                <w:b/>
                <w:sz w:val="24"/>
                <w:szCs w:val="24"/>
              </w:rPr>
            </w:pPr>
          </w:p>
        </w:tc>
      </w:tr>
      <w:tr w:rsidR="0074657B" w:rsidRPr="00B75558" w:rsidTr="00E17616">
        <w:tc>
          <w:tcPr>
            <w:tcW w:w="2500" w:type="pct"/>
          </w:tcPr>
          <w:p w:rsidR="0074657B" w:rsidRPr="007A328A" w:rsidRDefault="0074657B" w:rsidP="005243E8">
            <w:pPr>
              <w:rPr>
                <w:sz w:val="24"/>
                <w:szCs w:val="24"/>
              </w:rPr>
            </w:pPr>
          </w:p>
        </w:tc>
        <w:tc>
          <w:tcPr>
            <w:tcW w:w="2500" w:type="pct"/>
          </w:tcPr>
          <w:p w:rsidR="0074657B" w:rsidRPr="007A328A" w:rsidRDefault="0074657B" w:rsidP="005243E8">
            <w:pPr>
              <w:autoSpaceDE w:val="0"/>
              <w:autoSpaceDN w:val="0"/>
              <w:adjustRightInd w:val="0"/>
              <w:jc w:val="both"/>
              <w:rPr>
                <w:rFonts w:ascii="Times New Roman" w:hAnsi="Times New Roman" w:cs="Times New Roman"/>
                <w:b/>
                <w:sz w:val="24"/>
                <w:szCs w:val="24"/>
              </w:rPr>
            </w:pPr>
          </w:p>
        </w:tc>
      </w:tr>
      <w:tr w:rsidR="00146DA2" w:rsidRPr="007A328A" w:rsidTr="00E17616">
        <w:tc>
          <w:tcPr>
            <w:tcW w:w="2500" w:type="pct"/>
          </w:tcPr>
          <w:p w:rsidR="00146DA2" w:rsidRPr="007A328A" w:rsidRDefault="00146DA2" w:rsidP="00146DA2">
            <w:pPr>
              <w:rPr>
                <w:sz w:val="24"/>
                <w:szCs w:val="24"/>
              </w:rPr>
            </w:pPr>
          </w:p>
        </w:tc>
        <w:tc>
          <w:tcPr>
            <w:tcW w:w="2500" w:type="pct"/>
          </w:tcPr>
          <w:p w:rsidR="00146DA2" w:rsidRPr="007A328A" w:rsidRDefault="00627C66" w:rsidP="00627C66">
            <w:pPr>
              <w:tabs>
                <w:tab w:val="left" w:pos="0"/>
                <w:tab w:val="left" w:pos="32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jc w:val="both"/>
              <w:rPr>
                <w:sz w:val="24"/>
                <w:szCs w:val="24"/>
              </w:rPr>
            </w:pPr>
            <w:r>
              <w:rPr>
                <w:sz w:val="24"/>
              </w:rPr>
              <w:t>……………….., …………………</w:t>
            </w:r>
          </w:p>
        </w:tc>
      </w:tr>
      <w:tr w:rsidR="00146DA2" w:rsidRPr="007A328A" w:rsidTr="00E17616">
        <w:tc>
          <w:tcPr>
            <w:tcW w:w="2500" w:type="pct"/>
          </w:tcPr>
          <w:p w:rsidR="00146DA2" w:rsidRPr="007A328A" w:rsidRDefault="00146DA2" w:rsidP="00627C66">
            <w:pPr>
              <w:rPr>
                <w:sz w:val="24"/>
                <w:szCs w:val="24"/>
              </w:rPr>
            </w:pPr>
          </w:p>
        </w:tc>
        <w:tc>
          <w:tcPr>
            <w:tcW w:w="2500" w:type="pct"/>
          </w:tcPr>
          <w:p w:rsidR="00146DA2" w:rsidRPr="007A328A" w:rsidRDefault="00146DA2" w:rsidP="00146DA2">
            <w:pPr>
              <w:autoSpaceDE w:val="0"/>
              <w:autoSpaceDN w:val="0"/>
              <w:adjustRightInd w:val="0"/>
              <w:jc w:val="both"/>
              <w:rPr>
                <w:rFonts w:ascii="Times New Roman" w:hAnsi="Times New Roman" w:cs="Times New Roman"/>
                <w:b/>
                <w:sz w:val="24"/>
                <w:szCs w:val="24"/>
              </w:rPr>
            </w:pPr>
          </w:p>
        </w:tc>
      </w:tr>
      <w:tr w:rsidR="00146DA2" w:rsidRPr="007A328A" w:rsidTr="00E17616">
        <w:tc>
          <w:tcPr>
            <w:tcW w:w="2500" w:type="pct"/>
          </w:tcPr>
          <w:p w:rsidR="00146DA2" w:rsidRPr="007A328A" w:rsidRDefault="00146DA2" w:rsidP="00146DA2">
            <w:pPr>
              <w:jc w:val="center"/>
              <w:rPr>
                <w:sz w:val="24"/>
                <w:szCs w:val="24"/>
              </w:rPr>
            </w:pPr>
          </w:p>
        </w:tc>
        <w:tc>
          <w:tcPr>
            <w:tcW w:w="2500" w:type="pct"/>
          </w:tcPr>
          <w:p w:rsidR="00146DA2" w:rsidRPr="007A328A" w:rsidRDefault="00146DA2" w:rsidP="00146DA2">
            <w:pPr>
              <w:autoSpaceDE w:val="0"/>
              <w:autoSpaceDN w:val="0"/>
              <w:adjustRightInd w:val="0"/>
              <w:jc w:val="center"/>
              <w:rPr>
                <w:rFonts w:ascii="Times New Roman" w:hAnsi="Times New Roman" w:cs="Times New Roman"/>
                <w:b/>
                <w:sz w:val="24"/>
                <w:szCs w:val="24"/>
              </w:rPr>
            </w:pPr>
            <w:r>
              <w:rPr>
                <w:rFonts w:ascii="Times New Roman" w:hAnsi="Times New Roman"/>
                <w:sz w:val="24"/>
              </w:rPr>
              <w:t>Jménem Jeho Veličenstva:</w:t>
            </w:r>
          </w:p>
        </w:tc>
      </w:tr>
      <w:tr w:rsidR="00146DA2" w:rsidRPr="007A328A" w:rsidTr="00E17616">
        <w:tc>
          <w:tcPr>
            <w:tcW w:w="2500" w:type="pct"/>
          </w:tcPr>
          <w:p w:rsidR="00146DA2" w:rsidRPr="007A328A" w:rsidRDefault="00146DA2" w:rsidP="00146DA2">
            <w:pPr>
              <w:jc w:val="center"/>
              <w:rPr>
                <w:rFonts w:ascii="Times New Roman" w:eastAsia="Times New Roman" w:hAnsi="Times New Roman" w:cs="Times New Roman"/>
                <w:sz w:val="24"/>
                <w:szCs w:val="24"/>
              </w:rPr>
            </w:pPr>
          </w:p>
        </w:tc>
        <w:tc>
          <w:tcPr>
            <w:tcW w:w="2500" w:type="pct"/>
          </w:tcPr>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tc>
      </w:tr>
      <w:tr w:rsidR="00146DA2" w:rsidRPr="007A328A" w:rsidTr="00E17616">
        <w:tc>
          <w:tcPr>
            <w:tcW w:w="2500" w:type="pct"/>
          </w:tcPr>
          <w:p w:rsidR="00146DA2" w:rsidRPr="007A328A" w:rsidRDefault="00146DA2" w:rsidP="00146DA2">
            <w:pPr>
              <w:jc w:val="center"/>
              <w:rPr>
                <w:rFonts w:ascii="Times New Roman" w:eastAsia="Times New Roman" w:hAnsi="Times New Roman" w:cs="Times New Roman"/>
                <w:sz w:val="24"/>
                <w:szCs w:val="24"/>
              </w:rPr>
            </w:pPr>
          </w:p>
        </w:tc>
        <w:tc>
          <w:tcPr>
            <w:tcW w:w="2500" w:type="pct"/>
          </w:tcPr>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r>
              <w:rPr>
                <w:rFonts w:ascii="Times New Roman" w:hAnsi="Times New Roman"/>
                <w:sz w:val="24"/>
              </w:rPr>
              <w:t>ministryně zdravotnictví,</w:t>
            </w:r>
          </w:p>
        </w:tc>
      </w:tr>
      <w:tr w:rsidR="00146DA2" w:rsidRPr="007A328A" w:rsidTr="00E17616">
        <w:tc>
          <w:tcPr>
            <w:tcW w:w="2500" w:type="pct"/>
          </w:tcPr>
          <w:p w:rsidR="00146DA2" w:rsidRPr="007A328A" w:rsidRDefault="00146DA2" w:rsidP="00146DA2">
            <w:pPr>
              <w:jc w:val="center"/>
              <w:rPr>
                <w:rFonts w:ascii="Times New Roman" w:eastAsia="Times New Roman" w:hAnsi="Times New Roman" w:cs="Times New Roman"/>
                <w:sz w:val="24"/>
                <w:szCs w:val="24"/>
              </w:rPr>
            </w:pPr>
          </w:p>
        </w:tc>
        <w:tc>
          <w:tcPr>
            <w:tcW w:w="2500" w:type="pct"/>
          </w:tcPr>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tc>
      </w:tr>
      <w:tr w:rsidR="00146DA2" w:rsidRPr="007A328A" w:rsidTr="00E17616">
        <w:tc>
          <w:tcPr>
            <w:tcW w:w="5000" w:type="pct"/>
            <w:gridSpan w:val="2"/>
          </w:tcPr>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roofErr w:type="spellStart"/>
            <w:r>
              <w:rPr>
                <w:rFonts w:ascii="Times New Roman" w:hAnsi="Times New Roman"/>
                <w:sz w:val="24"/>
              </w:rPr>
              <w:t>Maggie</w:t>
            </w:r>
            <w:proofErr w:type="spellEnd"/>
            <w:r>
              <w:rPr>
                <w:rFonts w:ascii="Times New Roman" w:hAnsi="Times New Roman"/>
                <w:sz w:val="24"/>
              </w:rPr>
              <w:t xml:space="preserve"> DE </w:t>
            </w:r>
            <w:proofErr w:type="spellStart"/>
            <w:r>
              <w:rPr>
                <w:rFonts w:ascii="Times New Roman" w:hAnsi="Times New Roman"/>
                <w:sz w:val="24"/>
              </w:rPr>
              <w:t>BLOCK</w:t>
            </w:r>
            <w:proofErr w:type="spellEnd"/>
          </w:p>
        </w:tc>
      </w:tr>
      <w:tr w:rsidR="00995AC5" w:rsidRPr="007A328A" w:rsidTr="00E17616">
        <w:tc>
          <w:tcPr>
            <w:tcW w:w="5000" w:type="pct"/>
            <w:gridSpan w:val="2"/>
          </w:tcPr>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
        </w:tc>
      </w:tr>
      <w:tr w:rsidR="00146DA2" w:rsidRPr="007A328A" w:rsidTr="00E17616">
        <w:tc>
          <w:tcPr>
            <w:tcW w:w="2500" w:type="pct"/>
          </w:tcPr>
          <w:p w:rsidR="00146DA2" w:rsidRPr="007A328A" w:rsidRDefault="00146DA2" w:rsidP="00146DA2">
            <w:pPr>
              <w:jc w:val="center"/>
              <w:rPr>
                <w:rFonts w:ascii="Times New Roman" w:eastAsia="Times New Roman" w:hAnsi="Times New Roman" w:cs="Times New Roman"/>
                <w:sz w:val="24"/>
                <w:szCs w:val="24"/>
              </w:rPr>
            </w:pPr>
          </w:p>
        </w:tc>
        <w:tc>
          <w:tcPr>
            <w:tcW w:w="2500" w:type="pct"/>
          </w:tcPr>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r>
              <w:rPr>
                <w:rFonts w:ascii="Times New Roman" w:hAnsi="Times New Roman"/>
                <w:sz w:val="24"/>
              </w:rPr>
              <w:t>ministryně zemědělství,</w:t>
            </w:r>
          </w:p>
        </w:tc>
      </w:tr>
      <w:tr w:rsidR="00146DA2" w:rsidRPr="007A328A" w:rsidTr="00E17616">
        <w:tc>
          <w:tcPr>
            <w:tcW w:w="2500" w:type="pct"/>
          </w:tcPr>
          <w:p w:rsidR="00146DA2" w:rsidRPr="007A328A" w:rsidRDefault="00146DA2" w:rsidP="00146DA2">
            <w:pPr>
              <w:jc w:val="center"/>
              <w:rPr>
                <w:rFonts w:ascii="Times New Roman" w:eastAsia="Times New Roman" w:hAnsi="Times New Roman" w:cs="Times New Roman"/>
                <w:sz w:val="24"/>
                <w:szCs w:val="24"/>
              </w:rPr>
            </w:pPr>
          </w:p>
        </w:tc>
        <w:tc>
          <w:tcPr>
            <w:tcW w:w="2500" w:type="pct"/>
          </w:tcPr>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
        </w:tc>
      </w:tr>
      <w:tr w:rsidR="00995AC5" w:rsidRPr="007A328A" w:rsidTr="00E17616">
        <w:tc>
          <w:tcPr>
            <w:tcW w:w="5000" w:type="pct"/>
            <w:gridSpan w:val="2"/>
          </w:tcPr>
          <w:p w:rsidR="00995AC5" w:rsidRPr="007A328A" w:rsidRDefault="00995AC5" w:rsidP="00146DA2">
            <w:pPr>
              <w:autoSpaceDE w:val="0"/>
              <w:autoSpaceDN w:val="0"/>
              <w:adjustRightInd w:val="0"/>
              <w:jc w:val="center"/>
              <w:rPr>
                <w:rFonts w:ascii="Times New Roman" w:eastAsia="Times New Roman" w:hAnsi="Times New Roman" w:cs="Times New Roman"/>
                <w:sz w:val="24"/>
                <w:szCs w:val="24"/>
              </w:rPr>
            </w:pPr>
            <w:proofErr w:type="spellStart"/>
            <w:r>
              <w:rPr>
                <w:rFonts w:ascii="Times New Roman" w:hAnsi="Times New Roman"/>
                <w:sz w:val="24"/>
              </w:rPr>
              <w:t>Willy</w:t>
            </w:r>
            <w:proofErr w:type="spellEnd"/>
            <w:r>
              <w:rPr>
                <w:rFonts w:ascii="Times New Roman" w:hAnsi="Times New Roman"/>
                <w:sz w:val="24"/>
              </w:rPr>
              <w:t xml:space="preserve"> </w:t>
            </w:r>
            <w:proofErr w:type="spellStart"/>
            <w:r>
              <w:rPr>
                <w:rFonts w:ascii="Times New Roman" w:hAnsi="Times New Roman"/>
                <w:sz w:val="24"/>
              </w:rPr>
              <w:t>BORSUS</w:t>
            </w:r>
            <w:proofErr w:type="spellEnd"/>
          </w:p>
        </w:tc>
      </w:tr>
      <w:tr w:rsidR="00146DA2" w:rsidRPr="007A328A" w:rsidTr="00E17616">
        <w:tc>
          <w:tcPr>
            <w:tcW w:w="2500" w:type="pct"/>
          </w:tcPr>
          <w:p w:rsidR="00146DA2" w:rsidRPr="007A328A" w:rsidRDefault="00146DA2" w:rsidP="00146DA2">
            <w:pPr>
              <w:jc w:val="center"/>
              <w:rPr>
                <w:rFonts w:ascii="Times New Roman" w:eastAsia="Times New Roman" w:hAnsi="Times New Roman" w:cs="Times New Roman"/>
                <w:sz w:val="24"/>
                <w:szCs w:val="24"/>
              </w:rPr>
            </w:pPr>
          </w:p>
        </w:tc>
        <w:tc>
          <w:tcPr>
            <w:tcW w:w="2500" w:type="pct"/>
          </w:tcPr>
          <w:p w:rsidR="00146DA2" w:rsidRPr="007A328A" w:rsidRDefault="00146DA2" w:rsidP="00146DA2">
            <w:pPr>
              <w:autoSpaceDE w:val="0"/>
              <w:autoSpaceDN w:val="0"/>
              <w:adjustRightInd w:val="0"/>
              <w:jc w:val="center"/>
              <w:rPr>
                <w:rFonts w:ascii="Times New Roman" w:eastAsia="Times New Roman" w:hAnsi="Times New Roman" w:cs="Times New Roman"/>
                <w:sz w:val="24"/>
                <w:szCs w:val="24"/>
              </w:rPr>
            </w:pPr>
          </w:p>
        </w:tc>
      </w:tr>
    </w:tbl>
    <w:p w:rsidR="00C138A8" w:rsidRPr="007A328A" w:rsidRDefault="00C138A8">
      <w:pPr>
        <w:rPr>
          <w:sz w:val="24"/>
          <w:szCs w:val="24"/>
        </w:rPr>
      </w:pPr>
    </w:p>
    <w:p w:rsidR="00995AC5" w:rsidRPr="007A328A" w:rsidRDefault="00995AC5">
      <w:pPr>
        <w:rPr>
          <w:sz w:val="24"/>
          <w:szCs w:val="24"/>
        </w:rPr>
      </w:pPr>
    </w:p>
    <w:p w:rsidR="00995AC5" w:rsidRPr="007A328A" w:rsidRDefault="00995AC5">
      <w:pPr>
        <w:rPr>
          <w:sz w:val="24"/>
          <w:szCs w:val="24"/>
        </w:rPr>
      </w:pPr>
    </w:p>
    <w:p w:rsidR="00995AC5" w:rsidRPr="007A328A" w:rsidRDefault="00995AC5">
      <w:pPr>
        <w:rPr>
          <w:sz w:val="24"/>
          <w:szCs w:val="24"/>
        </w:rPr>
      </w:pPr>
    </w:p>
    <w:p w:rsidR="00995AC5" w:rsidRPr="007A328A" w:rsidRDefault="00995AC5">
      <w:pPr>
        <w:rPr>
          <w:sz w:val="24"/>
          <w:szCs w:val="24"/>
        </w:rPr>
      </w:pPr>
    </w:p>
    <w:p w:rsidR="002700E8" w:rsidRPr="007A328A" w:rsidRDefault="00C138A8" w:rsidP="008C1F33">
      <w:pPr>
        <w:spacing w:after="0" w:line="240" w:lineRule="auto"/>
        <w:jc w:val="both"/>
        <w:rPr>
          <w:rFonts w:ascii="Times New Roman" w:eastAsia="Times New Roman" w:hAnsi="Times New Roman" w:cs="Times New Roman"/>
          <w:sz w:val="24"/>
          <w:szCs w:val="24"/>
        </w:rPr>
      </w:pPr>
      <w:r>
        <w:rPr>
          <w:rFonts w:ascii="Times New Roman" w:hAnsi="Times New Roman"/>
          <w:sz w:val="24"/>
        </w:rPr>
        <w:t>Příloha ke královskému výnosu ze dne XXX, kterým se mění královský výnos ze dne 21. července 2016 o podmínkách pro užívání léčiv veterináři nebo osobami odpovědnými za zvířata</w:t>
      </w:r>
    </w:p>
    <w:p w:rsidR="002700E8" w:rsidRPr="007A328A" w:rsidRDefault="002700E8" w:rsidP="008C1F33">
      <w:pPr>
        <w:spacing w:after="0" w:line="240" w:lineRule="auto"/>
        <w:jc w:val="both"/>
        <w:rPr>
          <w:rFonts w:ascii="Times New Roman" w:eastAsia="Times New Roman" w:hAnsi="Times New Roman" w:cs="Times New Roman"/>
          <w:sz w:val="24"/>
          <w:szCs w:val="24"/>
        </w:rPr>
      </w:pPr>
    </w:p>
    <w:p w:rsidR="008C1F33" w:rsidRDefault="008C1F33" w:rsidP="00627C66">
      <w:pPr>
        <w:keepNext/>
        <w:keepLines/>
        <w:suppressAutoHyphens/>
        <w:spacing w:after="0" w:line="240" w:lineRule="auto"/>
        <w:rPr>
          <w:rFonts w:ascii="Times New Roman" w:eastAsia="SimSun" w:hAnsi="Times New Roman" w:cs="Times New Roman"/>
          <w:sz w:val="24"/>
          <w:szCs w:val="24"/>
        </w:rPr>
      </w:pPr>
      <w:r>
        <w:rPr>
          <w:rFonts w:ascii="Times New Roman" w:hAnsi="Times New Roman"/>
          <w:sz w:val="24"/>
        </w:rPr>
        <w:t>„Příloha č. 4.</w:t>
      </w:r>
    </w:p>
    <w:p w:rsidR="008C1F33" w:rsidRDefault="008C1F33" w:rsidP="00627C66">
      <w:pPr>
        <w:keepNext/>
        <w:keepLines/>
        <w:suppressAutoHyphens/>
        <w:spacing w:after="0" w:line="240" w:lineRule="auto"/>
        <w:rPr>
          <w:rFonts w:ascii="Times New Roman" w:eastAsia="SimSun" w:hAnsi="Times New Roman" w:cs="Times New Roman"/>
          <w:sz w:val="24"/>
          <w:szCs w:val="24"/>
        </w:rPr>
      </w:pPr>
    </w:p>
    <w:p w:rsidR="002700E8" w:rsidRPr="007A328A" w:rsidRDefault="002700E8" w:rsidP="00627C66">
      <w:pPr>
        <w:keepNext/>
        <w:keepLines/>
        <w:suppressAutoHyphens/>
        <w:spacing w:after="0" w:line="240" w:lineRule="auto"/>
        <w:jc w:val="both"/>
        <w:rPr>
          <w:rFonts w:ascii="Times New Roman" w:eastAsia="SimSun" w:hAnsi="Times New Roman" w:cs="Times New Roman"/>
          <w:sz w:val="24"/>
          <w:szCs w:val="24"/>
        </w:rPr>
      </w:pPr>
      <w:r>
        <w:rPr>
          <w:rFonts w:ascii="Times New Roman" w:hAnsi="Times New Roman"/>
          <w:sz w:val="24"/>
        </w:rPr>
        <w:t>Kriticky důležitá antibiotika jsou taková antibiotika, která náleží do níže uvedených tříd antibiotik:</w:t>
      </w:r>
    </w:p>
    <w:p w:rsidR="002700E8" w:rsidRPr="007A328A" w:rsidRDefault="002700E8" w:rsidP="00627C66">
      <w:pPr>
        <w:keepNext/>
        <w:keepLines/>
        <w:suppressAutoHyphens/>
        <w:spacing w:after="0" w:line="240" w:lineRule="auto"/>
        <w:jc w:val="center"/>
        <w:rPr>
          <w:rFonts w:ascii="Times New Roman" w:eastAsia="SimSun" w:hAnsi="Times New Roman" w:cs="Times New Roman"/>
          <w:sz w:val="24"/>
          <w:szCs w:val="24"/>
        </w:rPr>
      </w:pPr>
    </w:p>
    <w:tbl>
      <w:tblPr>
        <w:tblW w:w="5000" w:type="pct"/>
        <w:tblLook w:val="04A0" w:firstRow="1" w:lastRow="0" w:firstColumn="1" w:lastColumn="0" w:noHBand="0" w:noVBand="1"/>
      </w:tblPr>
      <w:tblGrid>
        <w:gridCol w:w="617"/>
        <w:gridCol w:w="8455"/>
      </w:tblGrid>
      <w:tr w:rsidR="002700E8" w:rsidRPr="00B75558" w:rsidTr="00627C66">
        <w:trPr>
          <w:cantSplit/>
        </w:trPr>
        <w:tc>
          <w:tcPr>
            <w:tcW w:w="340" w:type="pct"/>
          </w:tcPr>
          <w:p w:rsidR="002700E8" w:rsidRPr="007A328A" w:rsidRDefault="002700E8" w:rsidP="002700E8">
            <w:pPr>
              <w:numPr>
                <w:ilvl w:val="0"/>
                <w:numId w:val="2"/>
              </w:numPr>
              <w:suppressAutoHyphens/>
              <w:spacing w:after="0" w:line="240" w:lineRule="auto"/>
              <w:jc w:val="center"/>
              <w:rPr>
                <w:rFonts w:ascii="Times New Roman" w:eastAsia="SimSun" w:hAnsi="Times New Roman" w:cs="Times New Roman"/>
                <w:sz w:val="24"/>
                <w:szCs w:val="24"/>
              </w:rPr>
            </w:pPr>
          </w:p>
        </w:tc>
        <w:tc>
          <w:tcPr>
            <w:tcW w:w="4660" w:type="pct"/>
            <w:vAlign w:val="center"/>
          </w:tcPr>
          <w:p w:rsidR="002700E8" w:rsidRPr="007A328A" w:rsidRDefault="002700E8" w:rsidP="002700E8">
            <w:pPr>
              <w:suppressAutoHyphens/>
              <w:spacing w:after="0" w:line="240" w:lineRule="auto"/>
              <w:rPr>
                <w:rFonts w:ascii="Times New Roman" w:eastAsia="SimSun" w:hAnsi="Times New Roman" w:cs="Times New Roman"/>
                <w:sz w:val="24"/>
                <w:szCs w:val="24"/>
              </w:rPr>
            </w:pPr>
            <w:r>
              <w:rPr>
                <w:rFonts w:ascii="Times New Roman" w:hAnsi="Times New Roman"/>
                <w:sz w:val="24"/>
              </w:rPr>
              <w:t>Cefalosporiny třetí generace;</w:t>
            </w:r>
          </w:p>
          <w:p w:rsidR="002700E8" w:rsidRPr="007A328A" w:rsidRDefault="002700E8" w:rsidP="002700E8">
            <w:pPr>
              <w:suppressAutoHyphens/>
              <w:spacing w:after="0" w:line="240" w:lineRule="auto"/>
              <w:rPr>
                <w:rFonts w:ascii="Times New Roman" w:eastAsia="SimSun" w:hAnsi="Times New Roman" w:cs="Times New Roman"/>
                <w:sz w:val="24"/>
                <w:szCs w:val="24"/>
              </w:rPr>
            </w:pPr>
          </w:p>
        </w:tc>
      </w:tr>
      <w:tr w:rsidR="002700E8" w:rsidRPr="00B75558" w:rsidTr="00627C66">
        <w:trPr>
          <w:cantSplit/>
        </w:trPr>
        <w:tc>
          <w:tcPr>
            <w:tcW w:w="340" w:type="pct"/>
          </w:tcPr>
          <w:p w:rsidR="002700E8" w:rsidRPr="007A328A" w:rsidRDefault="002700E8" w:rsidP="002700E8">
            <w:pPr>
              <w:numPr>
                <w:ilvl w:val="0"/>
                <w:numId w:val="2"/>
              </w:numPr>
              <w:suppressAutoHyphens/>
              <w:spacing w:after="0" w:line="240" w:lineRule="auto"/>
              <w:jc w:val="center"/>
              <w:rPr>
                <w:rFonts w:ascii="Times New Roman" w:eastAsia="SimSun" w:hAnsi="Times New Roman" w:cs="Times New Roman"/>
                <w:sz w:val="24"/>
                <w:szCs w:val="24"/>
              </w:rPr>
            </w:pPr>
          </w:p>
        </w:tc>
        <w:tc>
          <w:tcPr>
            <w:tcW w:w="4660" w:type="pct"/>
          </w:tcPr>
          <w:p w:rsidR="002700E8" w:rsidRPr="007A328A" w:rsidRDefault="002700E8" w:rsidP="002700E8">
            <w:pPr>
              <w:suppressAutoHyphens/>
              <w:spacing w:after="0" w:line="240" w:lineRule="auto"/>
              <w:rPr>
                <w:rFonts w:ascii="Times New Roman" w:eastAsia="SimSun" w:hAnsi="Times New Roman" w:cs="Times New Roman"/>
                <w:sz w:val="24"/>
                <w:szCs w:val="24"/>
              </w:rPr>
            </w:pPr>
            <w:r>
              <w:rPr>
                <w:rFonts w:ascii="Times New Roman" w:hAnsi="Times New Roman"/>
                <w:sz w:val="24"/>
              </w:rPr>
              <w:t>Cefalosporiny čtvrté generace;</w:t>
            </w:r>
          </w:p>
          <w:p w:rsidR="002700E8" w:rsidRPr="007A328A" w:rsidRDefault="002700E8" w:rsidP="002700E8">
            <w:pPr>
              <w:suppressAutoHyphens/>
              <w:spacing w:after="0" w:line="240" w:lineRule="auto"/>
              <w:rPr>
                <w:rFonts w:ascii="Times New Roman" w:eastAsia="SimSun" w:hAnsi="Times New Roman" w:cs="Times New Roman"/>
                <w:sz w:val="24"/>
                <w:szCs w:val="24"/>
              </w:rPr>
            </w:pPr>
          </w:p>
        </w:tc>
      </w:tr>
      <w:tr w:rsidR="002700E8" w:rsidRPr="00B75558" w:rsidTr="00627C66">
        <w:trPr>
          <w:cantSplit/>
        </w:trPr>
        <w:tc>
          <w:tcPr>
            <w:tcW w:w="340" w:type="pct"/>
          </w:tcPr>
          <w:p w:rsidR="002700E8" w:rsidRPr="007A328A" w:rsidRDefault="002700E8" w:rsidP="002700E8">
            <w:pPr>
              <w:numPr>
                <w:ilvl w:val="0"/>
                <w:numId w:val="2"/>
              </w:numPr>
              <w:suppressAutoHyphens/>
              <w:spacing w:after="0" w:line="240" w:lineRule="auto"/>
              <w:jc w:val="center"/>
              <w:rPr>
                <w:rFonts w:ascii="Times New Roman" w:eastAsia="SimSun" w:hAnsi="Times New Roman" w:cs="Times New Roman"/>
                <w:sz w:val="24"/>
                <w:szCs w:val="24"/>
              </w:rPr>
            </w:pPr>
          </w:p>
        </w:tc>
        <w:tc>
          <w:tcPr>
            <w:tcW w:w="4660" w:type="pct"/>
            <w:vAlign w:val="center"/>
          </w:tcPr>
          <w:p w:rsidR="002700E8" w:rsidRPr="007A328A" w:rsidRDefault="002700E8" w:rsidP="002700E8">
            <w:pPr>
              <w:suppressAutoHyphens/>
              <w:spacing w:after="0" w:line="240" w:lineRule="auto"/>
              <w:rPr>
                <w:rFonts w:ascii="Times New Roman" w:eastAsia="SimSun" w:hAnsi="Times New Roman" w:cs="Times New Roman"/>
                <w:sz w:val="24"/>
                <w:szCs w:val="24"/>
              </w:rPr>
            </w:pPr>
            <w:proofErr w:type="spellStart"/>
            <w:r>
              <w:rPr>
                <w:rFonts w:ascii="Times New Roman" w:hAnsi="Times New Roman"/>
                <w:sz w:val="24"/>
              </w:rPr>
              <w:t>Fluorochinolony</w:t>
            </w:r>
            <w:proofErr w:type="spellEnd"/>
            <w:r>
              <w:rPr>
                <w:rFonts w:ascii="Times New Roman" w:hAnsi="Times New Roman"/>
                <w:sz w:val="24"/>
              </w:rPr>
              <w:t xml:space="preserve"> první generace;</w:t>
            </w:r>
          </w:p>
          <w:p w:rsidR="002700E8" w:rsidRPr="007A328A" w:rsidRDefault="002700E8" w:rsidP="002700E8">
            <w:pPr>
              <w:suppressAutoHyphens/>
              <w:spacing w:after="0" w:line="240" w:lineRule="auto"/>
              <w:rPr>
                <w:rFonts w:ascii="Times New Roman" w:eastAsia="SimSun" w:hAnsi="Times New Roman" w:cs="Times New Roman"/>
                <w:sz w:val="24"/>
                <w:szCs w:val="24"/>
              </w:rPr>
            </w:pPr>
          </w:p>
        </w:tc>
      </w:tr>
      <w:tr w:rsidR="002700E8" w:rsidRPr="00B75558" w:rsidTr="00627C66">
        <w:trPr>
          <w:cantSplit/>
        </w:trPr>
        <w:tc>
          <w:tcPr>
            <w:tcW w:w="340" w:type="pct"/>
          </w:tcPr>
          <w:p w:rsidR="002700E8" w:rsidRPr="007A328A" w:rsidRDefault="002700E8" w:rsidP="002700E8">
            <w:pPr>
              <w:numPr>
                <w:ilvl w:val="0"/>
                <w:numId w:val="2"/>
              </w:numPr>
              <w:suppressAutoHyphens/>
              <w:spacing w:after="0" w:line="240" w:lineRule="auto"/>
              <w:jc w:val="center"/>
              <w:rPr>
                <w:rFonts w:ascii="Times New Roman" w:eastAsia="SimSun" w:hAnsi="Times New Roman" w:cs="Times New Roman"/>
                <w:sz w:val="24"/>
                <w:szCs w:val="24"/>
              </w:rPr>
            </w:pPr>
          </w:p>
        </w:tc>
        <w:tc>
          <w:tcPr>
            <w:tcW w:w="4660" w:type="pct"/>
            <w:vAlign w:val="center"/>
          </w:tcPr>
          <w:p w:rsidR="002700E8" w:rsidRPr="007A328A" w:rsidRDefault="002700E8" w:rsidP="002700E8">
            <w:pPr>
              <w:suppressAutoHyphens/>
              <w:spacing w:after="0" w:line="240" w:lineRule="auto"/>
              <w:rPr>
                <w:rFonts w:ascii="Times New Roman" w:eastAsia="SimSun" w:hAnsi="Times New Roman" w:cs="Times New Roman"/>
                <w:sz w:val="24"/>
                <w:szCs w:val="24"/>
              </w:rPr>
            </w:pPr>
            <w:proofErr w:type="spellStart"/>
            <w:r>
              <w:rPr>
                <w:rFonts w:ascii="Times New Roman" w:hAnsi="Times New Roman"/>
                <w:sz w:val="24"/>
              </w:rPr>
              <w:t>Fluorochinolony</w:t>
            </w:r>
            <w:proofErr w:type="spellEnd"/>
            <w:r>
              <w:rPr>
                <w:rFonts w:ascii="Times New Roman" w:hAnsi="Times New Roman"/>
                <w:sz w:val="24"/>
              </w:rPr>
              <w:t xml:space="preserve"> druhé generace“; </w:t>
            </w:r>
          </w:p>
          <w:p w:rsidR="002700E8" w:rsidRPr="007A328A" w:rsidRDefault="002700E8" w:rsidP="002700E8">
            <w:pPr>
              <w:suppressAutoHyphens/>
              <w:spacing w:after="0" w:line="240" w:lineRule="auto"/>
              <w:rPr>
                <w:rFonts w:ascii="Times New Roman" w:eastAsia="SimSun" w:hAnsi="Times New Roman" w:cs="Times New Roman"/>
                <w:sz w:val="24"/>
                <w:szCs w:val="24"/>
              </w:rPr>
            </w:pPr>
          </w:p>
        </w:tc>
      </w:tr>
      <w:tr w:rsidR="002700E8" w:rsidRPr="00B75558" w:rsidTr="00627C66">
        <w:trPr>
          <w:cantSplit/>
        </w:trPr>
        <w:tc>
          <w:tcPr>
            <w:tcW w:w="340" w:type="pct"/>
          </w:tcPr>
          <w:p w:rsidR="002700E8" w:rsidRPr="007A328A" w:rsidRDefault="002700E8" w:rsidP="002700E8">
            <w:pPr>
              <w:numPr>
                <w:ilvl w:val="0"/>
                <w:numId w:val="2"/>
              </w:numPr>
              <w:suppressAutoHyphens/>
              <w:spacing w:after="0" w:line="240" w:lineRule="auto"/>
              <w:jc w:val="center"/>
              <w:rPr>
                <w:rFonts w:ascii="Times New Roman" w:eastAsia="SimSun" w:hAnsi="Times New Roman" w:cs="Times New Roman"/>
                <w:sz w:val="24"/>
                <w:szCs w:val="24"/>
              </w:rPr>
            </w:pPr>
          </w:p>
        </w:tc>
        <w:tc>
          <w:tcPr>
            <w:tcW w:w="4660" w:type="pct"/>
          </w:tcPr>
          <w:p w:rsidR="002700E8" w:rsidRPr="007A328A" w:rsidRDefault="002700E8" w:rsidP="002700E8">
            <w:pPr>
              <w:suppressAutoHyphens/>
              <w:spacing w:after="0" w:line="240" w:lineRule="auto"/>
              <w:rPr>
                <w:rFonts w:ascii="Times New Roman" w:eastAsia="SimSun" w:hAnsi="Times New Roman" w:cs="Times New Roman"/>
                <w:bCs/>
                <w:sz w:val="24"/>
                <w:szCs w:val="24"/>
              </w:rPr>
            </w:pPr>
            <w:proofErr w:type="spellStart"/>
            <w:r>
              <w:rPr>
                <w:rFonts w:ascii="Times New Roman" w:hAnsi="Times New Roman"/>
                <w:sz w:val="24"/>
              </w:rPr>
              <w:t>Fluorochinolony</w:t>
            </w:r>
            <w:proofErr w:type="spellEnd"/>
            <w:r>
              <w:rPr>
                <w:rFonts w:ascii="Times New Roman" w:hAnsi="Times New Roman"/>
                <w:sz w:val="24"/>
              </w:rPr>
              <w:t xml:space="preserve"> třetí generace.“</w:t>
            </w:r>
          </w:p>
          <w:p w:rsidR="002700E8" w:rsidRPr="007A328A" w:rsidRDefault="002700E8" w:rsidP="002700E8">
            <w:pPr>
              <w:suppressAutoHyphens/>
              <w:spacing w:after="0" w:line="240" w:lineRule="auto"/>
              <w:rPr>
                <w:rFonts w:ascii="Times New Roman" w:eastAsia="SimSun" w:hAnsi="Times New Roman" w:cs="Times New Roman"/>
                <w:sz w:val="24"/>
                <w:szCs w:val="24"/>
              </w:rPr>
            </w:pPr>
          </w:p>
        </w:tc>
      </w:tr>
    </w:tbl>
    <w:p w:rsidR="002700E8" w:rsidRPr="007A328A" w:rsidRDefault="002700E8" w:rsidP="002700E8">
      <w:pPr>
        <w:suppressAutoHyphens/>
        <w:spacing w:after="0" w:line="240" w:lineRule="auto"/>
        <w:jc w:val="center"/>
        <w:rPr>
          <w:rFonts w:ascii="Times New Roman" w:eastAsia="SimSun" w:hAnsi="Times New Roman" w:cs="Times New Roman"/>
          <w:sz w:val="24"/>
          <w:szCs w:val="24"/>
        </w:rPr>
      </w:pPr>
    </w:p>
    <w:p w:rsidR="002700E8" w:rsidRPr="007A328A" w:rsidRDefault="002700E8" w:rsidP="002700E8">
      <w:pPr>
        <w:suppressAutoHyphens/>
        <w:spacing w:after="0" w:line="240" w:lineRule="auto"/>
        <w:jc w:val="center"/>
        <w:rPr>
          <w:rFonts w:ascii="Times New Roman" w:eastAsia="SimSun" w:hAnsi="Times New Roman" w:cs="Times New Roman"/>
          <w:sz w:val="24"/>
          <w:szCs w:val="24"/>
        </w:rPr>
      </w:pPr>
    </w:p>
    <w:p w:rsidR="002700E8" w:rsidRPr="007A328A" w:rsidRDefault="002700E8" w:rsidP="008C1F33">
      <w:pPr>
        <w:suppressAutoHyphens/>
        <w:spacing w:after="0" w:line="240" w:lineRule="auto"/>
        <w:jc w:val="both"/>
        <w:rPr>
          <w:rFonts w:ascii="Times New Roman" w:eastAsia="SimSun" w:hAnsi="Times New Roman" w:cs="Times New Roman"/>
          <w:sz w:val="24"/>
          <w:szCs w:val="24"/>
        </w:rPr>
      </w:pPr>
      <w:r>
        <w:rPr>
          <w:rFonts w:ascii="Times New Roman" w:hAnsi="Times New Roman"/>
          <w:sz w:val="24"/>
        </w:rPr>
        <w:t>Schváleno jako příloha k našemu královskému výnosu ze dne XXX, kterým se mění královský výnos ze dne 21. července 2016 o podmínkách pro užívání léčiv veterináři nebo osobami odpovědnými za zvířata.</w:t>
      </w:r>
    </w:p>
    <w:p w:rsidR="002700E8" w:rsidRPr="007A328A" w:rsidRDefault="002700E8">
      <w:pPr>
        <w:rPr>
          <w:sz w:val="24"/>
          <w:szCs w:val="24"/>
        </w:rPr>
      </w:pPr>
    </w:p>
    <w:tbl>
      <w:tblPr>
        <w:tblStyle w:val="TableGridLight"/>
        <w:tblW w:w="5000" w:type="pct"/>
        <w:tblLook w:val="04A0" w:firstRow="1" w:lastRow="0" w:firstColumn="1" w:lastColumn="0" w:noHBand="0" w:noVBand="1"/>
      </w:tblPr>
      <w:tblGrid>
        <w:gridCol w:w="4531"/>
        <w:gridCol w:w="4531"/>
      </w:tblGrid>
      <w:tr w:rsidR="002700E8" w:rsidRPr="007A328A" w:rsidTr="00627C66">
        <w:trPr>
          <w:cantSplit/>
        </w:trPr>
        <w:tc>
          <w:tcPr>
            <w:tcW w:w="5000" w:type="pct"/>
            <w:gridSpan w:val="2"/>
          </w:tcPr>
          <w:p w:rsidR="002700E8" w:rsidRPr="007A328A" w:rsidRDefault="002700E8" w:rsidP="002700E8">
            <w:pPr>
              <w:jc w:val="center"/>
              <w:rPr>
                <w:rFonts w:ascii="Times New Roman" w:eastAsia="Times New Roman" w:hAnsi="Times New Roman" w:cs="Times New Roman"/>
                <w:sz w:val="24"/>
                <w:szCs w:val="24"/>
              </w:rPr>
            </w:pPr>
            <w:r>
              <w:rPr>
                <w:rFonts w:ascii="Times New Roman" w:hAnsi="Times New Roman"/>
                <w:sz w:val="24"/>
              </w:rPr>
              <w:t xml:space="preserve">Jménem Jeho Veličenstva: </w:t>
            </w:r>
          </w:p>
        </w:tc>
      </w:tr>
      <w:tr w:rsidR="002700E8" w:rsidRPr="007A328A" w:rsidTr="00627C66">
        <w:trPr>
          <w:cantSplit/>
        </w:trPr>
        <w:tc>
          <w:tcPr>
            <w:tcW w:w="2500" w:type="pct"/>
          </w:tcPr>
          <w:p w:rsidR="002700E8" w:rsidRPr="007A328A" w:rsidRDefault="002700E8" w:rsidP="00C138A8">
            <w:pPr>
              <w:rPr>
                <w:sz w:val="24"/>
                <w:szCs w:val="24"/>
              </w:rPr>
            </w:pPr>
          </w:p>
        </w:tc>
        <w:tc>
          <w:tcPr>
            <w:tcW w:w="2500" w:type="pct"/>
          </w:tcPr>
          <w:p w:rsidR="002700E8" w:rsidRPr="007A328A" w:rsidRDefault="002700E8" w:rsidP="00C138A8">
            <w:pPr>
              <w:rPr>
                <w:sz w:val="24"/>
                <w:szCs w:val="24"/>
              </w:rPr>
            </w:pPr>
          </w:p>
        </w:tc>
      </w:tr>
      <w:tr w:rsidR="002700E8" w:rsidRPr="007A328A" w:rsidTr="00627C66">
        <w:trPr>
          <w:cantSplit/>
        </w:trPr>
        <w:tc>
          <w:tcPr>
            <w:tcW w:w="5000" w:type="pct"/>
            <w:gridSpan w:val="2"/>
          </w:tcPr>
          <w:p w:rsidR="002700E8" w:rsidRPr="007A328A" w:rsidRDefault="002700E8" w:rsidP="002700E8">
            <w:pPr>
              <w:jc w:val="center"/>
              <w:rPr>
                <w:rFonts w:ascii="Times New Roman" w:eastAsia="Times New Roman" w:hAnsi="Times New Roman" w:cs="Times New Roman"/>
                <w:sz w:val="24"/>
                <w:szCs w:val="24"/>
              </w:rPr>
            </w:pPr>
            <w:r>
              <w:rPr>
                <w:rFonts w:ascii="Times New Roman" w:hAnsi="Times New Roman"/>
                <w:sz w:val="24"/>
              </w:rPr>
              <w:t>ministryně zdravotnictví,</w:t>
            </w:r>
          </w:p>
        </w:tc>
      </w:tr>
      <w:tr w:rsidR="008C1F33" w:rsidRPr="007A328A" w:rsidTr="00627C66">
        <w:trPr>
          <w:cantSplit/>
        </w:trPr>
        <w:tc>
          <w:tcPr>
            <w:tcW w:w="5000" w:type="pct"/>
            <w:gridSpan w:val="2"/>
          </w:tcPr>
          <w:p w:rsidR="008C1F33" w:rsidRPr="007A328A" w:rsidRDefault="008C1F33" w:rsidP="00C138A8">
            <w:pPr>
              <w:rPr>
                <w:sz w:val="24"/>
                <w:szCs w:val="24"/>
              </w:rPr>
            </w:pPr>
          </w:p>
        </w:tc>
      </w:tr>
      <w:tr w:rsidR="002700E8" w:rsidRPr="007A328A" w:rsidTr="00627C66">
        <w:trPr>
          <w:cantSplit/>
        </w:trPr>
        <w:tc>
          <w:tcPr>
            <w:tcW w:w="5000" w:type="pct"/>
            <w:gridSpan w:val="2"/>
          </w:tcPr>
          <w:p w:rsidR="002700E8" w:rsidRPr="007A328A" w:rsidRDefault="002700E8" w:rsidP="00C138A8">
            <w:pPr>
              <w:jc w:val="center"/>
              <w:rPr>
                <w:rFonts w:ascii="Times New Roman" w:eastAsia="Times New Roman" w:hAnsi="Times New Roman" w:cs="Times New Roman"/>
                <w:sz w:val="24"/>
                <w:szCs w:val="24"/>
              </w:rPr>
            </w:pPr>
            <w:proofErr w:type="spellStart"/>
            <w:r>
              <w:rPr>
                <w:rFonts w:ascii="Times New Roman" w:hAnsi="Times New Roman"/>
                <w:sz w:val="24"/>
              </w:rPr>
              <w:t>Maggie</w:t>
            </w:r>
            <w:proofErr w:type="spellEnd"/>
            <w:r>
              <w:rPr>
                <w:rFonts w:ascii="Times New Roman" w:hAnsi="Times New Roman"/>
                <w:sz w:val="24"/>
              </w:rPr>
              <w:t xml:space="preserve"> DE </w:t>
            </w:r>
            <w:proofErr w:type="spellStart"/>
            <w:r>
              <w:rPr>
                <w:rFonts w:ascii="Times New Roman" w:hAnsi="Times New Roman"/>
                <w:sz w:val="24"/>
              </w:rPr>
              <w:t>BLOCK</w:t>
            </w:r>
            <w:proofErr w:type="spellEnd"/>
          </w:p>
        </w:tc>
      </w:tr>
      <w:tr w:rsidR="002700E8" w:rsidRPr="007A328A" w:rsidTr="00627C66">
        <w:trPr>
          <w:cantSplit/>
        </w:trPr>
        <w:tc>
          <w:tcPr>
            <w:tcW w:w="2500" w:type="pct"/>
          </w:tcPr>
          <w:p w:rsidR="002700E8" w:rsidRPr="007A328A" w:rsidRDefault="002700E8" w:rsidP="00C138A8">
            <w:pPr>
              <w:rPr>
                <w:sz w:val="24"/>
                <w:szCs w:val="24"/>
              </w:rPr>
            </w:pPr>
          </w:p>
        </w:tc>
        <w:tc>
          <w:tcPr>
            <w:tcW w:w="2500" w:type="pct"/>
          </w:tcPr>
          <w:p w:rsidR="002700E8" w:rsidRPr="007A328A" w:rsidRDefault="002700E8" w:rsidP="00C138A8">
            <w:pPr>
              <w:rPr>
                <w:sz w:val="24"/>
                <w:szCs w:val="24"/>
              </w:rPr>
            </w:pPr>
          </w:p>
        </w:tc>
      </w:tr>
      <w:tr w:rsidR="002700E8" w:rsidRPr="007A328A" w:rsidTr="00627C66">
        <w:trPr>
          <w:cantSplit/>
        </w:trPr>
        <w:tc>
          <w:tcPr>
            <w:tcW w:w="5000" w:type="pct"/>
            <w:gridSpan w:val="2"/>
          </w:tcPr>
          <w:p w:rsidR="002700E8" w:rsidRPr="007A328A" w:rsidRDefault="002700E8" w:rsidP="002700E8">
            <w:pPr>
              <w:jc w:val="center"/>
              <w:rPr>
                <w:rFonts w:ascii="Times New Roman" w:eastAsia="Times New Roman" w:hAnsi="Times New Roman" w:cs="Times New Roman"/>
                <w:sz w:val="24"/>
                <w:szCs w:val="24"/>
              </w:rPr>
            </w:pPr>
            <w:r>
              <w:rPr>
                <w:rFonts w:ascii="Times New Roman" w:hAnsi="Times New Roman"/>
                <w:sz w:val="24"/>
              </w:rPr>
              <w:t>ministr zemědělství,</w:t>
            </w:r>
          </w:p>
        </w:tc>
      </w:tr>
      <w:tr w:rsidR="008C1F33" w:rsidRPr="007A328A" w:rsidTr="00627C66">
        <w:trPr>
          <w:cantSplit/>
        </w:trPr>
        <w:tc>
          <w:tcPr>
            <w:tcW w:w="5000" w:type="pct"/>
            <w:gridSpan w:val="2"/>
          </w:tcPr>
          <w:p w:rsidR="008C1F33" w:rsidRPr="007A328A" w:rsidRDefault="008C1F33" w:rsidP="00C138A8">
            <w:pPr>
              <w:rPr>
                <w:sz w:val="24"/>
                <w:szCs w:val="24"/>
              </w:rPr>
            </w:pPr>
          </w:p>
        </w:tc>
      </w:tr>
      <w:tr w:rsidR="002700E8" w:rsidRPr="007A328A" w:rsidTr="00627C66">
        <w:trPr>
          <w:cantSplit/>
        </w:trPr>
        <w:tc>
          <w:tcPr>
            <w:tcW w:w="5000" w:type="pct"/>
            <w:gridSpan w:val="2"/>
          </w:tcPr>
          <w:p w:rsidR="002700E8" w:rsidRPr="007A328A" w:rsidRDefault="000A3AED" w:rsidP="00C138A8">
            <w:pPr>
              <w:jc w:val="center"/>
              <w:rPr>
                <w:rFonts w:ascii="Times New Roman" w:eastAsia="Times New Roman" w:hAnsi="Times New Roman" w:cs="Times New Roman"/>
                <w:sz w:val="24"/>
                <w:szCs w:val="24"/>
              </w:rPr>
            </w:pPr>
            <w:r>
              <w:rPr>
                <w:rFonts w:ascii="Times New Roman" w:hAnsi="Times New Roman"/>
                <w:sz w:val="24"/>
              </w:rPr>
              <w:t xml:space="preserve">Denis </w:t>
            </w:r>
            <w:proofErr w:type="spellStart"/>
            <w:r>
              <w:rPr>
                <w:rFonts w:ascii="Times New Roman" w:hAnsi="Times New Roman"/>
                <w:sz w:val="24"/>
              </w:rPr>
              <w:t>DUCARME</w:t>
            </w:r>
            <w:proofErr w:type="spellEnd"/>
          </w:p>
        </w:tc>
      </w:tr>
    </w:tbl>
    <w:p w:rsidR="002700E8" w:rsidRPr="007A328A" w:rsidRDefault="002700E8" w:rsidP="002700E8">
      <w:pPr>
        <w:rPr>
          <w:sz w:val="24"/>
          <w:szCs w:val="24"/>
        </w:rPr>
      </w:pPr>
    </w:p>
    <w:sectPr w:rsidR="002700E8" w:rsidRPr="007A328A" w:rsidSect="00E17616">
      <w:footerReference w:type="default" r:id="rId8"/>
      <w:pgSz w:w="11906" w:h="16838"/>
      <w:pgMar w:top="1417" w:right="1417" w:bottom="1417" w:left="1417" w:header="708" w:footer="9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971" w:rsidRDefault="005A1971" w:rsidP="00270D6C">
      <w:pPr>
        <w:spacing w:after="0" w:line="240" w:lineRule="auto"/>
      </w:pPr>
      <w:r>
        <w:separator/>
      </w:r>
    </w:p>
  </w:endnote>
  <w:endnote w:type="continuationSeparator" w:id="0">
    <w:p w:rsidR="005A1971" w:rsidRDefault="005A1971" w:rsidP="00270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460934"/>
      <w:docPartObj>
        <w:docPartGallery w:val="Page Numbers (Bottom of Page)"/>
        <w:docPartUnique/>
      </w:docPartObj>
    </w:sdtPr>
    <w:sdtEndPr/>
    <w:sdtContent>
      <w:p w:rsidR="00C138A8" w:rsidRDefault="00C138A8">
        <w:pPr>
          <w:pStyle w:val="Footer"/>
          <w:jc w:val="center"/>
        </w:pPr>
        <w:r w:rsidRPr="00270D6C">
          <w:rPr>
            <w:rFonts w:ascii="Times New Roman" w:hAnsi="Times New Roman" w:cs="Times New Roman"/>
          </w:rPr>
          <w:fldChar w:fldCharType="begin"/>
        </w:r>
        <w:r w:rsidRPr="00270D6C">
          <w:rPr>
            <w:rFonts w:ascii="Times New Roman" w:hAnsi="Times New Roman" w:cs="Times New Roman"/>
          </w:rPr>
          <w:instrText>PAGE   \* MERGEFORMAT</w:instrText>
        </w:r>
        <w:r w:rsidRPr="00270D6C">
          <w:rPr>
            <w:rFonts w:ascii="Times New Roman" w:hAnsi="Times New Roman" w:cs="Times New Roman"/>
          </w:rPr>
          <w:fldChar w:fldCharType="separate"/>
        </w:r>
        <w:r w:rsidR="001E403D">
          <w:rPr>
            <w:rFonts w:ascii="Times New Roman" w:hAnsi="Times New Roman" w:cs="Times New Roman"/>
            <w:noProof/>
          </w:rPr>
          <w:t>1</w:t>
        </w:r>
        <w:r w:rsidRPr="00270D6C">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971" w:rsidRDefault="005A1971" w:rsidP="00270D6C">
      <w:pPr>
        <w:spacing w:after="0" w:line="240" w:lineRule="auto"/>
      </w:pPr>
      <w:r>
        <w:separator/>
      </w:r>
    </w:p>
  </w:footnote>
  <w:footnote w:type="continuationSeparator" w:id="0">
    <w:p w:rsidR="005A1971" w:rsidRDefault="005A1971" w:rsidP="00270D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12C9D"/>
    <w:multiLevelType w:val="hybridMultilevel"/>
    <w:tmpl w:val="A45CF0F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78801928"/>
    <w:multiLevelType w:val="hybridMultilevel"/>
    <w:tmpl w:val="A45CF0F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762"/>
    <w:rsid w:val="00015A2E"/>
    <w:rsid w:val="000520B5"/>
    <w:rsid w:val="00075F6E"/>
    <w:rsid w:val="000A16EF"/>
    <w:rsid w:val="000A3AED"/>
    <w:rsid w:val="000C18D6"/>
    <w:rsid w:val="000D4FF6"/>
    <w:rsid w:val="001432A5"/>
    <w:rsid w:val="00146DA2"/>
    <w:rsid w:val="001E403D"/>
    <w:rsid w:val="002700E8"/>
    <w:rsid w:val="00270D6C"/>
    <w:rsid w:val="00290788"/>
    <w:rsid w:val="003446C7"/>
    <w:rsid w:val="00362D29"/>
    <w:rsid w:val="003818CE"/>
    <w:rsid w:val="003B127F"/>
    <w:rsid w:val="004769A4"/>
    <w:rsid w:val="004E466E"/>
    <w:rsid w:val="00520AD9"/>
    <w:rsid w:val="005243E8"/>
    <w:rsid w:val="005409CF"/>
    <w:rsid w:val="00553E05"/>
    <w:rsid w:val="00582419"/>
    <w:rsid w:val="005A1971"/>
    <w:rsid w:val="005D6452"/>
    <w:rsid w:val="00616AD6"/>
    <w:rsid w:val="00627C66"/>
    <w:rsid w:val="00640AB7"/>
    <w:rsid w:val="00676A53"/>
    <w:rsid w:val="006D0FC0"/>
    <w:rsid w:val="006E50F9"/>
    <w:rsid w:val="00704F59"/>
    <w:rsid w:val="0074657B"/>
    <w:rsid w:val="00773261"/>
    <w:rsid w:val="00774F9F"/>
    <w:rsid w:val="00776DD2"/>
    <w:rsid w:val="0078277C"/>
    <w:rsid w:val="007A328A"/>
    <w:rsid w:val="007D1C9B"/>
    <w:rsid w:val="007F6A71"/>
    <w:rsid w:val="00802D78"/>
    <w:rsid w:val="00832A42"/>
    <w:rsid w:val="008C1F33"/>
    <w:rsid w:val="00995AC5"/>
    <w:rsid w:val="009C2993"/>
    <w:rsid w:val="00A16744"/>
    <w:rsid w:val="00A43346"/>
    <w:rsid w:val="00A532E7"/>
    <w:rsid w:val="00A8079B"/>
    <w:rsid w:val="00AA109F"/>
    <w:rsid w:val="00AC0762"/>
    <w:rsid w:val="00B75558"/>
    <w:rsid w:val="00C138A8"/>
    <w:rsid w:val="00C5784C"/>
    <w:rsid w:val="00D33580"/>
    <w:rsid w:val="00D44E7C"/>
    <w:rsid w:val="00D73EAC"/>
    <w:rsid w:val="00DB6455"/>
    <w:rsid w:val="00E17616"/>
    <w:rsid w:val="00E22505"/>
    <w:rsid w:val="00EA7D63"/>
    <w:rsid w:val="00F0032D"/>
    <w:rsid w:val="00F60C7F"/>
    <w:rsid w:val="00F62004"/>
    <w:rsid w:val="00FA2D30"/>
    <w:rsid w:val="00FF4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726E55A-FF6B-4B90-A384-5B446A1AA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7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70D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0D6C"/>
  </w:style>
  <w:style w:type="paragraph" w:styleId="Footer">
    <w:name w:val="footer"/>
    <w:basedOn w:val="Normal"/>
    <w:link w:val="FooterChar"/>
    <w:uiPriority w:val="99"/>
    <w:unhideWhenUsed/>
    <w:rsid w:val="00270D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0D6C"/>
  </w:style>
  <w:style w:type="paragraph" w:styleId="BodyTextIndent">
    <w:name w:val="Body Text Indent"/>
    <w:basedOn w:val="Normal"/>
    <w:link w:val="BodyTextIndentChar"/>
    <w:rsid w:val="00270D6C"/>
    <w:pPr>
      <w:spacing w:after="0" w:line="240" w:lineRule="auto"/>
      <w:ind w:firstLine="360"/>
      <w:jc w:val="both"/>
    </w:pPr>
    <w:rPr>
      <w:rFonts w:ascii="Arial" w:eastAsia="Times New Roman" w:hAnsi="Arial" w:cs="Arial"/>
      <w:sz w:val="20"/>
    </w:rPr>
  </w:style>
  <w:style w:type="character" w:customStyle="1" w:styleId="BodyTextIndentChar">
    <w:name w:val="Body Text Indent Char"/>
    <w:basedOn w:val="DefaultParagraphFont"/>
    <w:link w:val="BodyTextIndent"/>
    <w:rsid w:val="00270D6C"/>
    <w:rPr>
      <w:rFonts w:ascii="Arial" w:eastAsia="Times New Roman" w:hAnsi="Arial" w:cs="Arial"/>
      <w:sz w:val="20"/>
      <w:lang w:val="cs-CZ" w:eastAsia="en-GB"/>
    </w:rPr>
  </w:style>
  <w:style w:type="table" w:styleId="TableGridLight">
    <w:name w:val="Grid Table Light"/>
    <w:basedOn w:val="TableNormal"/>
    <w:uiPriority w:val="40"/>
    <w:rsid w:val="005243E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5243E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243E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5243E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243E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5243E8"/>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243E8"/>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075F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F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2C0C3-58E8-4A60-8FC1-2F7D589D2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1351</Words>
  <Characters>7707</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AFMPS-FAGG</Company>
  <LinksUpToDate>false</LinksUpToDate>
  <CharactersWithSpaces>9040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Goossens Sarah</dc:creator>
  <cp:keywords/>
  <dc:description/>
  <cp:lastModifiedBy>DESCULTU, Andreea</cp:lastModifiedBy>
  <cp:revision>3</cp:revision>
  <cp:lastPrinted>2019-07-23T08:42:00Z</cp:lastPrinted>
  <dcterms:created xsi:type="dcterms:W3CDTF">2019-07-30T13:36:00Z</dcterms:created>
  <dcterms:modified xsi:type="dcterms:W3CDTF">2019-08-07T14:28:00Z</dcterms:modified>
</cp:coreProperties>
</file>