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B85E2" w14:textId="77777777" w:rsidR="00C27FB9" w:rsidRPr="0002712A" w:rsidRDefault="00C27FB9" w:rsidP="00F4320E">
      <w:pPr>
        <w:widowControl/>
        <w:rPr>
          <w:rFonts w:ascii="Courier New" w:hAnsi="Courier New"/>
          <w:sz w:val="20"/>
        </w:rPr>
      </w:pPr>
      <w:r>
        <w:rPr>
          <w:rFonts w:ascii="Courier New" w:hAnsi="Courier New"/>
          <w:sz w:val="20"/>
        </w:rPr>
        <w:t>1. ------IND- 2020 0504 UK- FR- ------ 20200906 --- --- IMPACT</w:t>
      </w:r>
    </w:p>
    <w:p w14:paraId="7F7C1513" w14:textId="77777777" w:rsidR="00AD470F" w:rsidRPr="0002712A" w:rsidRDefault="008E1FBA" w:rsidP="00F4320E">
      <w:pPr>
        <w:pStyle w:val="BodyText"/>
        <w:widowControl/>
        <w:jc w:val="right"/>
        <w:rPr>
          <w:rFonts w:ascii="Times New Roman"/>
          <w:sz w:val="20"/>
        </w:rPr>
      </w:pPr>
      <w:r>
        <w:rPr>
          <w:rFonts w:ascii="Times New Roman"/>
          <w:noProof/>
          <w:sz w:val="20"/>
        </w:rPr>
        <w:drawing>
          <wp:inline distT="0" distB="0" distL="0" distR="0" wp14:anchorId="0AD323DF" wp14:editId="6113E43F">
            <wp:extent cx="1967990" cy="1152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67990" cy="1152525"/>
                    </a:xfrm>
                    <a:prstGeom prst="rect">
                      <a:avLst/>
                    </a:prstGeom>
                  </pic:spPr>
                </pic:pic>
              </a:graphicData>
            </a:graphic>
          </wp:inline>
        </w:drawing>
      </w:r>
    </w:p>
    <w:tbl>
      <w:tblPr>
        <w:tblStyle w:val="TableGrid"/>
        <w:tblW w:w="0" w:type="auto"/>
        <w:tblInd w:w="4576" w:type="dxa"/>
        <w:tblLook w:val="04A0" w:firstRow="1" w:lastRow="0" w:firstColumn="1" w:lastColumn="0" w:noHBand="0" w:noVBand="1"/>
      </w:tblPr>
      <w:tblGrid>
        <w:gridCol w:w="2524"/>
        <w:gridCol w:w="2524"/>
      </w:tblGrid>
      <w:tr w:rsidR="00532C04" w:rsidRPr="00A71A48" w14:paraId="69CCBAEA" w14:textId="77777777" w:rsidTr="00532C04">
        <w:tc>
          <w:tcPr>
            <w:tcW w:w="2524" w:type="dxa"/>
          </w:tcPr>
          <w:p w14:paraId="56418259" w14:textId="77777777" w:rsidR="00532C04" w:rsidRPr="00A71A48" w:rsidRDefault="00532C04" w:rsidP="00F4320E">
            <w:pPr>
              <w:pStyle w:val="BodyText"/>
              <w:widowControl/>
              <w:rPr>
                <w:rFonts w:ascii="Times New Roman"/>
                <w:sz w:val="20"/>
              </w:rPr>
            </w:pPr>
            <w:proofErr w:type="spellStart"/>
            <w:r w:rsidRPr="00A71A48">
              <w:rPr>
                <w:rFonts w:ascii="Times New Roman"/>
                <w:sz w:val="20"/>
              </w:rPr>
              <w:t>Department</w:t>
            </w:r>
            <w:proofErr w:type="spellEnd"/>
            <w:r w:rsidRPr="00A71A48">
              <w:rPr>
                <w:rFonts w:ascii="Times New Roman"/>
                <w:sz w:val="20"/>
              </w:rPr>
              <w:t xml:space="preserve"> of</w:t>
            </w:r>
            <w:r w:rsidRPr="00A71A48">
              <w:rPr>
                <w:rFonts w:ascii="Times New Roman"/>
                <w:sz w:val="20"/>
              </w:rPr>
              <w:br/>
              <w:t>Finance</w:t>
            </w:r>
          </w:p>
        </w:tc>
        <w:tc>
          <w:tcPr>
            <w:tcW w:w="2524" w:type="dxa"/>
          </w:tcPr>
          <w:p w14:paraId="2A326155" w14:textId="77777777" w:rsidR="00532C04" w:rsidRDefault="00532C04" w:rsidP="00F4320E">
            <w:pPr>
              <w:pStyle w:val="BodyText"/>
              <w:widowControl/>
              <w:rPr>
                <w:rFonts w:ascii="Times New Roman"/>
                <w:sz w:val="20"/>
              </w:rPr>
            </w:pPr>
            <w:r>
              <w:rPr>
                <w:rFonts w:ascii="Times New Roman"/>
                <w:sz w:val="20"/>
              </w:rPr>
              <w:t>Minist</w:t>
            </w:r>
            <w:r>
              <w:rPr>
                <w:rFonts w:ascii="Times New Roman"/>
                <w:sz w:val="20"/>
              </w:rPr>
              <w:t>è</w:t>
            </w:r>
            <w:r>
              <w:rPr>
                <w:rFonts w:ascii="Times New Roman"/>
                <w:sz w:val="20"/>
              </w:rPr>
              <w:t>re des</w:t>
            </w:r>
            <w:r>
              <w:rPr>
                <w:rFonts w:ascii="Times New Roman"/>
                <w:sz w:val="20"/>
              </w:rPr>
              <w:br/>
              <w:t>finances</w:t>
            </w:r>
          </w:p>
        </w:tc>
      </w:tr>
      <w:tr w:rsidR="00532C04" w:rsidRPr="00A71A48" w14:paraId="49916B3A" w14:textId="77777777" w:rsidTr="00532C04">
        <w:tc>
          <w:tcPr>
            <w:tcW w:w="2524" w:type="dxa"/>
          </w:tcPr>
          <w:p w14:paraId="6E2B9652" w14:textId="77777777" w:rsidR="00532C04" w:rsidRPr="00A71A48" w:rsidRDefault="00532C04" w:rsidP="00532C04">
            <w:pPr>
              <w:pStyle w:val="BodyText"/>
              <w:widowControl/>
              <w:rPr>
                <w:rFonts w:ascii="Times New Roman"/>
                <w:sz w:val="20"/>
              </w:rPr>
            </w:pPr>
            <w:r w:rsidRPr="00A71A48">
              <w:rPr>
                <w:rFonts w:ascii="Times New Roman"/>
                <w:sz w:val="20"/>
              </w:rPr>
              <w:t xml:space="preserve">An </w:t>
            </w:r>
            <w:proofErr w:type="spellStart"/>
            <w:r w:rsidRPr="00A71A48">
              <w:rPr>
                <w:rFonts w:ascii="Times New Roman"/>
                <w:sz w:val="20"/>
              </w:rPr>
              <w:t>Roinn</w:t>
            </w:r>
            <w:proofErr w:type="spellEnd"/>
            <w:r w:rsidRPr="00A71A48">
              <w:rPr>
                <w:rFonts w:ascii="Times New Roman"/>
                <w:sz w:val="20"/>
              </w:rPr>
              <w:br/>
            </w:r>
            <w:proofErr w:type="spellStart"/>
            <w:r w:rsidRPr="00A71A48">
              <w:rPr>
                <w:rFonts w:ascii="Times New Roman"/>
                <w:sz w:val="20"/>
              </w:rPr>
              <w:t>Airgeadais</w:t>
            </w:r>
            <w:proofErr w:type="spellEnd"/>
          </w:p>
        </w:tc>
        <w:tc>
          <w:tcPr>
            <w:tcW w:w="2524" w:type="dxa"/>
          </w:tcPr>
          <w:p w14:paraId="1932B689" w14:textId="77777777" w:rsidR="00532C04" w:rsidRDefault="00532C04" w:rsidP="00532C04">
            <w:pPr>
              <w:pStyle w:val="BodyText"/>
              <w:widowControl/>
              <w:rPr>
                <w:rFonts w:ascii="Times New Roman"/>
                <w:sz w:val="20"/>
              </w:rPr>
            </w:pPr>
            <w:r>
              <w:rPr>
                <w:rFonts w:ascii="Times New Roman"/>
                <w:sz w:val="20"/>
              </w:rPr>
              <w:t xml:space="preserve">An </w:t>
            </w:r>
            <w:proofErr w:type="spellStart"/>
            <w:r>
              <w:rPr>
                <w:rFonts w:ascii="Times New Roman"/>
                <w:sz w:val="20"/>
              </w:rPr>
              <w:t>Roinn</w:t>
            </w:r>
            <w:proofErr w:type="spellEnd"/>
            <w:r>
              <w:rPr>
                <w:rFonts w:ascii="Times New Roman"/>
                <w:sz w:val="20"/>
              </w:rPr>
              <w:br/>
            </w:r>
            <w:proofErr w:type="spellStart"/>
            <w:r>
              <w:rPr>
                <w:rFonts w:ascii="Times New Roman"/>
                <w:sz w:val="20"/>
              </w:rPr>
              <w:t>Airgeadais</w:t>
            </w:r>
            <w:proofErr w:type="spellEnd"/>
          </w:p>
        </w:tc>
      </w:tr>
    </w:tbl>
    <w:p w14:paraId="6ACB7885" w14:textId="77777777" w:rsidR="00AD470F" w:rsidRPr="0002712A" w:rsidRDefault="00AD470F" w:rsidP="00F4320E">
      <w:pPr>
        <w:pStyle w:val="BodyText"/>
        <w:widowControl/>
        <w:rPr>
          <w:rFonts w:ascii="Times New Roman"/>
          <w:sz w:val="20"/>
        </w:rPr>
      </w:pPr>
    </w:p>
    <w:p w14:paraId="1ADB681A" w14:textId="77777777" w:rsidR="00AD470F" w:rsidRPr="0002712A" w:rsidRDefault="00AD470F" w:rsidP="00F4320E">
      <w:pPr>
        <w:pStyle w:val="BodyText"/>
        <w:widowControl/>
        <w:rPr>
          <w:rFonts w:ascii="Times New Roman"/>
          <w:sz w:val="20"/>
        </w:rPr>
      </w:pPr>
    </w:p>
    <w:p w14:paraId="6E356291" w14:textId="77777777" w:rsidR="00AD470F" w:rsidRPr="0002712A" w:rsidRDefault="00AD470F" w:rsidP="00F4320E">
      <w:pPr>
        <w:pStyle w:val="BodyText"/>
        <w:widowControl/>
        <w:rPr>
          <w:rFonts w:ascii="Times New Roman"/>
          <w:sz w:val="20"/>
        </w:rPr>
      </w:pPr>
    </w:p>
    <w:p w14:paraId="11134C90" w14:textId="77777777" w:rsidR="00AD470F" w:rsidRPr="0002712A" w:rsidRDefault="00AD470F" w:rsidP="00F4320E">
      <w:pPr>
        <w:pStyle w:val="BodyText"/>
        <w:widowControl/>
        <w:rPr>
          <w:rFonts w:ascii="Times New Roman"/>
          <w:sz w:val="20"/>
        </w:rPr>
      </w:pPr>
    </w:p>
    <w:p w14:paraId="2C6CFBC4" w14:textId="77777777" w:rsidR="00AD470F" w:rsidRPr="0002712A" w:rsidRDefault="00AD470F" w:rsidP="00F4320E">
      <w:pPr>
        <w:pStyle w:val="BodyText"/>
        <w:widowControl/>
        <w:rPr>
          <w:rFonts w:ascii="Times New Roman"/>
          <w:sz w:val="20"/>
        </w:rPr>
      </w:pPr>
    </w:p>
    <w:p w14:paraId="6C0364AB" w14:textId="77777777" w:rsidR="00AD470F" w:rsidRPr="0002712A" w:rsidRDefault="00AD470F" w:rsidP="00F4320E">
      <w:pPr>
        <w:pStyle w:val="BodyText"/>
        <w:widowControl/>
        <w:rPr>
          <w:rFonts w:ascii="Times New Roman"/>
          <w:sz w:val="20"/>
        </w:rPr>
      </w:pPr>
    </w:p>
    <w:p w14:paraId="5939E57D" w14:textId="77777777" w:rsidR="00AD470F" w:rsidRPr="0002712A" w:rsidRDefault="00AD470F" w:rsidP="00F4320E">
      <w:pPr>
        <w:pStyle w:val="BodyText"/>
        <w:widowControl/>
        <w:rPr>
          <w:rFonts w:ascii="Times New Roman"/>
          <w:sz w:val="20"/>
        </w:rPr>
      </w:pPr>
    </w:p>
    <w:p w14:paraId="1D25BF82" w14:textId="77777777" w:rsidR="00C22814" w:rsidRPr="0002712A" w:rsidRDefault="00C22814" w:rsidP="00F4320E">
      <w:pPr>
        <w:pStyle w:val="BodyText"/>
        <w:widowControl/>
        <w:rPr>
          <w:rFonts w:ascii="Times New Roman"/>
          <w:sz w:val="20"/>
        </w:rPr>
      </w:pPr>
    </w:p>
    <w:p w14:paraId="4C30A290" w14:textId="77777777" w:rsidR="00AD470F" w:rsidRPr="003E080D" w:rsidRDefault="008E1FBA" w:rsidP="00F52335">
      <w:pPr>
        <w:spacing w:before="240" w:after="240"/>
        <w:rPr>
          <w:b/>
          <w:sz w:val="36"/>
          <w:szCs w:val="28"/>
        </w:rPr>
      </w:pPr>
      <w:r>
        <w:rPr>
          <w:b/>
          <w:sz w:val="36"/>
          <w:szCs w:val="28"/>
        </w:rPr>
        <w:t>Dispositions réglementaires de 2020 relatives à la construction (modification) (Irlande du Nord)</w:t>
      </w:r>
    </w:p>
    <w:p w14:paraId="00D93AF8" w14:textId="77777777" w:rsidR="00F4320E" w:rsidRPr="0002712A" w:rsidRDefault="00F4320E" w:rsidP="00F4320E">
      <w:pPr>
        <w:pStyle w:val="Heading4"/>
        <w:widowControl/>
        <w:ind w:left="0"/>
        <w:rPr>
          <w:sz w:val="28"/>
          <w:szCs w:val="28"/>
        </w:rPr>
      </w:pPr>
    </w:p>
    <w:p w14:paraId="28B7E89A" w14:textId="77777777" w:rsidR="00AD470F" w:rsidRPr="0002712A" w:rsidRDefault="00181F5D" w:rsidP="00F4320E">
      <w:pPr>
        <w:pStyle w:val="Heading4"/>
        <w:widowControl/>
        <w:ind w:left="0"/>
        <w:rPr>
          <w:sz w:val="28"/>
          <w:szCs w:val="28"/>
        </w:rPr>
      </w:pPr>
      <w:r>
        <w:rPr>
          <w:sz w:val="28"/>
          <w:szCs w:val="28"/>
        </w:rPr>
        <w:t>NOTIFICATION EUROPÉENNE</w:t>
      </w:r>
    </w:p>
    <w:p w14:paraId="326331BE" w14:textId="77777777" w:rsidR="00AD470F" w:rsidRPr="0002712A" w:rsidRDefault="00AD470F" w:rsidP="00F4320E">
      <w:pPr>
        <w:pStyle w:val="BodyText"/>
        <w:widowControl/>
        <w:rPr>
          <w:b/>
          <w:sz w:val="26"/>
        </w:rPr>
      </w:pPr>
    </w:p>
    <w:p w14:paraId="2278042E" w14:textId="77777777" w:rsidR="00AD470F" w:rsidRPr="0002712A" w:rsidRDefault="00AD470F" w:rsidP="00F4320E">
      <w:pPr>
        <w:pStyle w:val="BodyText"/>
        <w:widowControl/>
        <w:rPr>
          <w:b/>
          <w:sz w:val="26"/>
        </w:rPr>
      </w:pPr>
    </w:p>
    <w:p w14:paraId="714512BD" w14:textId="77777777" w:rsidR="00AD470F" w:rsidRPr="0002712A" w:rsidRDefault="00AD470F" w:rsidP="00F4320E">
      <w:pPr>
        <w:pStyle w:val="BodyText"/>
        <w:widowControl/>
        <w:rPr>
          <w:b/>
          <w:sz w:val="26"/>
        </w:rPr>
      </w:pPr>
    </w:p>
    <w:p w14:paraId="01ECE3CC" w14:textId="77777777" w:rsidR="00AD470F" w:rsidRPr="0002712A" w:rsidRDefault="00AD470F" w:rsidP="00F4320E">
      <w:pPr>
        <w:pStyle w:val="BodyText"/>
        <w:widowControl/>
        <w:rPr>
          <w:b/>
          <w:sz w:val="26"/>
        </w:rPr>
      </w:pPr>
    </w:p>
    <w:p w14:paraId="77EBC007" w14:textId="77777777" w:rsidR="00AD470F" w:rsidRPr="0002712A" w:rsidRDefault="00AD470F" w:rsidP="00F4320E">
      <w:pPr>
        <w:pStyle w:val="BodyText"/>
        <w:widowControl/>
        <w:rPr>
          <w:b/>
          <w:sz w:val="26"/>
        </w:rPr>
      </w:pPr>
    </w:p>
    <w:p w14:paraId="2A32D238" w14:textId="77777777" w:rsidR="00AD470F" w:rsidRPr="0002712A" w:rsidRDefault="00AD470F" w:rsidP="00F4320E">
      <w:pPr>
        <w:pStyle w:val="BodyText"/>
        <w:widowControl/>
        <w:rPr>
          <w:b/>
          <w:sz w:val="26"/>
        </w:rPr>
      </w:pPr>
    </w:p>
    <w:p w14:paraId="7AB77AB1" w14:textId="77777777" w:rsidR="00AD470F" w:rsidRPr="0002712A" w:rsidRDefault="00AD470F" w:rsidP="00F4320E">
      <w:pPr>
        <w:pStyle w:val="BodyText"/>
        <w:widowControl/>
        <w:rPr>
          <w:b/>
          <w:sz w:val="26"/>
        </w:rPr>
      </w:pPr>
    </w:p>
    <w:p w14:paraId="6BEADC06" w14:textId="77777777" w:rsidR="00C22814" w:rsidRPr="0002712A" w:rsidRDefault="00C22814" w:rsidP="00F4320E">
      <w:pPr>
        <w:pStyle w:val="BodyText"/>
        <w:widowControl/>
        <w:rPr>
          <w:b/>
          <w:sz w:val="26"/>
        </w:rPr>
      </w:pPr>
    </w:p>
    <w:p w14:paraId="2C07B89C" w14:textId="77777777" w:rsidR="00AD470F" w:rsidRPr="0002712A" w:rsidRDefault="008E1FBA" w:rsidP="00F4320E">
      <w:pPr>
        <w:widowControl/>
        <w:rPr>
          <w:b/>
          <w:sz w:val="36"/>
        </w:rPr>
      </w:pPr>
      <w:r>
        <w:rPr>
          <w:b/>
          <w:sz w:val="36"/>
        </w:rPr>
        <w:t>Évaluation d’impact réglementaire</w:t>
      </w:r>
      <w:r>
        <w:rPr>
          <w:b/>
          <w:sz w:val="36"/>
        </w:rPr>
        <w:br/>
        <w:t>pour la partie C proposée</w:t>
      </w:r>
    </w:p>
    <w:p w14:paraId="3F41F7D6" w14:textId="77777777" w:rsidR="00F4320E" w:rsidRPr="0002712A" w:rsidRDefault="00F4320E" w:rsidP="00F4320E">
      <w:pPr>
        <w:widowControl/>
        <w:rPr>
          <w:b/>
          <w:sz w:val="36"/>
        </w:rPr>
      </w:pPr>
    </w:p>
    <w:p w14:paraId="60CDAB4D" w14:textId="77777777" w:rsidR="00C22814" w:rsidRPr="0002712A" w:rsidRDefault="003800E2" w:rsidP="00F4320E">
      <w:pPr>
        <w:widowControl/>
        <w:rPr>
          <w:b/>
          <w:sz w:val="28"/>
        </w:rPr>
      </w:pPr>
      <w:r>
        <w:rPr>
          <w:b/>
          <w:sz w:val="28"/>
        </w:rPr>
        <w:t>Août 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5316"/>
        <w:gridCol w:w="4308"/>
      </w:tblGrid>
      <w:tr w:rsidR="00C22814" w:rsidRPr="00A71A48" w14:paraId="1CF44198" w14:textId="77777777" w:rsidTr="00AD470F">
        <w:tc>
          <w:tcPr>
            <w:tcW w:w="2762" w:type="pct"/>
            <w:vMerge w:val="restart"/>
          </w:tcPr>
          <w:p w14:paraId="4D318BA7" w14:textId="77777777" w:rsidR="00C22814" w:rsidRPr="00A71A48" w:rsidRDefault="008E1FBA" w:rsidP="00F4320E">
            <w:pPr>
              <w:pStyle w:val="TableParagraph"/>
              <w:pageBreakBefore/>
              <w:widowControl/>
              <w:spacing w:after="120"/>
              <w:rPr>
                <w:b/>
                <w:spacing w:val="-4"/>
                <w:sz w:val="24"/>
              </w:rPr>
            </w:pPr>
            <w:proofErr w:type="gramStart"/>
            <w:r w:rsidRPr="00A71A48">
              <w:rPr>
                <w:b/>
                <w:spacing w:val="-4"/>
                <w:sz w:val="24"/>
              </w:rPr>
              <w:lastRenderedPageBreak/>
              <w:t>Titre:</w:t>
            </w:r>
            <w:proofErr w:type="gramEnd"/>
          </w:p>
          <w:p w14:paraId="00C767FA" w14:textId="77777777" w:rsidR="00C22814" w:rsidRPr="00A71A48" w:rsidRDefault="008E1FBA" w:rsidP="00F4320E">
            <w:pPr>
              <w:pStyle w:val="TableParagraph"/>
              <w:widowControl/>
              <w:spacing w:after="120"/>
              <w:rPr>
                <w:b/>
                <w:spacing w:val="-4"/>
                <w:sz w:val="20"/>
              </w:rPr>
            </w:pPr>
            <w:r w:rsidRPr="00A71A48">
              <w:rPr>
                <w:b/>
                <w:spacing w:val="-4"/>
                <w:sz w:val="20"/>
              </w:rPr>
              <w:t>Partie C des dispositions réglementaires relatives à la construction - Révision de la politique de réglementation du bâtiment avec les cartes actuelles des risques liés au radon</w:t>
            </w:r>
          </w:p>
        </w:tc>
        <w:tc>
          <w:tcPr>
            <w:tcW w:w="2238" w:type="pct"/>
            <w:shd w:val="clear" w:color="auto" w:fill="0B0B0B"/>
          </w:tcPr>
          <w:p w14:paraId="7CECA148" w14:textId="77777777" w:rsidR="00C22814" w:rsidRPr="00A71A48" w:rsidRDefault="008E1FBA" w:rsidP="00F4320E">
            <w:pPr>
              <w:pStyle w:val="TableParagraph"/>
              <w:widowControl/>
              <w:spacing w:after="120"/>
              <w:rPr>
                <w:b/>
                <w:spacing w:val="-4"/>
                <w:sz w:val="24"/>
              </w:rPr>
            </w:pPr>
            <w:r w:rsidRPr="00A71A48">
              <w:rPr>
                <w:b/>
                <w:color w:val="FFFFFF"/>
                <w:spacing w:val="-4"/>
                <w:sz w:val="24"/>
              </w:rPr>
              <w:t>Évaluation d’impact réglementaire (EIR)</w:t>
            </w:r>
          </w:p>
        </w:tc>
      </w:tr>
      <w:tr w:rsidR="00C22814" w:rsidRPr="00A71A48" w14:paraId="37EE13F2" w14:textId="77777777" w:rsidTr="00AD470F">
        <w:tc>
          <w:tcPr>
            <w:tcW w:w="2762" w:type="pct"/>
            <w:vMerge/>
            <w:tcBorders>
              <w:top w:val="nil"/>
            </w:tcBorders>
          </w:tcPr>
          <w:p w14:paraId="61851B97" w14:textId="77777777" w:rsidR="00C22814" w:rsidRPr="00A71A48" w:rsidRDefault="00C22814" w:rsidP="00F4320E">
            <w:pPr>
              <w:widowControl/>
              <w:spacing w:after="120"/>
              <w:rPr>
                <w:spacing w:val="-4"/>
                <w:sz w:val="2"/>
                <w:szCs w:val="2"/>
              </w:rPr>
            </w:pPr>
          </w:p>
        </w:tc>
        <w:tc>
          <w:tcPr>
            <w:tcW w:w="2238" w:type="pct"/>
          </w:tcPr>
          <w:p w14:paraId="4A80529C" w14:textId="77777777" w:rsidR="00C22814" w:rsidRPr="00A71A48" w:rsidRDefault="008E1FBA" w:rsidP="00F4320E">
            <w:pPr>
              <w:pStyle w:val="TableParagraph"/>
              <w:widowControl/>
              <w:spacing w:after="120"/>
              <w:rPr>
                <w:spacing w:val="-4"/>
              </w:rPr>
            </w:pPr>
            <w:proofErr w:type="gramStart"/>
            <w:r w:rsidRPr="00A71A48">
              <w:rPr>
                <w:b/>
                <w:spacing w:val="-4"/>
              </w:rPr>
              <w:t>Date:</w:t>
            </w:r>
            <w:proofErr w:type="gramEnd"/>
            <w:r w:rsidRPr="00A71A48">
              <w:rPr>
                <w:b/>
                <w:spacing w:val="-4"/>
              </w:rPr>
              <w:t xml:space="preserve"> août </w:t>
            </w:r>
            <w:r w:rsidRPr="00A71A48">
              <w:rPr>
                <w:spacing w:val="-4"/>
              </w:rPr>
              <w:t>2020 (projet)</w:t>
            </w:r>
          </w:p>
        </w:tc>
      </w:tr>
      <w:tr w:rsidR="00C22814" w:rsidRPr="00A71A48" w14:paraId="64BB33ED" w14:textId="77777777" w:rsidTr="00AD470F">
        <w:tc>
          <w:tcPr>
            <w:tcW w:w="2762" w:type="pct"/>
            <w:vMerge/>
            <w:tcBorders>
              <w:top w:val="nil"/>
            </w:tcBorders>
          </w:tcPr>
          <w:p w14:paraId="43800C9F" w14:textId="77777777" w:rsidR="00C22814" w:rsidRPr="00A71A48" w:rsidRDefault="00C22814" w:rsidP="00F4320E">
            <w:pPr>
              <w:widowControl/>
              <w:spacing w:after="120"/>
              <w:rPr>
                <w:spacing w:val="-4"/>
                <w:sz w:val="2"/>
                <w:szCs w:val="2"/>
              </w:rPr>
            </w:pPr>
          </w:p>
        </w:tc>
        <w:tc>
          <w:tcPr>
            <w:tcW w:w="2238" w:type="pct"/>
          </w:tcPr>
          <w:p w14:paraId="22710435" w14:textId="77777777" w:rsidR="00C22814" w:rsidRPr="00A71A48" w:rsidRDefault="008E1FBA" w:rsidP="00F4320E">
            <w:pPr>
              <w:pStyle w:val="TableParagraph"/>
              <w:widowControl/>
              <w:spacing w:after="120"/>
              <w:rPr>
                <w:spacing w:val="-4"/>
              </w:rPr>
            </w:pPr>
            <w:r w:rsidRPr="00A71A48">
              <w:rPr>
                <w:b/>
                <w:spacing w:val="-4"/>
              </w:rPr>
              <w:t xml:space="preserve">Type de </w:t>
            </w:r>
            <w:proofErr w:type="gramStart"/>
            <w:r w:rsidRPr="00A71A48">
              <w:rPr>
                <w:b/>
                <w:spacing w:val="-4"/>
              </w:rPr>
              <w:t>mesure:</w:t>
            </w:r>
            <w:proofErr w:type="gramEnd"/>
            <w:r w:rsidRPr="00A71A48">
              <w:rPr>
                <w:b/>
                <w:spacing w:val="-4"/>
              </w:rPr>
              <w:t xml:space="preserve"> </w:t>
            </w:r>
            <w:r w:rsidRPr="00A71A48">
              <w:rPr>
                <w:spacing w:val="-4"/>
              </w:rPr>
              <w:t>législation secondaire</w:t>
            </w:r>
          </w:p>
        </w:tc>
      </w:tr>
      <w:tr w:rsidR="00C22814" w:rsidRPr="00A71A48" w14:paraId="06F81F51" w14:textId="77777777" w:rsidTr="00AD470F">
        <w:tc>
          <w:tcPr>
            <w:tcW w:w="2762" w:type="pct"/>
            <w:vMerge w:val="restart"/>
          </w:tcPr>
          <w:p w14:paraId="7CC400A8" w14:textId="77777777" w:rsidR="00C22814" w:rsidRPr="00A71A48" w:rsidRDefault="008E1FBA" w:rsidP="00F4320E">
            <w:pPr>
              <w:pStyle w:val="TableParagraph"/>
              <w:widowControl/>
              <w:spacing w:after="120"/>
              <w:rPr>
                <w:b/>
                <w:spacing w:val="-4"/>
                <w:sz w:val="24"/>
              </w:rPr>
            </w:pPr>
            <w:r w:rsidRPr="00A71A48">
              <w:rPr>
                <w:b/>
                <w:spacing w:val="-4"/>
                <w:sz w:val="24"/>
              </w:rPr>
              <w:t xml:space="preserve">Ministère ou agence </w:t>
            </w:r>
            <w:proofErr w:type="gramStart"/>
            <w:r w:rsidRPr="00A71A48">
              <w:rPr>
                <w:b/>
                <w:spacing w:val="-4"/>
                <w:sz w:val="24"/>
              </w:rPr>
              <w:t>responsable:</w:t>
            </w:r>
            <w:proofErr w:type="gramEnd"/>
          </w:p>
          <w:p w14:paraId="065A2D03" w14:textId="77777777" w:rsidR="00C22814" w:rsidRPr="00A71A48" w:rsidRDefault="008E1FBA" w:rsidP="00F4320E">
            <w:pPr>
              <w:pStyle w:val="TableParagraph"/>
              <w:widowControl/>
              <w:spacing w:after="120"/>
              <w:rPr>
                <w:b/>
                <w:spacing w:val="-4"/>
                <w:sz w:val="20"/>
              </w:rPr>
            </w:pPr>
            <w:proofErr w:type="gramStart"/>
            <w:r w:rsidRPr="00A71A48">
              <w:rPr>
                <w:b/>
                <w:spacing w:val="-4"/>
                <w:sz w:val="20"/>
              </w:rPr>
              <w:t>ministère</w:t>
            </w:r>
            <w:proofErr w:type="gramEnd"/>
            <w:r w:rsidRPr="00A71A48">
              <w:rPr>
                <w:b/>
                <w:spacing w:val="-4"/>
                <w:sz w:val="20"/>
              </w:rPr>
              <w:t xml:space="preserve"> des finances (le «ministère»)</w:t>
            </w:r>
          </w:p>
        </w:tc>
        <w:tc>
          <w:tcPr>
            <w:tcW w:w="2238" w:type="pct"/>
          </w:tcPr>
          <w:p w14:paraId="4C7D88DB" w14:textId="77777777" w:rsidR="00C22814" w:rsidRPr="00A71A48" w:rsidRDefault="008E1FBA" w:rsidP="00F4320E">
            <w:pPr>
              <w:pStyle w:val="TableParagraph"/>
              <w:widowControl/>
              <w:spacing w:after="120"/>
              <w:rPr>
                <w:spacing w:val="-4"/>
              </w:rPr>
            </w:pPr>
            <w:proofErr w:type="gramStart"/>
            <w:r w:rsidRPr="00A71A48">
              <w:rPr>
                <w:b/>
                <w:spacing w:val="-4"/>
              </w:rPr>
              <w:t>État:</w:t>
            </w:r>
            <w:proofErr w:type="gramEnd"/>
            <w:r w:rsidRPr="00A71A48">
              <w:rPr>
                <w:b/>
                <w:spacing w:val="-4"/>
              </w:rPr>
              <w:t xml:space="preserve"> </w:t>
            </w:r>
            <w:r w:rsidRPr="00A71A48">
              <w:rPr>
                <w:spacing w:val="-4"/>
              </w:rPr>
              <w:t>Projet</w:t>
            </w:r>
          </w:p>
        </w:tc>
      </w:tr>
      <w:tr w:rsidR="00C22814" w:rsidRPr="00A71A48" w14:paraId="19A51CD6" w14:textId="77777777" w:rsidTr="00AD470F">
        <w:tc>
          <w:tcPr>
            <w:tcW w:w="2762" w:type="pct"/>
            <w:vMerge/>
            <w:tcBorders>
              <w:top w:val="nil"/>
            </w:tcBorders>
          </w:tcPr>
          <w:p w14:paraId="77D60D29" w14:textId="77777777" w:rsidR="00C22814" w:rsidRPr="00A71A48" w:rsidRDefault="00C22814" w:rsidP="00F4320E">
            <w:pPr>
              <w:widowControl/>
              <w:spacing w:after="120"/>
              <w:rPr>
                <w:spacing w:val="-4"/>
                <w:sz w:val="2"/>
                <w:szCs w:val="2"/>
              </w:rPr>
            </w:pPr>
          </w:p>
        </w:tc>
        <w:tc>
          <w:tcPr>
            <w:tcW w:w="2238" w:type="pct"/>
          </w:tcPr>
          <w:p w14:paraId="69C3DA93" w14:textId="77777777" w:rsidR="00C22814" w:rsidRPr="00A71A48" w:rsidRDefault="008E1FBA" w:rsidP="00F4320E">
            <w:pPr>
              <w:pStyle w:val="TableParagraph"/>
              <w:widowControl/>
              <w:spacing w:after="120"/>
              <w:rPr>
                <w:spacing w:val="-4"/>
              </w:rPr>
            </w:pPr>
            <w:r w:rsidRPr="00A71A48">
              <w:rPr>
                <w:b/>
                <w:spacing w:val="-4"/>
              </w:rPr>
              <w:t xml:space="preserve">Source </w:t>
            </w:r>
            <w:proofErr w:type="gramStart"/>
            <w:r w:rsidRPr="00A71A48">
              <w:rPr>
                <w:b/>
                <w:spacing w:val="-4"/>
              </w:rPr>
              <w:t>d’intervention:</w:t>
            </w:r>
            <w:proofErr w:type="gramEnd"/>
            <w:r w:rsidRPr="00A71A48">
              <w:rPr>
                <w:b/>
                <w:spacing w:val="-4"/>
              </w:rPr>
              <w:t xml:space="preserve"> </w:t>
            </w:r>
            <w:r w:rsidRPr="00A71A48">
              <w:rPr>
                <w:spacing w:val="-4"/>
              </w:rPr>
              <w:t>IR à usage domestique</w:t>
            </w:r>
          </w:p>
        </w:tc>
      </w:tr>
      <w:tr w:rsidR="00C22814" w:rsidRPr="00A71A48" w14:paraId="37B125D7" w14:textId="77777777" w:rsidTr="00AD470F">
        <w:tc>
          <w:tcPr>
            <w:tcW w:w="2762" w:type="pct"/>
            <w:vMerge w:val="restart"/>
          </w:tcPr>
          <w:p w14:paraId="6E4FF2A4" w14:textId="77777777" w:rsidR="00C22814" w:rsidRPr="00A71A48" w:rsidRDefault="008E1FBA" w:rsidP="00F4320E">
            <w:pPr>
              <w:pStyle w:val="TableParagraph"/>
              <w:widowControl/>
              <w:spacing w:after="120"/>
              <w:rPr>
                <w:b/>
                <w:spacing w:val="-4"/>
                <w:sz w:val="24"/>
              </w:rPr>
            </w:pPr>
            <w:r w:rsidRPr="00A71A48">
              <w:rPr>
                <w:b/>
                <w:spacing w:val="-4"/>
                <w:sz w:val="24"/>
              </w:rPr>
              <w:t xml:space="preserve">Autres ministères ou </w:t>
            </w:r>
            <w:proofErr w:type="gramStart"/>
            <w:r w:rsidRPr="00A71A48">
              <w:rPr>
                <w:b/>
                <w:spacing w:val="-4"/>
                <w:sz w:val="24"/>
              </w:rPr>
              <w:t>agences:</w:t>
            </w:r>
            <w:proofErr w:type="gramEnd"/>
          </w:p>
        </w:tc>
        <w:tc>
          <w:tcPr>
            <w:tcW w:w="2238" w:type="pct"/>
          </w:tcPr>
          <w:p w14:paraId="0C1C6090" w14:textId="77777777" w:rsidR="00C22814" w:rsidRPr="00A71A48" w:rsidRDefault="008E1FBA" w:rsidP="00F4320E">
            <w:pPr>
              <w:pStyle w:val="TableParagraph"/>
              <w:widowControl/>
              <w:spacing w:after="120"/>
              <w:rPr>
                <w:spacing w:val="-4"/>
              </w:rPr>
            </w:pPr>
            <w:proofErr w:type="gramStart"/>
            <w:r w:rsidRPr="00A71A48">
              <w:rPr>
                <w:b/>
                <w:spacing w:val="-4"/>
              </w:rPr>
              <w:t>Coordonnées:</w:t>
            </w:r>
            <w:proofErr w:type="gramEnd"/>
            <w:r w:rsidRPr="00A71A48">
              <w:rPr>
                <w:b/>
                <w:spacing w:val="-4"/>
              </w:rPr>
              <w:t xml:space="preserve"> </w:t>
            </w:r>
            <w:r w:rsidRPr="00A71A48">
              <w:rPr>
                <w:spacing w:val="-4"/>
              </w:rPr>
              <w:t>Building Standards Branch</w:t>
            </w:r>
          </w:p>
        </w:tc>
      </w:tr>
      <w:tr w:rsidR="00C22814" w:rsidRPr="00A71A48" w14:paraId="4176AD46" w14:textId="77777777" w:rsidTr="00AD470F">
        <w:tc>
          <w:tcPr>
            <w:tcW w:w="2762" w:type="pct"/>
            <w:vMerge/>
            <w:tcBorders>
              <w:top w:val="nil"/>
            </w:tcBorders>
          </w:tcPr>
          <w:p w14:paraId="2205856B" w14:textId="77777777" w:rsidR="00C22814" w:rsidRPr="00A71A48" w:rsidRDefault="00C22814" w:rsidP="00F4320E">
            <w:pPr>
              <w:widowControl/>
              <w:spacing w:after="120"/>
              <w:rPr>
                <w:spacing w:val="-4"/>
                <w:sz w:val="2"/>
                <w:szCs w:val="2"/>
              </w:rPr>
            </w:pPr>
          </w:p>
        </w:tc>
        <w:tc>
          <w:tcPr>
            <w:tcW w:w="2238" w:type="pct"/>
          </w:tcPr>
          <w:p w14:paraId="48DC2B51" w14:textId="77777777" w:rsidR="00C22814" w:rsidRPr="00A71A48" w:rsidRDefault="008E1FBA" w:rsidP="00F4320E">
            <w:pPr>
              <w:pStyle w:val="TableParagraph"/>
              <w:widowControl/>
              <w:spacing w:after="120"/>
              <w:rPr>
                <w:spacing w:val="-4"/>
                <w:lang w:val="en-GB"/>
              </w:rPr>
            </w:pPr>
            <w:r w:rsidRPr="00A71A48">
              <w:rPr>
                <w:spacing w:val="-4"/>
                <w:lang w:val="en-GB"/>
              </w:rPr>
              <w:t>Properties Division 6</w:t>
            </w:r>
            <w:r w:rsidRPr="00A71A48">
              <w:rPr>
                <w:spacing w:val="-4"/>
                <w:sz w:val="14"/>
                <w:lang w:val="en-GB"/>
              </w:rPr>
              <w:t>th</w:t>
            </w:r>
            <w:r w:rsidRPr="00A71A48">
              <w:rPr>
                <w:spacing w:val="-4"/>
                <w:lang w:val="en-GB"/>
              </w:rPr>
              <w:t>floor Goodwood House</w:t>
            </w:r>
          </w:p>
        </w:tc>
      </w:tr>
      <w:tr w:rsidR="00C22814" w:rsidRPr="00A71A48" w14:paraId="304A86F5" w14:textId="77777777" w:rsidTr="00AD470F">
        <w:tc>
          <w:tcPr>
            <w:tcW w:w="2762" w:type="pct"/>
            <w:vMerge/>
            <w:tcBorders>
              <w:top w:val="nil"/>
            </w:tcBorders>
          </w:tcPr>
          <w:p w14:paraId="00E23106" w14:textId="77777777" w:rsidR="00C22814" w:rsidRPr="00A71A48" w:rsidRDefault="00C22814" w:rsidP="00F4320E">
            <w:pPr>
              <w:widowControl/>
              <w:spacing w:after="120"/>
              <w:rPr>
                <w:spacing w:val="-4"/>
                <w:sz w:val="2"/>
                <w:szCs w:val="2"/>
                <w:lang w:val="en-GB"/>
              </w:rPr>
            </w:pPr>
          </w:p>
        </w:tc>
        <w:tc>
          <w:tcPr>
            <w:tcW w:w="2238" w:type="pct"/>
          </w:tcPr>
          <w:p w14:paraId="007F5773" w14:textId="77777777" w:rsidR="00C22814" w:rsidRPr="00A71A48" w:rsidRDefault="008E1FBA" w:rsidP="00F4320E">
            <w:pPr>
              <w:pStyle w:val="TableParagraph"/>
              <w:widowControl/>
              <w:spacing w:after="120"/>
              <w:rPr>
                <w:spacing w:val="-4"/>
                <w:lang w:val="en-GB"/>
              </w:rPr>
            </w:pPr>
            <w:r w:rsidRPr="00A71A48">
              <w:rPr>
                <w:spacing w:val="-4"/>
                <w:lang w:val="en-GB"/>
              </w:rPr>
              <w:t>44-58 May Street, Belfast BT14NN (</w:t>
            </w:r>
            <w:proofErr w:type="spellStart"/>
            <w:r w:rsidRPr="00A71A48">
              <w:rPr>
                <w:spacing w:val="-4"/>
                <w:lang w:val="en-GB"/>
              </w:rPr>
              <w:t>Royaume</w:t>
            </w:r>
            <w:proofErr w:type="spellEnd"/>
            <w:r w:rsidRPr="00A71A48">
              <w:rPr>
                <w:spacing w:val="-4"/>
                <w:lang w:val="en-GB"/>
              </w:rPr>
              <w:t>-Uni)</w:t>
            </w:r>
          </w:p>
        </w:tc>
      </w:tr>
    </w:tbl>
    <w:p w14:paraId="3628427A" w14:textId="77777777" w:rsidR="00F4320E" w:rsidRPr="00A04A72" w:rsidRDefault="00F4320E" w:rsidP="00F4320E">
      <w:pPr>
        <w:pStyle w:val="Heading4"/>
        <w:widowControl/>
        <w:ind w:left="0"/>
        <w:rPr>
          <w:lang w:val="en-GB"/>
        </w:rPr>
      </w:pPr>
    </w:p>
    <w:p w14:paraId="418B08DE" w14:textId="77777777" w:rsidR="00C22814" w:rsidRPr="0002712A" w:rsidRDefault="008E1FBA" w:rsidP="00F4320E">
      <w:pPr>
        <w:pStyle w:val="Heading4"/>
        <w:widowControl/>
        <w:ind w:left="0"/>
      </w:pPr>
      <w:r>
        <w:t>Synthèse des interventions et options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5137"/>
        <w:gridCol w:w="4487"/>
      </w:tblGrid>
      <w:tr w:rsidR="00C22814" w:rsidRPr="0002712A" w14:paraId="2549EF3F" w14:textId="77777777" w:rsidTr="00AD470F">
        <w:tc>
          <w:tcPr>
            <w:tcW w:w="5000" w:type="pct"/>
            <w:gridSpan w:val="2"/>
          </w:tcPr>
          <w:p w14:paraId="0DDFF3D5" w14:textId="77777777" w:rsidR="00C22814" w:rsidRPr="0002712A" w:rsidRDefault="008E1FBA" w:rsidP="00F4320E">
            <w:pPr>
              <w:pStyle w:val="TableParagraph"/>
              <w:widowControl/>
              <w:rPr>
                <w:b/>
                <w:sz w:val="20"/>
              </w:rPr>
            </w:pPr>
            <w:r>
              <w:rPr>
                <w:b/>
                <w:sz w:val="20"/>
              </w:rPr>
              <w:t xml:space="preserve">Quel est le problème </w:t>
            </w:r>
            <w:proofErr w:type="gramStart"/>
            <w:r>
              <w:rPr>
                <w:b/>
                <w:sz w:val="20"/>
              </w:rPr>
              <w:t>examiné?</w:t>
            </w:r>
            <w:proofErr w:type="gramEnd"/>
            <w:r>
              <w:rPr>
                <w:b/>
                <w:sz w:val="20"/>
              </w:rPr>
              <w:t xml:space="preserve"> Pourquoi une intervention du gouvernement est-elle </w:t>
            </w:r>
            <w:proofErr w:type="gramStart"/>
            <w:r>
              <w:rPr>
                <w:b/>
                <w:sz w:val="20"/>
              </w:rPr>
              <w:t>nécessaire?</w:t>
            </w:r>
            <w:proofErr w:type="gramEnd"/>
          </w:p>
          <w:p w14:paraId="6399FB48" w14:textId="77777777" w:rsidR="00C22814" w:rsidRPr="0002712A" w:rsidRDefault="008E1FBA" w:rsidP="00F4320E">
            <w:pPr>
              <w:pStyle w:val="TableParagraph"/>
              <w:widowControl/>
            </w:pPr>
            <w:r>
              <w:t>Le radon est à l’état naturel un gaz radioactif associé au cancer du poumon. Parallèlement à un programme de santé et de sensibilisation, ainsi qu’à la mise à l’épreuve et à la remise en état des bâtiments existants, la politique gouvernementale actuelle inclut une intervention ciblée par le biais des dispositions réglementaires relatives à la construction, qui exige la protection contre le radon dans les nouveaux logements situés dans les zones à risque potentiel (≥1 %). Ceci permet de lutter contre les défaillances du marché résultant d’un manque d’information (les ménages peuvent ne pas comprendre les risques liés au radon) et des problèmes d’agence (les constructeurs résidentiels peuvent ne pas tenir pleinement compte des avantages pour la santé des futurs occupants lors de l’aménagement d’un bâtiment). La présente évaluation d’impact réglementaire traite de la modification de la réglementation et des recommandations afin qu’elles fassent référence aux cartes de radon les plus récentes.</w:t>
            </w:r>
          </w:p>
        </w:tc>
      </w:tr>
      <w:tr w:rsidR="00C22814" w:rsidRPr="0002712A" w14:paraId="6A846ADE" w14:textId="77777777" w:rsidTr="00AD470F">
        <w:tc>
          <w:tcPr>
            <w:tcW w:w="5000" w:type="pct"/>
            <w:gridSpan w:val="2"/>
          </w:tcPr>
          <w:p w14:paraId="206C018E" w14:textId="77777777" w:rsidR="00C22814" w:rsidRPr="0002712A" w:rsidRDefault="00C22814" w:rsidP="00F4320E">
            <w:pPr>
              <w:pStyle w:val="TableParagraph"/>
              <w:widowControl/>
              <w:rPr>
                <w:rFonts w:ascii="Times New Roman"/>
                <w:sz w:val="8"/>
              </w:rPr>
            </w:pPr>
          </w:p>
        </w:tc>
      </w:tr>
      <w:tr w:rsidR="00C22814" w:rsidRPr="0002712A" w14:paraId="609216CE" w14:textId="77777777" w:rsidTr="00AD470F">
        <w:tc>
          <w:tcPr>
            <w:tcW w:w="5000" w:type="pct"/>
            <w:gridSpan w:val="2"/>
          </w:tcPr>
          <w:p w14:paraId="7504AF05" w14:textId="77777777" w:rsidR="00C22814" w:rsidRPr="0002712A" w:rsidRDefault="008E1FBA" w:rsidP="00F4320E">
            <w:pPr>
              <w:pStyle w:val="TableParagraph"/>
              <w:widowControl/>
              <w:rPr>
                <w:b/>
                <w:sz w:val="20"/>
              </w:rPr>
            </w:pPr>
            <w:r>
              <w:rPr>
                <w:b/>
                <w:sz w:val="20"/>
              </w:rPr>
              <w:t xml:space="preserve">Quels sont les objectifs de la politique et les effets </w:t>
            </w:r>
            <w:proofErr w:type="gramStart"/>
            <w:r>
              <w:rPr>
                <w:b/>
                <w:sz w:val="20"/>
              </w:rPr>
              <w:t>escomptés?</w:t>
            </w:r>
            <w:proofErr w:type="gramEnd"/>
          </w:p>
          <w:p w14:paraId="4FBB53FE" w14:textId="77777777" w:rsidR="00C22814" w:rsidRPr="0002712A" w:rsidRDefault="008E1FBA" w:rsidP="00F4320E">
            <w:pPr>
              <w:pStyle w:val="TableParagraph"/>
              <w:widowControl/>
            </w:pPr>
            <w:r>
              <w:t>L’objectif de la politique a pour intention de rendre claires les dispositions réglementaires relatives à la construction et les recommandations statutaires qui les accompagnent en ce qui concerne les risques actuels liés au radon et de garantir que les logements sont équipés de mesures adaptées pour prévenir la pénétration de radon et donc prévenir les cancers du poumon liés au radon. Les recommandations actuelles font référence à des cartes de radon publiées en 2009 alors que des cartes plus détaillées ont été publiées en 2015. En modifiant la réglementation et les recommandations du livret technique C, le ministère garantit la mise en œuvre de mesures contre le radon fondées sur l’évaluation la plus récente du risque lié au radon.</w:t>
            </w:r>
          </w:p>
        </w:tc>
      </w:tr>
      <w:tr w:rsidR="00C22814" w:rsidRPr="0002712A" w14:paraId="11B0D556" w14:textId="77777777" w:rsidTr="00AD470F">
        <w:tc>
          <w:tcPr>
            <w:tcW w:w="5000" w:type="pct"/>
            <w:gridSpan w:val="2"/>
          </w:tcPr>
          <w:p w14:paraId="5F81CD60" w14:textId="77777777" w:rsidR="00C22814" w:rsidRPr="0002712A" w:rsidRDefault="00C22814" w:rsidP="00F4320E">
            <w:pPr>
              <w:pStyle w:val="TableParagraph"/>
              <w:widowControl/>
              <w:rPr>
                <w:rFonts w:ascii="Times New Roman"/>
                <w:sz w:val="8"/>
              </w:rPr>
            </w:pPr>
          </w:p>
        </w:tc>
      </w:tr>
      <w:tr w:rsidR="00C22814" w:rsidRPr="0002712A" w14:paraId="555ADDF1" w14:textId="77777777" w:rsidTr="00AD470F">
        <w:tc>
          <w:tcPr>
            <w:tcW w:w="5000" w:type="pct"/>
            <w:gridSpan w:val="2"/>
          </w:tcPr>
          <w:p w14:paraId="47F50894" w14:textId="77777777" w:rsidR="00C22814" w:rsidRPr="0002712A" w:rsidRDefault="008E1FBA" w:rsidP="00F4320E">
            <w:pPr>
              <w:pStyle w:val="TableParagraph"/>
              <w:widowControl/>
              <w:rPr>
                <w:b/>
                <w:sz w:val="20"/>
              </w:rPr>
            </w:pPr>
            <w:r>
              <w:rPr>
                <w:b/>
                <w:sz w:val="20"/>
              </w:rPr>
              <w:t xml:space="preserve">Quelles options politiques ont été envisagées, notamment en ce qui concerne les alternatives à la </w:t>
            </w:r>
            <w:proofErr w:type="gramStart"/>
            <w:r>
              <w:rPr>
                <w:b/>
                <w:sz w:val="20"/>
              </w:rPr>
              <w:t>réglementation?</w:t>
            </w:r>
            <w:proofErr w:type="gramEnd"/>
            <w:r>
              <w:rPr>
                <w:b/>
                <w:sz w:val="20"/>
              </w:rPr>
              <w:t xml:space="preserve"> Veuillez justifier toute option privilégiée (détaillée dans la base de la preuve)</w:t>
            </w:r>
          </w:p>
          <w:p w14:paraId="1E56E26B" w14:textId="77777777" w:rsidR="00C22814" w:rsidRPr="0002712A" w:rsidRDefault="008E1FBA" w:rsidP="00F4320E">
            <w:pPr>
              <w:pStyle w:val="TableParagraph"/>
              <w:widowControl/>
            </w:pPr>
            <w:r>
              <w:rPr>
                <w:b/>
              </w:rPr>
              <w:t>Option </w:t>
            </w:r>
            <w:proofErr w:type="gramStart"/>
            <w:r>
              <w:rPr>
                <w:b/>
              </w:rPr>
              <w:t>1</w:t>
            </w:r>
            <w:r>
              <w:t>:</w:t>
            </w:r>
            <w:proofErr w:type="gramEnd"/>
            <w:r>
              <w:t xml:space="preserve"> Ne rien faire</w:t>
            </w:r>
          </w:p>
          <w:p w14:paraId="0638F5BF" w14:textId="77777777" w:rsidR="00C22814" w:rsidRPr="0002712A" w:rsidRDefault="008E1FBA" w:rsidP="00F4320E">
            <w:pPr>
              <w:pStyle w:val="TableParagraph"/>
              <w:widowControl/>
            </w:pPr>
            <w:r>
              <w:rPr>
                <w:b/>
              </w:rPr>
              <w:t>Option </w:t>
            </w:r>
            <w:proofErr w:type="gramStart"/>
            <w:r>
              <w:rPr>
                <w:b/>
              </w:rPr>
              <w:t>2</w:t>
            </w:r>
            <w:r>
              <w:t>:</w:t>
            </w:r>
            <w:proofErr w:type="gramEnd"/>
            <w:r>
              <w:t xml:space="preserve"> Mettre à jour la réglementation et les recommandations du bâtiment pour les aligner sur les cartes actuelles des risques liés au radon.</w:t>
            </w:r>
          </w:p>
          <w:p w14:paraId="52384FD1" w14:textId="77777777" w:rsidR="00C22814" w:rsidRPr="0002712A" w:rsidRDefault="008E1FBA" w:rsidP="00F4320E">
            <w:pPr>
              <w:pStyle w:val="TableParagraph"/>
              <w:widowControl/>
            </w:pPr>
            <w:r>
              <w:t>La présente évaluation d’impact réglementaire, à l’état de projet, compare l’option de politique choisie, à savoir la mise à jour des dispositions réglementaires relatives à la construction et des recommandations associées afin de les aligner sur les cartes actuelles des risques liés au radon (option 2), par rapport à un scénario contrefactuel</w:t>
            </w:r>
            <w:proofErr w:type="gramStart"/>
            <w:r>
              <w:t xml:space="preserve"> «Ne</w:t>
            </w:r>
            <w:proofErr w:type="gramEnd"/>
            <w:r>
              <w:t xml:space="preserve"> rien faire» (option 1). Le ministère des finances a publié une note d’information en 2016 promouvant l’utilisation de nouvelles cartes du radon, ceci en tant que bonne pratique. Une telle action non réglementaire a soutenu l’industrie de la construction résidentielle référencée aux normes BR211 en matière de mesures de protection conformes à de telles cartes. La politique choisie maintiendra une intervention réglementaire ciblée (alignée sur les cartes de radon les plus récentes), afin de garantir que les nouveaux logements dans les zones à risque potentiel de radon (≥1 %) intègrent des mesures de protection appropriées contre le radon.</w:t>
            </w:r>
          </w:p>
        </w:tc>
      </w:tr>
      <w:tr w:rsidR="00C22814" w:rsidRPr="0002712A" w14:paraId="2EE7407D" w14:textId="77777777" w:rsidTr="00AD470F">
        <w:tc>
          <w:tcPr>
            <w:tcW w:w="2669" w:type="pct"/>
          </w:tcPr>
          <w:p w14:paraId="1A01384D" w14:textId="77777777" w:rsidR="00C22814" w:rsidRPr="0002712A" w:rsidRDefault="008E1FBA" w:rsidP="00A71A48">
            <w:pPr>
              <w:pStyle w:val="TableParagraph"/>
              <w:keepNext/>
              <w:keepLines/>
              <w:widowControl/>
              <w:rPr>
                <w:b/>
              </w:rPr>
            </w:pPr>
            <w:r>
              <w:rPr>
                <w:b/>
              </w:rPr>
              <w:lastRenderedPageBreak/>
              <w:t>Remarque</w:t>
            </w:r>
          </w:p>
          <w:p w14:paraId="3BD99BF8" w14:textId="77777777" w:rsidR="00F4320E" w:rsidRPr="0002712A" w:rsidRDefault="00F4320E" w:rsidP="00A71A48">
            <w:pPr>
              <w:pStyle w:val="TableParagraph"/>
              <w:keepNext/>
              <w:keepLines/>
              <w:widowControl/>
              <w:rPr>
                <w:b/>
              </w:rPr>
            </w:pPr>
          </w:p>
        </w:tc>
        <w:tc>
          <w:tcPr>
            <w:tcW w:w="2331" w:type="pct"/>
          </w:tcPr>
          <w:p w14:paraId="26414333" w14:textId="77777777" w:rsidR="00C22814" w:rsidRPr="0002712A" w:rsidRDefault="008E1FBA" w:rsidP="00A71A48">
            <w:pPr>
              <w:pStyle w:val="TableParagraph"/>
              <w:keepNext/>
              <w:keepLines/>
              <w:widowControl/>
              <w:rPr>
                <w:b/>
              </w:rPr>
            </w:pPr>
            <w:r>
              <w:rPr>
                <w:b/>
              </w:rPr>
              <w:t xml:space="preserve">Indiquer la date de révision, le cas </w:t>
            </w:r>
            <w:proofErr w:type="gramStart"/>
            <w:r>
              <w:rPr>
                <w:b/>
              </w:rPr>
              <w:t>échéant:</w:t>
            </w:r>
            <w:proofErr w:type="gramEnd"/>
          </w:p>
          <w:p w14:paraId="30BBC7A8" w14:textId="77777777" w:rsidR="00F4320E" w:rsidRPr="0002712A" w:rsidRDefault="00F4320E" w:rsidP="00A71A48">
            <w:pPr>
              <w:pStyle w:val="TableParagraph"/>
              <w:keepNext/>
              <w:keepLines/>
              <w:widowControl/>
              <w:rPr>
                <w:b/>
              </w:rPr>
            </w:pPr>
          </w:p>
        </w:tc>
      </w:tr>
    </w:tbl>
    <w:p w14:paraId="78A1C7AF" w14:textId="77777777" w:rsidR="00C22814" w:rsidRPr="0002712A" w:rsidRDefault="00C22814" w:rsidP="00F4320E">
      <w:pPr>
        <w:pStyle w:val="BodyText"/>
        <w:widowControl/>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3145"/>
        <w:gridCol w:w="3307"/>
        <w:gridCol w:w="3172"/>
      </w:tblGrid>
      <w:tr w:rsidR="00C22814" w:rsidRPr="0002712A" w14:paraId="6A4C5DFD" w14:textId="77777777" w:rsidTr="00AD470F">
        <w:tc>
          <w:tcPr>
            <w:tcW w:w="5000" w:type="pct"/>
            <w:gridSpan w:val="3"/>
            <w:shd w:val="clear" w:color="auto" w:fill="E6E6E6"/>
          </w:tcPr>
          <w:p w14:paraId="71768154" w14:textId="77777777" w:rsidR="00C22814" w:rsidRPr="0002712A" w:rsidRDefault="008E1FBA" w:rsidP="00F4320E">
            <w:pPr>
              <w:pStyle w:val="TableParagraph"/>
              <w:widowControl/>
              <w:jc w:val="center"/>
              <w:rPr>
                <w:b/>
              </w:rPr>
            </w:pPr>
            <w:r>
              <w:rPr>
                <w:b/>
              </w:rPr>
              <w:t>Coûts de l’option privilégiée (ou la plus probable)</w:t>
            </w:r>
          </w:p>
        </w:tc>
      </w:tr>
      <w:tr w:rsidR="00C22814" w:rsidRPr="0002712A" w14:paraId="3F66271C" w14:textId="77777777" w:rsidTr="00AD470F">
        <w:tc>
          <w:tcPr>
            <w:tcW w:w="1634" w:type="pct"/>
            <w:shd w:val="clear" w:color="auto" w:fill="E6E6E6"/>
          </w:tcPr>
          <w:p w14:paraId="0EBE9119" w14:textId="77777777" w:rsidR="00C22814" w:rsidRPr="0002712A" w:rsidRDefault="008E1FBA" w:rsidP="00F4320E">
            <w:pPr>
              <w:pStyle w:val="TableParagraph"/>
              <w:widowControl/>
              <w:rPr>
                <w:sz w:val="20"/>
              </w:rPr>
            </w:pPr>
            <w:r>
              <w:rPr>
                <w:b/>
                <w:sz w:val="20"/>
              </w:rPr>
              <w:t xml:space="preserve">Total des dépenses pour les entreprises </w:t>
            </w:r>
            <w:r>
              <w:rPr>
                <w:sz w:val="20"/>
              </w:rPr>
              <w:t>en millions GBP</w:t>
            </w:r>
          </w:p>
        </w:tc>
        <w:tc>
          <w:tcPr>
            <w:tcW w:w="1718" w:type="pct"/>
            <w:shd w:val="clear" w:color="auto" w:fill="E6E6E6"/>
          </w:tcPr>
          <w:p w14:paraId="3FD12BEC" w14:textId="77777777" w:rsidR="00C22814" w:rsidRPr="0002712A" w:rsidRDefault="008E1FBA" w:rsidP="00F4320E">
            <w:pPr>
              <w:pStyle w:val="TableParagraph"/>
              <w:widowControl/>
              <w:rPr>
                <w:sz w:val="20"/>
              </w:rPr>
            </w:pPr>
            <w:r>
              <w:rPr>
                <w:b/>
                <w:sz w:val="20"/>
              </w:rPr>
              <w:t xml:space="preserve">Total des coûts annuels nets pour les entreprises </w:t>
            </w:r>
            <w:r>
              <w:rPr>
                <w:sz w:val="20"/>
              </w:rPr>
              <w:t>en millions GBP</w:t>
            </w:r>
          </w:p>
        </w:tc>
        <w:tc>
          <w:tcPr>
            <w:tcW w:w="1649" w:type="pct"/>
            <w:shd w:val="clear" w:color="auto" w:fill="E6E6E6"/>
          </w:tcPr>
          <w:p w14:paraId="568ECD48" w14:textId="77777777" w:rsidR="00C22814" w:rsidRPr="0002712A" w:rsidRDefault="008E1FBA" w:rsidP="00F4320E">
            <w:pPr>
              <w:pStyle w:val="TableParagraph"/>
              <w:widowControl/>
              <w:rPr>
                <w:sz w:val="20"/>
              </w:rPr>
            </w:pPr>
            <w:r>
              <w:rPr>
                <w:b/>
                <w:sz w:val="20"/>
              </w:rPr>
              <w:t xml:space="preserve">Coût annuel de mise en œuvre par l’organisme de réglementation </w:t>
            </w:r>
            <w:r>
              <w:rPr>
                <w:sz w:val="20"/>
              </w:rPr>
              <w:t>en millions GBP</w:t>
            </w:r>
          </w:p>
        </w:tc>
      </w:tr>
      <w:tr w:rsidR="00C22814" w:rsidRPr="0002712A" w14:paraId="7E8E26B1" w14:textId="77777777" w:rsidTr="00AD470F">
        <w:tc>
          <w:tcPr>
            <w:tcW w:w="1634" w:type="pct"/>
            <w:shd w:val="clear" w:color="auto" w:fill="E6E6E6"/>
          </w:tcPr>
          <w:p w14:paraId="4CF742D9" w14:textId="112E4F55" w:rsidR="00C22814" w:rsidRPr="0002712A" w:rsidRDefault="008E1FBA" w:rsidP="00F4320E">
            <w:pPr>
              <w:pStyle w:val="TableParagraph"/>
              <w:widowControl/>
              <w:rPr>
                <w:sz w:val="20"/>
              </w:rPr>
            </w:pPr>
            <w:r>
              <w:rPr>
                <w:sz w:val="20"/>
              </w:rPr>
              <w:t>0,1033 année</w:t>
            </w:r>
            <w:r w:rsidR="00A04A72">
              <w:rPr>
                <w:sz w:val="20"/>
              </w:rPr>
              <w:t> </w:t>
            </w:r>
            <w:r>
              <w:rPr>
                <w:sz w:val="20"/>
              </w:rPr>
              <w:t>1</w:t>
            </w:r>
          </w:p>
        </w:tc>
        <w:tc>
          <w:tcPr>
            <w:tcW w:w="1718" w:type="pct"/>
            <w:shd w:val="clear" w:color="auto" w:fill="E6E6E6"/>
          </w:tcPr>
          <w:p w14:paraId="44CC6B54" w14:textId="77777777" w:rsidR="00C22814" w:rsidRPr="0002712A" w:rsidRDefault="008E1FBA" w:rsidP="00F4320E">
            <w:pPr>
              <w:pStyle w:val="TableParagraph"/>
              <w:widowControl/>
              <w:rPr>
                <w:sz w:val="20"/>
              </w:rPr>
            </w:pPr>
            <w:r>
              <w:rPr>
                <w:sz w:val="20"/>
              </w:rPr>
              <w:t>0,0809</w:t>
            </w:r>
          </w:p>
        </w:tc>
        <w:tc>
          <w:tcPr>
            <w:tcW w:w="1649" w:type="pct"/>
            <w:shd w:val="clear" w:color="auto" w:fill="E6E6E6"/>
          </w:tcPr>
          <w:p w14:paraId="713E4FF4" w14:textId="77777777" w:rsidR="00C22814" w:rsidRPr="0002712A" w:rsidRDefault="008E1FBA" w:rsidP="00F4320E">
            <w:pPr>
              <w:pStyle w:val="TableParagraph"/>
              <w:widowControl/>
              <w:rPr>
                <w:sz w:val="20"/>
              </w:rPr>
            </w:pPr>
            <w:r>
              <w:rPr>
                <w:sz w:val="20"/>
              </w:rPr>
              <w:t>Sans objet</w:t>
            </w:r>
          </w:p>
        </w:tc>
      </w:tr>
    </w:tbl>
    <w:p w14:paraId="2E6F599A" w14:textId="77777777" w:rsidR="00C22814" w:rsidRPr="0002712A" w:rsidRDefault="00C22814" w:rsidP="00F4320E">
      <w:pPr>
        <w:pStyle w:val="BodyText"/>
        <w:widowControl/>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3132"/>
        <w:gridCol w:w="1515"/>
        <w:gridCol w:w="1682"/>
        <w:gridCol w:w="1682"/>
        <w:gridCol w:w="1613"/>
      </w:tblGrid>
      <w:tr w:rsidR="00C22814" w:rsidRPr="0002712A" w14:paraId="02DDC3C7" w14:textId="77777777" w:rsidTr="00AD470F">
        <w:tc>
          <w:tcPr>
            <w:tcW w:w="3288" w:type="pct"/>
            <w:gridSpan w:val="3"/>
            <w:shd w:val="clear" w:color="auto" w:fill="E6E6E6"/>
          </w:tcPr>
          <w:p w14:paraId="00CD21D2" w14:textId="77777777" w:rsidR="00C22814" w:rsidRPr="0002712A" w:rsidRDefault="008E1FBA" w:rsidP="00F4320E">
            <w:pPr>
              <w:pStyle w:val="TableParagraph"/>
              <w:widowControl/>
              <w:rPr>
                <w:b/>
                <w:sz w:val="20"/>
              </w:rPr>
            </w:pPr>
            <w:r>
              <w:rPr>
                <w:b/>
                <w:sz w:val="20"/>
              </w:rPr>
              <w:t xml:space="preserve">La mise en œuvre va-t-elle au-delà des exigences minimales de </w:t>
            </w:r>
            <w:proofErr w:type="gramStart"/>
            <w:r>
              <w:rPr>
                <w:b/>
                <w:sz w:val="20"/>
              </w:rPr>
              <w:t>l’UE?</w:t>
            </w:r>
            <w:proofErr w:type="gramEnd"/>
          </w:p>
        </w:tc>
        <w:tc>
          <w:tcPr>
            <w:tcW w:w="874" w:type="pct"/>
            <w:shd w:val="clear" w:color="auto" w:fill="E6E6E6"/>
          </w:tcPr>
          <w:p w14:paraId="58972398" w14:textId="77777777" w:rsidR="00C22814" w:rsidRPr="0002712A" w:rsidRDefault="008E1FBA" w:rsidP="00F4320E">
            <w:pPr>
              <w:pStyle w:val="TableParagraph"/>
              <w:widowControl/>
              <w:rPr>
                <w:i/>
                <w:sz w:val="24"/>
              </w:rPr>
            </w:pPr>
            <w:r>
              <w:rPr>
                <w:b/>
              </w:rPr>
              <w:t xml:space="preserve">N/A </w:t>
            </w:r>
            <w:r>
              <w:rPr>
                <w:i/>
                <w:sz w:val="24"/>
              </w:rPr>
              <w:t>√</w:t>
            </w:r>
          </w:p>
        </w:tc>
        <w:tc>
          <w:tcPr>
            <w:tcW w:w="839" w:type="pct"/>
            <w:shd w:val="clear" w:color="auto" w:fill="E6E6E6"/>
          </w:tcPr>
          <w:p w14:paraId="393D61CD" w14:textId="77777777" w:rsidR="00C22814" w:rsidRPr="0002712A" w:rsidRDefault="008E1FBA" w:rsidP="00F4320E">
            <w:pPr>
              <w:pStyle w:val="TableParagraph"/>
              <w:widowControl/>
              <w:rPr>
                <w:b/>
              </w:rPr>
            </w:pPr>
            <w:r>
              <w:rPr>
                <w:b/>
              </w:rPr>
              <w:t>OUI</w:t>
            </w:r>
          </w:p>
        </w:tc>
      </w:tr>
      <w:tr w:rsidR="00C22814" w:rsidRPr="0002712A" w14:paraId="4BCF1718" w14:textId="77777777" w:rsidTr="00AD470F">
        <w:tc>
          <w:tcPr>
            <w:tcW w:w="1627" w:type="pct"/>
            <w:shd w:val="clear" w:color="auto" w:fill="E6E6E6"/>
          </w:tcPr>
          <w:p w14:paraId="10AC55A7" w14:textId="77777777" w:rsidR="00C22814" w:rsidRPr="0002712A" w:rsidRDefault="008E1FBA" w:rsidP="00F4320E">
            <w:pPr>
              <w:pStyle w:val="TableParagraph"/>
              <w:widowControl/>
            </w:pPr>
            <w:r>
              <w:t xml:space="preserve">Certaines de ces organisations sont-elles </w:t>
            </w:r>
            <w:proofErr w:type="gramStart"/>
            <w:r>
              <w:t>concernées?</w:t>
            </w:r>
            <w:proofErr w:type="gramEnd"/>
          </w:p>
        </w:tc>
        <w:tc>
          <w:tcPr>
            <w:tcW w:w="787" w:type="pct"/>
            <w:shd w:val="clear" w:color="auto" w:fill="E6E6E6"/>
          </w:tcPr>
          <w:p w14:paraId="3E5EAF87" w14:textId="77777777" w:rsidR="00C22814" w:rsidRPr="0002712A" w:rsidRDefault="008E1FBA" w:rsidP="00F4320E">
            <w:pPr>
              <w:pStyle w:val="TableParagraph"/>
              <w:widowControl/>
              <w:rPr>
                <w:b/>
              </w:rPr>
            </w:pPr>
            <w:r>
              <w:rPr>
                <w:b/>
              </w:rPr>
              <w:t>Micro</w:t>
            </w:r>
          </w:p>
          <w:p w14:paraId="51809FF0" w14:textId="77777777" w:rsidR="00C22814" w:rsidRPr="0002712A" w:rsidRDefault="008E1FBA" w:rsidP="00F4320E">
            <w:pPr>
              <w:pStyle w:val="TableParagraph"/>
              <w:widowControl/>
              <w:tabs>
                <w:tab w:val="left" w:pos="988"/>
              </w:tabs>
            </w:pPr>
            <w:r>
              <w:t xml:space="preserve">Oui </w:t>
            </w:r>
            <w:r>
              <w:rPr>
                <w:i/>
                <w:sz w:val="24"/>
              </w:rPr>
              <w:t>√</w:t>
            </w:r>
            <w:r>
              <w:rPr>
                <w:i/>
                <w:sz w:val="24"/>
              </w:rPr>
              <w:tab/>
            </w:r>
            <w:r>
              <w:t>Non</w:t>
            </w:r>
          </w:p>
        </w:tc>
        <w:tc>
          <w:tcPr>
            <w:tcW w:w="874" w:type="pct"/>
            <w:shd w:val="clear" w:color="auto" w:fill="E6E6E6"/>
          </w:tcPr>
          <w:p w14:paraId="4E84A87B" w14:textId="77777777" w:rsidR="00C22814" w:rsidRPr="0002712A" w:rsidRDefault="008E1FBA" w:rsidP="00F4320E">
            <w:pPr>
              <w:pStyle w:val="TableParagraph"/>
              <w:widowControl/>
              <w:rPr>
                <w:b/>
              </w:rPr>
            </w:pPr>
            <w:r>
              <w:rPr>
                <w:b/>
              </w:rPr>
              <w:t>Petites</w:t>
            </w:r>
          </w:p>
          <w:p w14:paraId="52405EE8" w14:textId="77777777" w:rsidR="00C22814" w:rsidRPr="0002712A" w:rsidRDefault="008E1FBA" w:rsidP="00F4320E">
            <w:pPr>
              <w:pStyle w:val="TableParagraph"/>
              <w:widowControl/>
              <w:tabs>
                <w:tab w:val="left" w:pos="1048"/>
              </w:tabs>
            </w:pPr>
            <w:r>
              <w:t xml:space="preserve">Oui </w:t>
            </w:r>
            <w:r>
              <w:rPr>
                <w:i/>
                <w:sz w:val="24"/>
              </w:rPr>
              <w:t>√</w:t>
            </w:r>
            <w:r>
              <w:rPr>
                <w:i/>
                <w:sz w:val="24"/>
              </w:rPr>
              <w:tab/>
            </w:r>
            <w:r>
              <w:t>Non</w:t>
            </w:r>
          </w:p>
        </w:tc>
        <w:tc>
          <w:tcPr>
            <w:tcW w:w="874" w:type="pct"/>
            <w:shd w:val="clear" w:color="auto" w:fill="E6E6E6"/>
          </w:tcPr>
          <w:p w14:paraId="0A85DD86" w14:textId="77777777" w:rsidR="00C22814" w:rsidRPr="0002712A" w:rsidRDefault="008E1FBA" w:rsidP="00F4320E">
            <w:pPr>
              <w:pStyle w:val="TableParagraph"/>
              <w:widowControl/>
              <w:rPr>
                <w:b/>
              </w:rPr>
            </w:pPr>
            <w:r>
              <w:rPr>
                <w:b/>
              </w:rPr>
              <w:t>Moyennes</w:t>
            </w:r>
          </w:p>
          <w:p w14:paraId="4C901F17" w14:textId="77777777" w:rsidR="00C22814" w:rsidRPr="0002712A" w:rsidRDefault="008E1FBA" w:rsidP="00F4320E">
            <w:pPr>
              <w:pStyle w:val="TableParagraph"/>
              <w:widowControl/>
              <w:tabs>
                <w:tab w:val="left" w:pos="1049"/>
              </w:tabs>
            </w:pPr>
            <w:r>
              <w:t xml:space="preserve">Oui </w:t>
            </w:r>
            <w:r>
              <w:rPr>
                <w:i/>
                <w:sz w:val="24"/>
              </w:rPr>
              <w:t>√</w:t>
            </w:r>
            <w:r>
              <w:rPr>
                <w:i/>
                <w:sz w:val="24"/>
              </w:rPr>
              <w:tab/>
            </w:r>
            <w:r>
              <w:t>Non</w:t>
            </w:r>
          </w:p>
        </w:tc>
        <w:tc>
          <w:tcPr>
            <w:tcW w:w="839" w:type="pct"/>
            <w:shd w:val="clear" w:color="auto" w:fill="E6E6E6"/>
          </w:tcPr>
          <w:p w14:paraId="5005A526" w14:textId="77777777" w:rsidR="00C22814" w:rsidRPr="0002712A" w:rsidRDefault="008E1FBA" w:rsidP="00F4320E">
            <w:pPr>
              <w:pStyle w:val="TableParagraph"/>
              <w:widowControl/>
              <w:rPr>
                <w:b/>
              </w:rPr>
            </w:pPr>
            <w:r>
              <w:rPr>
                <w:b/>
              </w:rPr>
              <w:t>Grandes</w:t>
            </w:r>
          </w:p>
          <w:p w14:paraId="039D7CF3" w14:textId="77777777" w:rsidR="00C22814" w:rsidRPr="0002712A" w:rsidRDefault="008E1FBA" w:rsidP="00F4320E">
            <w:pPr>
              <w:pStyle w:val="TableParagraph"/>
              <w:widowControl/>
              <w:tabs>
                <w:tab w:val="left" w:pos="1050"/>
              </w:tabs>
            </w:pPr>
            <w:r>
              <w:t xml:space="preserve">Oui </w:t>
            </w:r>
            <w:r>
              <w:rPr>
                <w:i/>
                <w:sz w:val="24"/>
              </w:rPr>
              <w:t>√</w:t>
            </w:r>
            <w:r>
              <w:rPr>
                <w:i/>
                <w:sz w:val="24"/>
              </w:rPr>
              <w:tab/>
            </w:r>
            <w:r>
              <w:t>Non</w:t>
            </w:r>
          </w:p>
        </w:tc>
      </w:tr>
    </w:tbl>
    <w:p w14:paraId="62B5E2FC" w14:textId="77777777" w:rsidR="00F4320E" w:rsidRPr="0002712A" w:rsidRDefault="00F4320E" w:rsidP="00F4320E">
      <w:pPr>
        <w:widowControl/>
        <w:rPr>
          <w:b/>
          <w:sz w:val="20"/>
        </w:rPr>
      </w:pPr>
    </w:p>
    <w:p w14:paraId="76D1D3A1" w14:textId="77777777" w:rsidR="00AD470F" w:rsidRPr="0002712A" w:rsidRDefault="008E1FBA" w:rsidP="00F4320E">
      <w:pPr>
        <w:widowControl/>
        <w:rPr>
          <w:b/>
          <w:sz w:val="20"/>
        </w:rPr>
      </w:pPr>
      <w:r>
        <w:rPr>
          <w:b/>
          <w:sz w:val="20"/>
        </w:rPr>
        <w:t>L’EIR finale afférente à la législation correspondante doit être annexée à l’exposé des motifs et publiée conjointement avec ce dernier.</w:t>
      </w:r>
    </w:p>
    <w:p w14:paraId="6AB0D1E1" w14:textId="77777777" w:rsidR="00C22814" w:rsidRPr="0002712A" w:rsidRDefault="008E1FBA" w:rsidP="00F4320E">
      <w:pPr>
        <w:pageBreakBefore/>
        <w:widowControl/>
        <w:tabs>
          <w:tab w:val="right" w:pos="9630"/>
        </w:tabs>
        <w:rPr>
          <w:sz w:val="28"/>
        </w:rPr>
      </w:pPr>
      <w:proofErr w:type="gramStart"/>
      <w:r>
        <w:rPr>
          <w:sz w:val="28"/>
        </w:rPr>
        <w:lastRenderedPageBreak/>
        <w:t>Résumé:</w:t>
      </w:r>
      <w:proofErr w:type="gramEnd"/>
      <w:r>
        <w:rPr>
          <w:sz w:val="28"/>
        </w:rPr>
        <w:t xml:space="preserve"> Analyse et éléments de preuve</w:t>
      </w:r>
      <w:r>
        <w:rPr>
          <w:sz w:val="28"/>
        </w:rPr>
        <w:tab/>
        <w:t>Option de politique 1</w:t>
      </w:r>
    </w:p>
    <w:p w14:paraId="1C709176" w14:textId="77777777" w:rsidR="00AD470F" w:rsidRPr="0002712A" w:rsidRDefault="008E1FBA" w:rsidP="00F4320E">
      <w:pPr>
        <w:widowControl/>
        <w:rPr>
          <w:b/>
        </w:rPr>
      </w:pPr>
      <w:proofErr w:type="gramStart"/>
      <w:r>
        <w:t>Description:</w:t>
      </w:r>
      <w:proofErr w:type="gramEnd"/>
      <w:r>
        <w:t xml:space="preserve"> </w:t>
      </w:r>
      <w:r>
        <w:rPr>
          <w:b/>
        </w:rPr>
        <w:t>Ne rien faire</w:t>
      </w:r>
    </w:p>
    <w:p w14:paraId="258924D9" w14:textId="77777777" w:rsidR="00F4320E" w:rsidRPr="0002712A" w:rsidRDefault="00F4320E" w:rsidP="00F4320E">
      <w:pPr>
        <w:widowControl/>
        <w:rPr>
          <w:b/>
        </w:rPr>
      </w:pPr>
    </w:p>
    <w:p w14:paraId="19576F87" w14:textId="77777777" w:rsidR="00C22814" w:rsidRPr="0002712A" w:rsidRDefault="008E1FBA" w:rsidP="00F4320E">
      <w:pPr>
        <w:widowControl/>
        <w:rPr>
          <w:b/>
        </w:rPr>
      </w:pPr>
      <w:r>
        <w:rPr>
          <w:b/>
        </w:rPr>
        <w:t>ÉVALUATION ÉCONOMIQUE (Option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924"/>
        <w:gridCol w:w="1931"/>
        <w:gridCol w:w="957"/>
        <w:gridCol w:w="2887"/>
        <w:gridCol w:w="1925"/>
      </w:tblGrid>
      <w:tr w:rsidR="00C22814" w:rsidRPr="0002712A" w14:paraId="47A8742B" w14:textId="77777777" w:rsidTr="00AD470F">
        <w:tc>
          <w:tcPr>
            <w:tcW w:w="1000" w:type="pct"/>
            <w:tcBorders>
              <w:bottom w:val="single" w:sz="2" w:space="0" w:color="000000"/>
            </w:tcBorders>
          </w:tcPr>
          <w:p w14:paraId="4A5E4796" w14:textId="77777777" w:rsidR="00C22814" w:rsidRPr="0002712A" w:rsidRDefault="008E1FBA" w:rsidP="00F4320E">
            <w:pPr>
              <w:pStyle w:val="TableParagraph"/>
              <w:widowControl/>
              <w:rPr>
                <w:b/>
              </w:rPr>
            </w:pPr>
            <w:r>
              <w:rPr>
                <w:b/>
              </w:rPr>
              <w:t>Coûts (</w:t>
            </w:r>
            <w:proofErr w:type="spellStart"/>
            <w:r>
              <w:rPr>
                <w:b/>
              </w:rPr>
              <w:t>Mio</w:t>
            </w:r>
            <w:proofErr w:type="spellEnd"/>
            <w:r>
              <w:rPr>
                <w:b/>
              </w:rPr>
              <w:t> GBP)</w:t>
            </w:r>
          </w:p>
        </w:tc>
        <w:tc>
          <w:tcPr>
            <w:tcW w:w="1500" w:type="pct"/>
            <w:gridSpan w:val="2"/>
            <w:tcBorders>
              <w:bottom w:val="single" w:sz="2" w:space="0" w:color="000000"/>
            </w:tcBorders>
          </w:tcPr>
          <w:p w14:paraId="1DED3284" w14:textId="77777777" w:rsidR="00C22814" w:rsidRPr="0002712A" w:rsidRDefault="008E1FBA" w:rsidP="00F4320E">
            <w:pPr>
              <w:pStyle w:val="TableParagraph"/>
              <w:widowControl/>
              <w:rPr>
                <w:b/>
              </w:rPr>
            </w:pPr>
            <w:r>
              <w:rPr>
                <w:b/>
              </w:rPr>
              <w:t>Total transitoire (politique)</w:t>
            </w:r>
          </w:p>
        </w:tc>
        <w:tc>
          <w:tcPr>
            <w:tcW w:w="1500" w:type="pct"/>
            <w:tcBorders>
              <w:bottom w:val="single" w:sz="2" w:space="0" w:color="000000"/>
            </w:tcBorders>
          </w:tcPr>
          <w:p w14:paraId="2FB7B072" w14:textId="77777777" w:rsidR="00C22814" w:rsidRPr="0002712A" w:rsidRDefault="008E1FBA" w:rsidP="00F4320E">
            <w:pPr>
              <w:pStyle w:val="TableParagraph"/>
              <w:widowControl/>
              <w:rPr>
                <w:b/>
              </w:rPr>
            </w:pPr>
            <w:r>
              <w:rPr>
                <w:b/>
              </w:rPr>
              <w:t>Moyenne annuelle (récurrent)</w:t>
            </w:r>
          </w:p>
        </w:tc>
        <w:tc>
          <w:tcPr>
            <w:tcW w:w="1000" w:type="pct"/>
            <w:tcBorders>
              <w:bottom w:val="single" w:sz="2" w:space="0" w:color="000000"/>
            </w:tcBorders>
          </w:tcPr>
          <w:p w14:paraId="34F8CB9F" w14:textId="77777777" w:rsidR="00C22814" w:rsidRPr="0002712A" w:rsidRDefault="008E1FBA" w:rsidP="00F4320E">
            <w:pPr>
              <w:pStyle w:val="TableParagraph"/>
              <w:widowControl/>
              <w:rPr>
                <w:b/>
              </w:rPr>
            </w:pPr>
            <w:r>
              <w:rPr>
                <w:b/>
              </w:rPr>
              <w:t>Coût total</w:t>
            </w:r>
          </w:p>
        </w:tc>
      </w:tr>
      <w:tr w:rsidR="00C22814" w:rsidRPr="0002712A" w14:paraId="24FAFCC7" w14:textId="77777777" w:rsidTr="00AD470F">
        <w:tc>
          <w:tcPr>
            <w:tcW w:w="1000" w:type="pct"/>
            <w:tcBorders>
              <w:top w:val="single" w:sz="2" w:space="0" w:color="000000"/>
            </w:tcBorders>
          </w:tcPr>
          <w:p w14:paraId="247D748F" w14:textId="77777777" w:rsidR="00C22814" w:rsidRPr="0002712A" w:rsidRDefault="00C22814" w:rsidP="00F4320E">
            <w:pPr>
              <w:pStyle w:val="TableParagraph"/>
              <w:widowControl/>
              <w:rPr>
                <w:rFonts w:ascii="Times New Roman"/>
                <w:sz w:val="18"/>
              </w:rPr>
            </w:pPr>
          </w:p>
        </w:tc>
        <w:tc>
          <w:tcPr>
            <w:tcW w:w="1003" w:type="pct"/>
            <w:tcBorders>
              <w:top w:val="single" w:sz="2" w:space="0" w:color="000000"/>
              <w:right w:val="single" w:sz="2" w:space="0" w:color="000000"/>
            </w:tcBorders>
          </w:tcPr>
          <w:p w14:paraId="7BED4ABE" w14:textId="77777777" w:rsidR="00C22814" w:rsidRPr="0002712A" w:rsidRDefault="008E1FBA" w:rsidP="00F4320E">
            <w:pPr>
              <w:pStyle w:val="TableParagraph"/>
              <w:widowControl/>
              <w:jc w:val="right"/>
              <w:rPr>
                <w:sz w:val="18"/>
              </w:rPr>
            </w:pPr>
            <w:r>
              <w:rPr>
                <w:sz w:val="18"/>
              </w:rPr>
              <w:t>(</w:t>
            </w:r>
            <w:proofErr w:type="gramStart"/>
            <w:r>
              <w:rPr>
                <w:sz w:val="18"/>
              </w:rPr>
              <w:t>prix</w:t>
            </w:r>
            <w:proofErr w:type="gramEnd"/>
            <w:r>
              <w:rPr>
                <w:sz w:val="18"/>
              </w:rPr>
              <w:t xml:space="preserve"> constants)</w:t>
            </w:r>
          </w:p>
        </w:tc>
        <w:tc>
          <w:tcPr>
            <w:tcW w:w="497" w:type="pct"/>
            <w:tcBorders>
              <w:top w:val="single" w:sz="2" w:space="0" w:color="000000"/>
              <w:left w:val="single" w:sz="2" w:space="0" w:color="000000"/>
            </w:tcBorders>
          </w:tcPr>
          <w:p w14:paraId="59594F16" w14:textId="77777777" w:rsidR="00C22814" w:rsidRPr="0002712A" w:rsidRDefault="008E1FBA" w:rsidP="00F4320E">
            <w:pPr>
              <w:pStyle w:val="TableParagraph"/>
              <w:widowControl/>
              <w:jc w:val="right"/>
              <w:rPr>
                <w:sz w:val="18"/>
              </w:rPr>
            </w:pPr>
            <w:r>
              <w:rPr>
                <w:sz w:val="18"/>
              </w:rPr>
              <w:t>Années</w:t>
            </w:r>
          </w:p>
        </w:tc>
        <w:tc>
          <w:tcPr>
            <w:tcW w:w="1500" w:type="pct"/>
            <w:tcBorders>
              <w:top w:val="single" w:sz="2" w:space="0" w:color="000000"/>
            </w:tcBorders>
          </w:tcPr>
          <w:p w14:paraId="523BE6C4" w14:textId="77777777" w:rsidR="00C22814" w:rsidRPr="0002712A" w:rsidRDefault="008E1FBA" w:rsidP="00F4320E">
            <w:pPr>
              <w:pStyle w:val="TableParagraph"/>
              <w:widowControl/>
              <w:jc w:val="right"/>
              <w:rPr>
                <w:sz w:val="18"/>
              </w:rPr>
            </w:pPr>
            <w:r>
              <w:rPr>
                <w:sz w:val="18"/>
              </w:rPr>
              <w:t>(</w:t>
            </w:r>
            <w:proofErr w:type="gramStart"/>
            <w:r>
              <w:rPr>
                <w:sz w:val="18"/>
              </w:rPr>
              <w:t>hors</w:t>
            </w:r>
            <w:proofErr w:type="gramEnd"/>
            <w:r>
              <w:rPr>
                <w:sz w:val="18"/>
              </w:rPr>
              <w:t xml:space="preserve"> transition) (prix constants)</w:t>
            </w:r>
          </w:p>
        </w:tc>
        <w:tc>
          <w:tcPr>
            <w:tcW w:w="1000" w:type="pct"/>
            <w:tcBorders>
              <w:top w:val="single" w:sz="2" w:space="0" w:color="000000"/>
            </w:tcBorders>
          </w:tcPr>
          <w:p w14:paraId="5F10DCFF" w14:textId="77777777" w:rsidR="00C22814" w:rsidRPr="0002712A" w:rsidRDefault="008E1FBA" w:rsidP="00F4320E">
            <w:pPr>
              <w:pStyle w:val="TableParagraph"/>
              <w:widowControl/>
              <w:jc w:val="right"/>
              <w:rPr>
                <w:sz w:val="18"/>
              </w:rPr>
            </w:pPr>
            <w:r>
              <w:rPr>
                <w:sz w:val="18"/>
              </w:rPr>
              <w:t>(</w:t>
            </w:r>
            <w:proofErr w:type="gramStart"/>
            <w:r>
              <w:rPr>
                <w:sz w:val="18"/>
              </w:rPr>
              <w:t>valeur</w:t>
            </w:r>
            <w:proofErr w:type="gramEnd"/>
            <w:r>
              <w:rPr>
                <w:sz w:val="18"/>
              </w:rPr>
              <w:t xml:space="preserve"> actualisée)</w:t>
            </w:r>
          </w:p>
        </w:tc>
      </w:tr>
      <w:tr w:rsidR="00C22814" w:rsidRPr="0002712A" w14:paraId="052DE7C9" w14:textId="77777777" w:rsidTr="00AD470F">
        <w:tc>
          <w:tcPr>
            <w:tcW w:w="1000" w:type="pct"/>
          </w:tcPr>
          <w:p w14:paraId="4BC02579" w14:textId="77777777" w:rsidR="00C22814" w:rsidRPr="0002712A" w:rsidRDefault="008E1FBA" w:rsidP="00F4320E">
            <w:pPr>
              <w:pStyle w:val="TableParagraph"/>
              <w:widowControl/>
              <w:rPr>
                <w:b/>
              </w:rPr>
            </w:pPr>
            <w:r>
              <w:rPr>
                <w:b/>
              </w:rPr>
              <w:t>Bas</w:t>
            </w:r>
          </w:p>
        </w:tc>
        <w:tc>
          <w:tcPr>
            <w:tcW w:w="1003" w:type="pct"/>
          </w:tcPr>
          <w:p w14:paraId="256A823A" w14:textId="77777777" w:rsidR="00C22814" w:rsidRPr="0002712A" w:rsidRDefault="008E1FBA" w:rsidP="00F4320E">
            <w:pPr>
              <w:pStyle w:val="TableParagraph"/>
              <w:widowControl/>
              <w:jc w:val="right"/>
              <w:rPr>
                <w:b/>
                <w:sz w:val="16"/>
              </w:rPr>
            </w:pPr>
            <w:r>
              <w:rPr>
                <w:b/>
                <w:sz w:val="16"/>
              </w:rPr>
              <w:t>Facultatif</w:t>
            </w:r>
          </w:p>
        </w:tc>
        <w:tc>
          <w:tcPr>
            <w:tcW w:w="497" w:type="pct"/>
            <w:vMerge w:val="restart"/>
            <w:tcBorders>
              <w:left w:val="single" w:sz="12" w:space="0" w:color="000000"/>
              <w:bottom w:val="single" w:sz="12" w:space="0" w:color="000000"/>
              <w:right w:val="single" w:sz="12" w:space="0" w:color="000000"/>
            </w:tcBorders>
          </w:tcPr>
          <w:p w14:paraId="0212BACC" w14:textId="77777777" w:rsidR="00C22814" w:rsidRPr="0002712A" w:rsidRDefault="00C22814" w:rsidP="00F4320E">
            <w:pPr>
              <w:pStyle w:val="TableParagraph"/>
              <w:widowControl/>
              <w:rPr>
                <w:rFonts w:ascii="Times New Roman"/>
                <w:sz w:val="20"/>
              </w:rPr>
            </w:pPr>
          </w:p>
        </w:tc>
        <w:tc>
          <w:tcPr>
            <w:tcW w:w="1500" w:type="pct"/>
          </w:tcPr>
          <w:p w14:paraId="2394E1C7" w14:textId="77777777" w:rsidR="00C22814" w:rsidRPr="0002712A" w:rsidRDefault="008E1FBA" w:rsidP="00F4320E">
            <w:pPr>
              <w:pStyle w:val="TableParagraph"/>
              <w:widowControl/>
              <w:jc w:val="right"/>
              <w:rPr>
                <w:b/>
                <w:sz w:val="16"/>
              </w:rPr>
            </w:pPr>
            <w:r>
              <w:rPr>
                <w:b/>
                <w:sz w:val="16"/>
              </w:rPr>
              <w:t>Facultatif</w:t>
            </w:r>
          </w:p>
        </w:tc>
        <w:tc>
          <w:tcPr>
            <w:tcW w:w="1000" w:type="pct"/>
          </w:tcPr>
          <w:p w14:paraId="21A65595" w14:textId="77777777" w:rsidR="00C22814" w:rsidRPr="0002712A" w:rsidRDefault="008E1FBA" w:rsidP="00F4320E">
            <w:pPr>
              <w:pStyle w:val="TableParagraph"/>
              <w:widowControl/>
              <w:jc w:val="right"/>
              <w:rPr>
                <w:b/>
                <w:sz w:val="16"/>
              </w:rPr>
            </w:pPr>
            <w:r>
              <w:rPr>
                <w:b/>
                <w:sz w:val="16"/>
              </w:rPr>
              <w:t>Facultatif</w:t>
            </w:r>
          </w:p>
        </w:tc>
      </w:tr>
      <w:tr w:rsidR="00C22814" w:rsidRPr="0002712A" w14:paraId="0CEF6DC3" w14:textId="77777777" w:rsidTr="00AD470F">
        <w:tc>
          <w:tcPr>
            <w:tcW w:w="1000" w:type="pct"/>
            <w:tcBorders>
              <w:bottom w:val="single" w:sz="12" w:space="0" w:color="000000"/>
            </w:tcBorders>
          </w:tcPr>
          <w:p w14:paraId="4D21B567" w14:textId="77777777" w:rsidR="00C22814" w:rsidRPr="0002712A" w:rsidRDefault="008E1FBA" w:rsidP="00F4320E">
            <w:pPr>
              <w:pStyle w:val="TableParagraph"/>
              <w:widowControl/>
              <w:rPr>
                <w:b/>
              </w:rPr>
            </w:pPr>
            <w:r>
              <w:rPr>
                <w:b/>
              </w:rPr>
              <w:t>Élevé</w:t>
            </w:r>
          </w:p>
        </w:tc>
        <w:tc>
          <w:tcPr>
            <w:tcW w:w="1003" w:type="pct"/>
            <w:tcBorders>
              <w:bottom w:val="single" w:sz="12" w:space="0" w:color="000000"/>
            </w:tcBorders>
          </w:tcPr>
          <w:p w14:paraId="213910C7" w14:textId="77777777" w:rsidR="00C22814" w:rsidRPr="0002712A" w:rsidRDefault="008E1FBA" w:rsidP="00F4320E">
            <w:pPr>
              <w:pStyle w:val="TableParagraph"/>
              <w:widowControl/>
              <w:jc w:val="right"/>
              <w:rPr>
                <w:b/>
                <w:sz w:val="16"/>
              </w:rPr>
            </w:pPr>
            <w:r>
              <w:rPr>
                <w:b/>
                <w:sz w:val="16"/>
              </w:rPr>
              <w:t>Facultatif</w:t>
            </w:r>
          </w:p>
        </w:tc>
        <w:tc>
          <w:tcPr>
            <w:tcW w:w="497" w:type="pct"/>
            <w:vMerge/>
            <w:tcBorders>
              <w:top w:val="nil"/>
              <w:left w:val="single" w:sz="12" w:space="0" w:color="000000"/>
              <w:bottom w:val="single" w:sz="12" w:space="0" w:color="000000"/>
              <w:right w:val="single" w:sz="12" w:space="0" w:color="000000"/>
            </w:tcBorders>
          </w:tcPr>
          <w:p w14:paraId="25456C66" w14:textId="77777777" w:rsidR="00C22814" w:rsidRPr="0002712A" w:rsidRDefault="00C22814" w:rsidP="00F4320E">
            <w:pPr>
              <w:widowControl/>
              <w:rPr>
                <w:sz w:val="2"/>
                <w:szCs w:val="2"/>
              </w:rPr>
            </w:pPr>
          </w:p>
        </w:tc>
        <w:tc>
          <w:tcPr>
            <w:tcW w:w="1500" w:type="pct"/>
            <w:tcBorders>
              <w:bottom w:val="single" w:sz="12" w:space="0" w:color="000000"/>
            </w:tcBorders>
          </w:tcPr>
          <w:p w14:paraId="735C512E" w14:textId="77777777" w:rsidR="00C22814" w:rsidRPr="0002712A" w:rsidRDefault="008E1FBA" w:rsidP="00F4320E">
            <w:pPr>
              <w:pStyle w:val="TableParagraph"/>
              <w:widowControl/>
              <w:jc w:val="right"/>
              <w:rPr>
                <w:b/>
                <w:sz w:val="16"/>
              </w:rPr>
            </w:pPr>
            <w:r>
              <w:rPr>
                <w:b/>
                <w:sz w:val="16"/>
              </w:rPr>
              <w:t>Facultatif</w:t>
            </w:r>
          </w:p>
        </w:tc>
        <w:tc>
          <w:tcPr>
            <w:tcW w:w="1000" w:type="pct"/>
            <w:tcBorders>
              <w:bottom w:val="single" w:sz="12" w:space="0" w:color="000000"/>
            </w:tcBorders>
          </w:tcPr>
          <w:p w14:paraId="37A34088" w14:textId="77777777" w:rsidR="00C22814" w:rsidRPr="0002712A" w:rsidRDefault="008E1FBA" w:rsidP="00F4320E">
            <w:pPr>
              <w:pStyle w:val="TableParagraph"/>
              <w:widowControl/>
              <w:jc w:val="right"/>
              <w:rPr>
                <w:b/>
                <w:sz w:val="16"/>
              </w:rPr>
            </w:pPr>
            <w:r>
              <w:rPr>
                <w:b/>
                <w:sz w:val="16"/>
              </w:rPr>
              <w:t>Facultatif</w:t>
            </w:r>
          </w:p>
        </w:tc>
      </w:tr>
      <w:tr w:rsidR="00C22814" w:rsidRPr="0002712A" w14:paraId="347D2599" w14:textId="77777777" w:rsidTr="00AD470F">
        <w:tc>
          <w:tcPr>
            <w:tcW w:w="1000" w:type="pct"/>
            <w:tcBorders>
              <w:top w:val="single" w:sz="12" w:space="0" w:color="000000"/>
              <w:left w:val="single" w:sz="12" w:space="0" w:color="000000"/>
              <w:bottom w:val="single" w:sz="12" w:space="0" w:color="000000"/>
              <w:right w:val="single" w:sz="12" w:space="0" w:color="000000"/>
            </w:tcBorders>
          </w:tcPr>
          <w:p w14:paraId="585288D6" w14:textId="77777777" w:rsidR="00C22814" w:rsidRPr="0002712A" w:rsidRDefault="008E1FBA" w:rsidP="00F4320E">
            <w:pPr>
              <w:pStyle w:val="TableParagraph"/>
              <w:widowControl/>
              <w:rPr>
                <w:b/>
              </w:rPr>
            </w:pPr>
            <w:r>
              <w:rPr>
                <w:b/>
              </w:rPr>
              <w:t>Estimation la plus plausible</w:t>
            </w:r>
          </w:p>
        </w:tc>
        <w:tc>
          <w:tcPr>
            <w:tcW w:w="1003" w:type="pct"/>
            <w:tcBorders>
              <w:top w:val="single" w:sz="12" w:space="0" w:color="000000"/>
              <w:left w:val="single" w:sz="12" w:space="0" w:color="000000"/>
              <w:bottom w:val="single" w:sz="12" w:space="0" w:color="000000"/>
              <w:right w:val="single" w:sz="12" w:space="0" w:color="000000"/>
            </w:tcBorders>
          </w:tcPr>
          <w:p w14:paraId="71586004" w14:textId="77777777" w:rsidR="00C22814" w:rsidRPr="0002712A" w:rsidRDefault="008E1FBA" w:rsidP="00F4320E">
            <w:pPr>
              <w:pStyle w:val="TableParagraph"/>
              <w:widowControl/>
              <w:jc w:val="right"/>
              <w:rPr>
                <w:b/>
              </w:rPr>
            </w:pPr>
            <w:r>
              <w:rPr>
                <w:b/>
              </w:rPr>
              <w:t>Sans objet</w:t>
            </w:r>
          </w:p>
        </w:tc>
        <w:tc>
          <w:tcPr>
            <w:tcW w:w="497" w:type="pct"/>
            <w:vMerge/>
            <w:tcBorders>
              <w:top w:val="nil"/>
              <w:left w:val="single" w:sz="12" w:space="0" w:color="000000"/>
              <w:bottom w:val="single" w:sz="12" w:space="0" w:color="000000"/>
              <w:right w:val="single" w:sz="12" w:space="0" w:color="000000"/>
            </w:tcBorders>
          </w:tcPr>
          <w:p w14:paraId="66687755" w14:textId="77777777" w:rsidR="00C22814" w:rsidRPr="0002712A" w:rsidRDefault="00C22814" w:rsidP="00F4320E">
            <w:pPr>
              <w:widowControl/>
              <w:rPr>
                <w:sz w:val="2"/>
                <w:szCs w:val="2"/>
              </w:rPr>
            </w:pPr>
          </w:p>
        </w:tc>
        <w:tc>
          <w:tcPr>
            <w:tcW w:w="1500" w:type="pct"/>
            <w:tcBorders>
              <w:top w:val="single" w:sz="12" w:space="0" w:color="000000"/>
              <w:left w:val="single" w:sz="12" w:space="0" w:color="000000"/>
              <w:bottom w:val="single" w:sz="12" w:space="0" w:color="000000"/>
              <w:right w:val="single" w:sz="12" w:space="0" w:color="000000"/>
            </w:tcBorders>
          </w:tcPr>
          <w:p w14:paraId="50B6D7B6" w14:textId="77777777" w:rsidR="00C22814" w:rsidRPr="0002712A" w:rsidRDefault="008E1FBA" w:rsidP="00F4320E">
            <w:pPr>
              <w:pStyle w:val="TableParagraph"/>
              <w:widowControl/>
              <w:jc w:val="right"/>
              <w:rPr>
                <w:b/>
              </w:rPr>
            </w:pPr>
            <w:r>
              <w:rPr>
                <w:b/>
              </w:rPr>
              <w:t>Sans objet</w:t>
            </w:r>
          </w:p>
        </w:tc>
        <w:tc>
          <w:tcPr>
            <w:tcW w:w="1000" w:type="pct"/>
            <w:tcBorders>
              <w:top w:val="single" w:sz="12" w:space="0" w:color="000000"/>
              <w:left w:val="single" w:sz="12" w:space="0" w:color="000000"/>
              <w:bottom w:val="single" w:sz="12" w:space="0" w:color="000000"/>
              <w:right w:val="single" w:sz="12" w:space="0" w:color="000000"/>
            </w:tcBorders>
          </w:tcPr>
          <w:p w14:paraId="117E472C" w14:textId="77777777" w:rsidR="00C22814" w:rsidRPr="0002712A" w:rsidRDefault="008E1FBA" w:rsidP="00F4320E">
            <w:pPr>
              <w:pStyle w:val="TableParagraph"/>
              <w:widowControl/>
              <w:jc w:val="right"/>
              <w:rPr>
                <w:b/>
              </w:rPr>
            </w:pPr>
            <w:r>
              <w:rPr>
                <w:b/>
              </w:rPr>
              <w:t>Sans objet</w:t>
            </w:r>
          </w:p>
        </w:tc>
      </w:tr>
      <w:tr w:rsidR="00C22814" w:rsidRPr="0002712A" w14:paraId="1C848CC1" w14:textId="77777777" w:rsidTr="00AD470F">
        <w:tc>
          <w:tcPr>
            <w:tcW w:w="5000" w:type="pct"/>
            <w:gridSpan w:val="5"/>
            <w:tcBorders>
              <w:top w:val="single" w:sz="12" w:space="0" w:color="000000"/>
            </w:tcBorders>
          </w:tcPr>
          <w:p w14:paraId="4018246A" w14:textId="77777777" w:rsidR="00C22814" w:rsidRPr="0002712A" w:rsidRDefault="008E1FBA" w:rsidP="00F4320E">
            <w:pPr>
              <w:pStyle w:val="TableParagraph"/>
              <w:widowControl/>
              <w:rPr>
                <w:b/>
                <w:sz w:val="20"/>
              </w:rPr>
            </w:pPr>
            <w:r>
              <w:rPr>
                <w:b/>
                <w:sz w:val="20"/>
              </w:rPr>
              <w:t>Description et fourchette des principaux coûts quantifiables par</w:t>
            </w:r>
            <w:proofErr w:type="gramStart"/>
            <w:r>
              <w:rPr>
                <w:b/>
                <w:sz w:val="20"/>
              </w:rPr>
              <w:t xml:space="preserve"> «principaux</w:t>
            </w:r>
            <w:proofErr w:type="gramEnd"/>
            <w:r>
              <w:rPr>
                <w:b/>
                <w:sz w:val="20"/>
              </w:rPr>
              <w:t xml:space="preserve"> groupes concernés»</w:t>
            </w:r>
          </w:p>
          <w:p w14:paraId="7939DB6F" w14:textId="77777777" w:rsidR="00C22814" w:rsidRPr="0002712A" w:rsidRDefault="008E1FBA" w:rsidP="00F4320E">
            <w:pPr>
              <w:pStyle w:val="TableParagraph"/>
              <w:widowControl/>
            </w:pPr>
            <w:r>
              <w:t>L’option 1 (Ne rien faire) n’implique aucun coût quantifiable pour les principaux groupes concernés.</w:t>
            </w:r>
          </w:p>
          <w:p w14:paraId="3BA424DD" w14:textId="77777777" w:rsidR="00F4320E" w:rsidRPr="0002712A" w:rsidRDefault="00F4320E" w:rsidP="00F4320E">
            <w:pPr>
              <w:pStyle w:val="TableParagraph"/>
              <w:widowControl/>
            </w:pPr>
          </w:p>
          <w:p w14:paraId="23270FB9" w14:textId="77777777" w:rsidR="00F4320E" w:rsidRPr="0002712A" w:rsidRDefault="00F4320E" w:rsidP="00F4320E">
            <w:pPr>
              <w:pStyle w:val="TableParagraph"/>
              <w:widowControl/>
            </w:pPr>
          </w:p>
          <w:p w14:paraId="2C92F317" w14:textId="77777777" w:rsidR="00F4320E" w:rsidRPr="0002712A" w:rsidRDefault="00F4320E" w:rsidP="00F4320E">
            <w:pPr>
              <w:pStyle w:val="TableParagraph"/>
              <w:widowControl/>
            </w:pPr>
          </w:p>
        </w:tc>
      </w:tr>
      <w:tr w:rsidR="00C22814" w:rsidRPr="0002712A" w14:paraId="0BD27858" w14:textId="77777777" w:rsidTr="00AD470F">
        <w:tc>
          <w:tcPr>
            <w:tcW w:w="5000" w:type="pct"/>
            <w:gridSpan w:val="5"/>
          </w:tcPr>
          <w:p w14:paraId="241881F6" w14:textId="77777777" w:rsidR="00C22814" w:rsidRPr="0002712A" w:rsidRDefault="008E1FBA" w:rsidP="00F4320E">
            <w:pPr>
              <w:pStyle w:val="TableParagraph"/>
              <w:widowControl/>
              <w:rPr>
                <w:b/>
                <w:sz w:val="20"/>
              </w:rPr>
            </w:pPr>
            <w:r>
              <w:rPr>
                <w:b/>
                <w:sz w:val="20"/>
              </w:rPr>
              <w:t>Autres principaux coûts non quantifiables supportés par les</w:t>
            </w:r>
            <w:proofErr w:type="gramStart"/>
            <w:r>
              <w:rPr>
                <w:b/>
                <w:sz w:val="20"/>
              </w:rPr>
              <w:t xml:space="preserve"> «principaux</w:t>
            </w:r>
            <w:proofErr w:type="gramEnd"/>
            <w:r>
              <w:rPr>
                <w:b/>
                <w:sz w:val="20"/>
              </w:rPr>
              <w:t xml:space="preserve"> groupes concernés»</w:t>
            </w:r>
          </w:p>
          <w:p w14:paraId="5B3E7689" w14:textId="77777777" w:rsidR="00C22814" w:rsidRPr="0002712A" w:rsidRDefault="008E1FBA" w:rsidP="00F4320E">
            <w:pPr>
              <w:pStyle w:val="TableParagraph"/>
              <w:widowControl/>
            </w:pPr>
            <w:r>
              <w:t>L’option 1 (Ne rien faire) n’impose aucun coût direct pour les principaux groupes concernés, mais l’utilisation de cartes du radon obsolètes pourrait conduire certains constructeurs résidentiels à intégrer une protection contre le radon là où il n’est pas proportionné de le faire, ou à ne pas incorporer de protection contre le radon dans les zones nouvellement affectées.</w:t>
            </w:r>
          </w:p>
          <w:p w14:paraId="06563A25" w14:textId="77777777" w:rsidR="00F4320E" w:rsidRPr="0002712A" w:rsidRDefault="00F4320E" w:rsidP="00F4320E">
            <w:pPr>
              <w:pStyle w:val="TableParagraph"/>
              <w:widowControl/>
            </w:pPr>
          </w:p>
          <w:p w14:paraId="35013EC9" w14:textId="77777777" w:rsidR="00F4320E" w:rsidRPr="0002712A" w:rsidRDefault="00F4320E" w:rsidP="00F4320E">
            <w:pPr>
              <w:pStyle w:val="TableParagraph"/>
              <w:widowControl/>
            </w:pPr>
          </w:p>
        </w:tc>
      </w:tr>
      <w:tr w:rsidR="00C22814" w:rsidRPr="0002712A" w14:paraId="5F2F19AF" w14:textId="77777777" w:rsidTr="00AD470F">
        <w:tc>
          <w:tcPr>
            <w:tcW w:w="1000" w:type="pct"/>
            <w:tcBorders>
              <w:bottom w:val="single" w:sz="2" w:space="0" w:color="000000"/>
            </w:tcBorders>
          </w:tcPr>
          <w:p w14:paraId="245F7AD9" w14:textId="77777777" w:rsidR="00C22814" w:rsidRPr="0002712A" w:rsidRDefault="008E1FBA" w:rsidP="00F4320E">
            <w:pPr>
              <w:pStyle w:val="TableParagraph"/>
              <w:widowControl/>
              <w:rPr>
                <w:b/>
              </w:rPr>
            </w:pPr>
            <w:r>
              <w:rPr>
                <w:b/>
              </w:rPr>
              <w:t>Bénéfices (</w:t>
            </w:r>
            <w:proofErr w:type="spellStart"/>
            <w:r>
              <w:rPr>
                <w:b/>
              </w:rPr>
              <w:t>Mio</w:t>
            </w:r>
            <w:proofErr w:type="spellEnd"/>
            <w:r>
              <w:rPr>
                <w:b/>
              </w:rPr>
              <w:t> GBP)</w:t>
            </w:r>
          </w:p>
        </w:tc>
        <w:tc>
          <w:tcPr>
            <w:tcW w:w="1500" w:type="pct"/>
            <w:gridSpan w:val="2"/>
            <w:tcBorders>
              <w:bottom w:val="single" w:sz="2" w:space="0" w:color="000000"/>
            </w:tcBorders>
          </w:tcPr>
          <w:p w14:paraId="7DF8971E" w14:textId="77777777" w:rsidR="00C22814" w:rsidRPr="0002712A" w:rsidRDefault="008E1FBA" w:rsidP="00F4320E">
            <w:pPr>
              <w:pStyle w:val="TableParagraph"/>
              <w:widowControl/>
              <w:rPr>
                <w:b/>
              </w:rPr>
            </w:pPr>
            <w:r>
              <w:rPr>
                <w:b/>
              </w:rPr>
              <w:t>Total transitoire (politique)</w:t>
            </w:r>
          </w:p>
        </w:tc>
        <w:tc>
          <w:tcPr>
            <w:tcW w:w="1500" w:type="pct"/>
            <w:tcBorders>
              <w:bottom w:val="single" w:sz="2" w:space="0" w:color="000000"/>
            </w:tcBorders>
          </w:tcPr>
          <w:p w14:paraId="44CA5442" w14:textId="77777777" w:rsidR="00C22814" w:rsidRPr="0002712A" w:rsidRDefault="008E1FBA" w:rsidP="00F4320E">
            <w:pPr>
              <w:pStyle w:val="TableParagraph"/>
              <w:widowControl/>
              <w:rPr>
                <w:b/>
              </w:rPr>
            </w:pPr>
            <w:r>
              <w:rPr>
                <w:b/>
              </w:rPr>
              <w:t>Moyenne annuelle (récurrent)</w:t>
            </w:r>
          </w:p>
        </w:tc>
        <w:tc>
          <w:tcPr>
            <w:tcW w:w="1000" w:type="pct"/>
            <w:tcBorders>
              <w:bottom w:val="single" w:sz="2" w:space="0" w:color="000000"/>
            </w:tcBorders>
          </w:tcPr>
          <w:p w14:paraId="210F3348" w14:textId="77777777" w:rsidR="00C22814" w:rsidRPr="0002712A" w:rsidRDefault="008E1FBA" w:rsidP="00F4320E">
            <w:pPr>
              <w:pStyle w:val="TableParagraph"/>
              <w:widowControl/>
              <w:rPr>
                <w:b/>
              </w:rPr>
            </w:pPr>
            <w:r>
              <w:rPr>
                <w:b/>
              </w:rPr>
              <w:t>Bénéfices totaux</w:t>
            </w:r>
          </w:p>
        </w:tc>
      </w:tr>
      <w:tr w:rsidR="00C22814" w:rsidRPr="0002712A" w14:paraId="3368513B" w14:textId="77777777" w:rsidTr="00AD470F">
        <w:tc>
          <w:tcPr>
            <w:tcW w:w="1000" w:type="pct"/>
            <w:tcBorders>
              <w:top w:val="single" w:sz="2" w:space="0" w:color="000000"/>
            </w:tcBorders>
          </w:tcPr>
          <w:p w14:paraId="2CF9482F" w14:textId="77777777" w:rsidR="00C22814" w:rsidRPr="0002712A" w:rsidRDefault="00C22814" w:rsidP="00F4320E">
            <w:pPr>
              <w:pStyle w:val="TableParagraph"/>
              <w:widowControl/>
              <w:rPr>
                <w:rFonts w:ascii="Times New Roman"/>
                <w:sz w:val="18"/>
              </w:rPr>
            </w:pPr>
          </w:p>
        </w:tc>
        <w:tc>
          <w:tcPr>
            <w:tcW w:w="1003" w:type="pct"/>
            <w:tcBorders>
              <w:top w:val="single" w:sz="2" w:space="0" w:color="000000"/>
              <w:right w:val="single" w:sz="2" w:space="0" w:color="000000"/>
            </w:tcBorders>
          </w:tcPr>
          <w:p w14:paraId="72530558" w14:textId="77777777" w:rsidR="00C22814" w:rsidRPr="0002712A" w:rsidRDefault="008E1FBA" w:rsidP="00F4320E">
            <w:pPr>
              <w:pStyle w:val="TableParagraph"/>
              <w:widowControl/>
              <w:jc w:val="right"/>
              <w:rPr>
                <w:sz w:val="18"/>
              </w:rPr>
            </w:pPr>
            <w:r>
              <w:rPr>
                <w:sz w:val="18"/>
              </w:rPr>
              <w:t>(</w:t>
            </w:r>
            <w:proofErr w:type="gramStart"/>
            <w:r>
              <w:rPr>
                <w:sz w:val="18"/>
              </w:rPr>
              <w:t>prix</w:t>
            </w:r>
            <w:proofErr w:type="gramEnd"/>
            <w:r>
              <w:rPr>
                <w:sz w:val="18"/>
              </w:rPr>
              <w:t xml:space="preserve"> constants)</w:t>
            </w:r>
          </w:p>
        </w:tc>
        <w:tc>
          <w:tcPr>
            <w:tcW w:w="497" w:type="pct"/>
            <w:tcBorders>
              <w:top w:val="single" w:sz="2" w:space="0" w:color="000000"/>
              <w:left w:val="single" w:sz="2" w:space="0" w:color="000000"/>
            </w:tcBorders>
          </w:tcPr>
          <w:p w14:paraId="7600EBBD" w14:textId="77777777" w:rsidR="00C22814" w:rsidRPr="0002712A" w:rsidRDefault="008E1FBA" w:rsidP="00F4320E">
            <w:pPr>
              <w:pStyle w:val="TableParagraph"/>
              <w:widowControl/>
              <w:jc w:val="right"/>
              <w:rPr>
                <w:sz w:val="18"/>
              </w:rPr>
            </w:pPr>
            <w:r>
              <w:rPr>
                <w:sz w:val="18"/>
              </w:rPr>
              <w:t>Années</w:t>
            </w:r>
          </w:p>
        </w:tc>
        <w:tc>
          <w:tcPr>
            <w:tcW w:w="1500" w:type="pct"/>
            <w:tcBorders>
              <w:top w:val="single" w:sz="2" w:space="0" w:color="000000"/>
            </w:tcBorders>
          </w:tcPr>
          <w:p w14:paraId="1C60ABB9" w14:textId="77777777" w:rsidR="00C22814" w:rsidRPr="0002712A" w:rsidRDefault="008E1FBA" w:rsidP="00F4320E">
            <w:pPr>
              <w:pStyle w:val="TableParagraph"/>
              <w:widowControl/>
              <w:jc w:val="right"/>
              <w:rPr>
                <w:sz w:val="18"/>
              </w:rPr>
            </w:pPr>
            <w:r>
              <w:rPr>
                <w:sz w:val="18"/>
              </w:rPr>
              <w:t>(</w:t>
            </w:r>
            <w:proofErr w:type="gramStart"/>
            <w:r>
              <w:rPr>
                <w:sz w:val="18"/>
              </w:rPr>
              <w:t>hors</w:t>
            </w:r>
            <w:proofErr w:type="gramEnd"/>
            <w:r>
              <w:rPr>
                <w:sz w:val="18"/>
              </w:rPr>
              <w:t xml:space="preserve"> transition) (prix constants)</w:t>
            </w:r>
          </w:p>
        </w:tc>
        <w:tc>
          <w:tcPr>
            <w:tcW w:w="1000" w:type="pct"/>
            <w:tcBorders>
              <w:top w:val="single" w:sz="2" w:space="0" w:color="000000"/>
            </w:tcBorders>
          </w:tcPr>
          <w:p w14:paraId="43A887A3" w14:textId="77777777" w:rsidR="00C22814" w:rsidRPr="0002712A" w:rsidRDefault="008E1FBA" w:rsidP="00F4320E">
            <w:pPr>
              <w:pStyle w:val="TableParagraph"/>
              <w:widowControl/>
              <w:jc w:val="right"/>
              <w:rPr>
                <w:sz w:val="18"/>
              </w:rPr>
            </w:pPr>
            <w:r>
              <w:rPr>
                <w:sz w:val="18"/>
              </w:rPr>
              <w:t>(</w:t>
            </w:r>
            <w:proofErr w:type="gramStart"/>
            <w:r>
              <w:rPr>
                <w:sz w:val="18"/>
              </w:rPr>
              <w:t>valeur</w:t>
            </w:r>
            <w:proofErr w:type="gramEnd"/>
            <w:r>
              <w:rPr>
                <w:sz w:val="18"/>
              </w:rPr>
              <w:t xml:space="preserve"> actualisée)</w:t>
            </w:r>
          </w:p>
        </w:tc>
      </w:tr>
      <w:tr w:rsidR="00C22814" w:rsidRPr="0002712A" w14:paraId="615973AC" w14:textId="77777777" w:rsidTr="00AD470F">
        <w:tc>
          <w:tcPr>
            <w:tcW w:w="1000" w:type="pct"/>
          </w:tcPr>
          <w:p w14:paraId="4401162E" w14:textId="77777777" w:rsidR="00C22814" w:rsidRPr="0002712A" w:rsidRDefault="008E1FBA" w:rsidP="00F4320E">
            <w:pPr>
              <w:pStyle w:val="TableParagraph"/>
              <w:widowControl/>
              <w:rPr>
                <w:b/>
              </w:rPr>
            </w:pPr>
            <w:r>
              <w:rPr>
                <w:b/>
              </w:rPr>
              <w:t>Bas</w:t>
            </w:r>
          </w:p>
        </w:tc>
        <w:tc>
          <w:tcPr>
            <w:tcW w:w="1003" w:type="pct"/>
          </w:tcPr>
          <w:p w14:paraId="78BCC311" w14:textId="77777777" w:rsidR="00C22814" w:rsidRPr="0002712A" w:rsidRDefault="008E1FBA" w:rsidP="00F4320E">
            <w:pPr>
              <w:pStyle w:val="TableParagraph"/>
              <w:widowControl/>
              <w:jc w:val="right"/>
              <w:rPr>
                <w:b/>
                <w:sz w:val="16"/>
              </w:rPr>
            </w:pPr>
            <w:r>
              <w:rPr>
                <w:b/>
                <w:sz w:val="16"/>
              </w:rPr>
              <w:t>Facultatif</w:t>
            </w:r>
          </w:p>
        </w:tc>
        <w:tc>
          <w:tcPr>
            <w:tcW w:w="497" w:type="pct"/>
            <w:vMerge w:val="restart"/>
            <w:tcBorders>
              <w:bottom w:val="nil"/>
            </w:tcBorders>
            <w:shd w:val="clear" w:color="auto" w:fill="FFFFFF"/>
          </w:tcPr>
          <w:p w14:paraId="7C9453A4" w14:textId="77777777" w:rsidR="00C22814" w:rsidRPr="0002712A" w:rsidRDefault="00C22814" w:rsidP="00F4320E">
            <w:pPr>
              <w:pStyle w:val="TableParagraph"/>
              <w:widowControl/>
              <w:rPr>
                <w:rFonts w:ascii="Times New Roman"/>
                <w:sz w:val="20"/>
              </w:rPr>
            </w:pPr>
          </w:p>
        </w:tc>
        <w:tc>
          <w:tcPr>
            <w:tcW w:w="1500" w:type="pct"/>
          </w:tcPr>
          <w:p w14:paraId="6159AD24" w14:textId="77777777" w:rsidR="00C22814" w:rsidRPr="0002712A" w:rsidRDefault="008E1FBA" w:rsidP="00F4320E">
            <w:pPr>
              <w:pStyle w:val="TableParagraph"/>
              <w:widowControl/>
              <w:jc w:val="right"/>
              <w:rPr>
                <w:b/>
                <w:sz w:val="16"/>
              </w:rPr>
            </w:pPr>
            <w:r>
              <w:rPr>
                <w:b/>
                <w:sz w:val="16"/>
              </w:rPr>
              <w:t>Facultatif</w:t>
            </w:r>
          </w:p>
        </w:tc>
        <w:tc>
          <w:tcPr>
            <w:tcW w:w="1000" w:type="pct"/>
          </w:tcPr>
          <w:p w14:paraId="485433F1" w14:textId="77777777" w:rsidR="00C22814" w:rsidRPr="0002712A" w:rsidRDefault="008E1FBA" w:rsidP="00F4320E">
            <w:pPr>
              <w:pStyle w:val="TableParagraph"/>
              <w:widowControl/>
              <w:jc w:val="right"/>
              <w:rPr>
                <w:b/>
                <w:sz w:val="16"/>
              </w:rPr>
            </w:pPr>
            <w:r>
              <w:rPr>
                <w:b/>
                <w:sz w:val="16"/>
              </w:rPr>
              <w:t>Facultatif</w:t>
            </w:r>
          </w:p>
        </w:tc>
      </w:tr>
      <w:tr w:rsidR="00C22814" w:rsidRPr="0002712A" w14:paraId="6BE4B3D0" w14:textId="77777777" w:rsidTr="00AD470F">
        <w:tc>
          <w:tcPr>
            <w:tcW w:w="1000" w:type="pct"/>
            <w:tcBorders>
              <w:bottom w:val="single" w:sz="12" w:space="0" w:color="000000"/>
            </w:tcBorders>
          </w:tcPr>
          <w:p w14:paraId="3FB7867E" w14:textId="77777777" w:rsidR="00C22814" w:rsidRPr="0002712A" w:rsidRDefault="008E1FBA" w:rsidP="00F4320E">
            <w:pPr>
              <w:pStyle w:val="TableParagraph"/>
              <w:widowControl/>
              <w:rPr>
                <w:b/>
              </w:rPr>
            </w:pPr>
            <w:r>
              <w:rPr>
                <w:b/>
              </w:rPr>
              <w:t>Élevé</w:t>
            </w:r>
          </w:p>
        </w:tc>
        <w:tc>
          <w:tcPr>
            <w:tcW w:w="1003" w:type="pct"/>
            <w:tcBorders>
              <w:bottom w:val="single" w:sz="12" w:space="0" w:color="000000"/>
            </w:tcBorders>
          </w:tcPr>
          <w:p w14:paraId="7EAF7705" w14:textId="77777777" w:rsidR="00C22814" w:rsidRPr="0002712A" w:rsidRDefault="008E1FBA" w:rsidP="00F4320E">
            <w:pPr>
              <w:pStyle w:val="TableParagraph"/>
              <w:widowControl/>
              <w:jc w:val="right"/>
              <w:rPr>
                <w:b/>
                <w:sz w:val="16"/>
              </w:rPr>
            </w:pPr>
            <w:r>
              <w:rPr>
                <w:b/>
                <w:sz w:val="16"/>
              </w:rPr>
              <w:t>Facultatif</w:t>
            </w:r>
          </w:p>
        </w:tc>
        <w:tc>
          <w:tcPr>
            <w:tcW w:w="497" w:type="pct"/>
            <w:vMerge/>
            <w:tcBorders>
              <w:top w:val="nil"/>
              <w:bottom w:val="nil"/>
            </w:tcBorders>
            <w:shd w:val="clear" w:color="auto" w:fill="FFFFFF"/>
          </w:tcPr>
          <w:p w14:paraId="2C76068F" w14:textId="77777777" w:rsidR="00C22814" w:rsidRPr="0002712A" w:rsidRDefault="00C22814" w:rsidP="00F4320E">
            <w:pPr>
              <w:widowControl/>
              <w:rPr>
                <w:sz w:val="2"/>
                <w:szCs w:val="2"/>
              </w:rPr>
            </w:pPr>
          </w:p>
        </w:tc>
        <w:tc>
          <w:tcPr>
            <w:tcW w:w="1500" w:type="pct"/>
            <w:tcBorders>
              <w:bottom w:val="single" w:sz="12" w:space="0" w:color="000000"/>
            </w:tcBorders>
          </w:tcPr>
          <w:p w14:paraId="46E66CA6" w14:textId="77777777" w:rsidR="00C22814" w:rsidRPr="0002712A" w:rsidRDefault="008E1FBA" w:rsidP="00F4320E">
            <w:pPr>
              <w:pStyle w:val="TableParagraph"/>
              <w:widowControl/>
              <w:jc w:val="right"/>
              <w:rPr>
                <w:b/>
                <w:sz w:val="16"/>
              </w:rPr>
            </w:pPr>
            <w:r>
              <w:rPr>
                <w:b/>
                <w:sz w:val="16"/>
              </w:rPr>
              <w:t>Facultatif</w:t>
            </w:r>
          </w:p>
        </w:tc>
        <w:tc>
          <w:tcPr>
            <w:tcW w:w="1000" w:type="pct"/>
            <w:tcBorders>
              <w:bottom w:val="single" w:sz="12" w:space="0" w:color="000000"/>
            </w:tcBorders>
          </w:tcPr>
          <w:p w14:paraId="10E2E7D6" w14:textId="77777777" w:rsidR="00C22814" w:rsidRPr="0002712A" w:rsidRDefault="008E1FBA" w:rsidP="00F4320E">
            <w:pPr>
              <w:pStyle w:val="TableParagraph"/>
              <w:widowControl/>
              <w:jc w:val="right"/>
              <w:rPr>
                <w:b/>
                <w:sz w:val="16"/>
              </w:rPr>
            </w:pPr>
            <w:r>
              <w:rPr>
                <w:b/>
                <w:sz w:val="16"/>
              </w:rPr>
              <w:t>Facultatif</w:t>
            </w:r>
          </w:p>
        </w:tc>
      </w:tr>
      <w:tr w:rsidR="00C22814" w:rsidRPr="0002712A" w14:paraId="529373DE" w14:textId="77777777" w:rsidTr="00AD470F">
        <w:tc>
          <w:tcPr>
            <w:tcW w:w="1000" w:type="pct"/>
            <w:tcBorders>
              <w:top w:val="single" w:sz="12" w:space="0" w:color="000000"/>
              <w:left w:val="single" w:sz="12" w:space="0" w:color="000000"/>
              <w:bottom w:val="single" w:sz="12" w:space="0" w:color="000000"/>
              <w:right w:val="single" w:sz="12" w:space="0" w:color="000000"/>
            </w:tcBorders>
          </w:tcPr>
          <w:p w14:paraId="3FD31FCF" w14:textId="77777777" w:rsidR="00C22814" w:rsidRPr="0002712A" w:rsidRDefault="008E1FBA" w:rsidP="00F4320E">
            <w:pPr>
              <w:pStyle w:val="TableParagraph"/>
              <w:widowControl/>
              <w:rPr>
                <w:b/>
              </w:rPr>
            </w:pPr>
            <w:r>
              <w:rPr>
                <w:b/>
              </w:rPr>
              <w:t>Estimation la plus plausible</w:t>
            </w:r>
          </w:p>
        </w:tc>
        <w:tc>
          <w:tcPr>
            <w:tcW w:w="1003" w:type="pct"/>
            <w:tcBorders>
              <w:top w:val="single" w:sz="12" w:space="0" w:color="000000"/>
              <w:left w:val="single" w:sz="12" w:space="0" w:color="000000"/>
              <w:bottom w:val="single" w:sz="12" w:space="0" w:color="000000"/>
              <w:right w:val="single" w:sz="12" w:space="0" w:color="000000"/>
            </w:tcBorders>
          </w:tcPr>
          <w:p w14:paraId="21781BBF" w14:textId="77777777" w:rsidR="00C22814" w:rsidRPr="0002712A" w:rsidRDefault="008E1FBA" w:rsidP="00F4320E">
            <w:pPr>
              <w:pStyle w:val="TableParagraph"/>
              <w:widowControl/>
              <w:jc w:val="right"/>
              <w:rPr>
                <w:b/>
              </w:rPr>
            </w:pPr>
            <w:r>
              <w:rPr>
                <w:b/>
              </w:rPr>
              <w:t>Sans objet</w:t>
            </w:r>
          </w:p>
        </w:tc>
        <w:tc>
          <w:tcPr>
            <w:tcW w:w="497" w:type="pct"/>
            <w:tcBorders>
              <w:top w:val="nil"/>
              <w:left w:val="single" w:sz="12" w:space="0" w:color="000000"/>
              <w:bottom w:val="single" w:sz="12" w:space="0" w:color="000000"/>
              <w:right w:val="single" w:sz="12" w:space="0" w:color="000000"/>
            </w:tcBorders>
            <w:shd w:val="clear" w:color="auto" w:fill="FFFFFF"/>
          </w:tcPr>
          <w:p w14:paraId="17CD362C" w14:textId="77777777" w:rsidR="00C22814" w:rsidRPr="0002712A" w:rsidRDefault="00C22814" w:rsidP="00F4320E">
            <w:pPr>
              <w:pStyle w:val="TableParagraph"/>
              <w:widowControl/>
              <w:rPr>
                <w:rFonts w:ascii="Times New Roman"/>
                <w:sz w:val="20"/>
              </w:rPr>
            </w:pPr>
          </w:p>
        </w:tc>
        <w:tc>
          <w:tcPr>
            <w:tcW w:w="1500" w:type="pct"/>
            <w:tcBorders>
              <w:top w:val="single" w:sz="12" w:space="0" w:color="000000"/>
              <w:left w:val="single" w:sz="12" w:space="0" w:color="000000"/>
              <w:bottom w:val="single" w:sz="12" w:space="0" w:color="000000"/>
              <w:right w:val="single" w:sz="12" w:space="0" w:color="000000"/>
            </w:tcBorders>
          </w:tcPr>
          <w:p w14:paraId="36A3E9E9" w14:textId="77777777" w:rsidR="00C22814" w:rsidRPr="0002712A" w:rsidRDefault="008E1FBA" w:rsidP="00F4320E">
            <w:pPr>
              <w:pStyle w:val="TableParagraph"/>
              <w:widowControl/>
              <w:jc w:val="right"/>
              <w:rPr>
                <w:b/>
              </w:rPr>
            </w:pPr>
            <w:r>
              <w:rPr>
                <w:b/>
              </w:rPr>
              <w:t>Sans objet</w:t>
            </w:r>
          </w:p>
        </w:tc>
        <w:tc>
          <w:tcPr>
            <w:tcW w:w="1000" w:type="pct"/>
            <w:tcBorders>
              <w:top w:val="single" w:sz="12" w:space="0" w:color="000000"/>
              <w:left w:val="single" w:sz="12" w:space="0" w:color="000000"/>
              <w:bottom w:val="single" w:sz="12" w:space="0" w:color="000000"/>
              <w:right w:val="single" w:sz="12" w:space="0" w:color="000000"/>
            </w:tcBorders>
          </w:tcPr>
          <w:p w14:paraId="495164C3" w14:textId="77777777" w:rsidR="00C22814" w:rsidRPr="0002712A" w:rsidRDefault="008E1FBA" w:rsidP="00F4320E">
            <w:pPr>
              <w:pStyle w:val="TableParagraph"/>
              <w:widowControl/>
              <w:jc w:val="right"/>
              <w:rPr>
                <w:b/>
              </w:rPr>
            </w:pPr>
            <w:r>
              <w:rPr>
                <w:b/>
              </w:rPr>
              <w:t>Sans objet</w:t>
            </w:r>
          </w:p>
        </w:tc>
      </w:tr>
      <w:tr w:rsidR="00C22814" w:rsidRPr="0002712A" w14:paraId="219BDAA1" w14:textId="77777777" w:rsidTr="00AD470F">
        <w:tc>
          <w:tcPr>
            <w:tcW w:w="5000" w:type="pct"/>
            <w:gridSpan w:val="5"/>
            <w:tcBorders>
              <w:top w:val="single" w:sz="12" w:space="0" w:color="000000"/>
            </w:tcBorders>
          </w:tcPr>
          <w:p w14:paraId="7DD0DC1E" w14:textId="77777777" w:rsidR="00C22814" w:rsidRPr="0002712A" w:rsidRDefault="008E1FBA" w:rsidP="00F4320E">
            <w:pPr>
              <w:pStyle w:val="TableParagraph"/>
              <w:widowControl/>
              <w:rPr>
                <w:b/>
                <w:sz w:val="20"/>
              </w:rPr>
            </w:pPr>
            <w:r>
              <w:rPr>
                <w:b/>
                <w:sz w:val="20"/>
              </w:rPr>
              <w:t>Description et fourchette des principaux bénéfices quantifiables profitant aux</w:t>
            </w:r>
            <w:proofErr w:type="gramStart"/>
            <w:r>
              <w:rPr>
                <w:b/>
                <w:sz w:val="20"/>
              </w:rPr>
              <w:t xml:space="preserve"> «principaux</w:t>
            </w:r>
            <w:proofErr w:type="gramEnd"/>
            <w:r>
              <w:rPr>
                <w:b/>
                <w:sz w:val="20"/>
              </w:rPr>
              <w:t xml:space="preserve"> groupes concernés»</w:t>
            </w:r>
          </w:p>
          <w:p w14:paraId="50996E3F" w14:textId="77777777" w:rsidR="00C22814" w:rsidRPr="0002712A" w:rsidRDefault="008E1FBA" w:rsidP="00F4320E">
            <w:pPr>
              <w:pStyle w:val="TableParagraph"/>
              <w:widowControl/>
            </w:pPr>
            <w:r>
              <w:t>L’option 1 (Ne rien faire) ne génère aucun bénéfice complémentaire pour les principaux groupes concernés.</w:t>
            </w:r>
          </w:p>
          <w:p w14:paraId="292750C3" w14:textId="77777777" w:rsidR="00F4320E" w:rsidRPr="0002712A" w:rsidRDefault="00F4320E" w:rsidP="00F4320E">
            <w:pPr>
              <w:pStyle w:val="TableParagraph"/>
              <w:widowControl/>
            </w:pPr>
          </w:p>
          <w:p w14:paraId="64521591" w14:textId="77777777" w:rsidR="00F4320E" w:rsidRPr="0002712A" w:rsidRDefault="00F4320E" w:rsidP="00F4320E">
            <w:pPr>
              <w:pStyle w:val="TableParagraph"/>
              <w:widowControl/>
            </w:pPr>
          </w:p>
          <w:p w14:paraId="3C123584" w14:textId="77777777" w:rsidR="00F4320E" w:rsidRPr="0002712A" w:rsidRDefault="00F4320E" w:rsidP="00F4320E">
            <w:pPr>
              <w:pStyle w:val="TableParagraph"/>
              <w:widowControl/>
            </w:pPr>
          </w:p>
        </w:tc>
      </w:tr>
      <w:tr w:rsidR="00C22814" w:rsidRPr="0002712A" w14:paraId="52A98223" w14:textId="77777777" w:rsidTr="00AD470F">
        <w:tc>
          <w:tcPr>
            <w:tcW w:w="5000" w:type="pct"/>
            <w:gridSpan w:val="5"/>
          </w:tcPr>
          <w:p w14:paraId="731F0583" w14:textId="77777777" w:rsidR="00C22814" w:rsidRPr="0002712A" w:rsidRDefault="008E1FBA" w:rsidP="00F4320E">
            <w:pPr>
              <w:pStyle w:val="TableParagraph"/>
              <w:widowControl/>
              <w:rPr>
                <w:b/>
                <w:sz w:val="20"/>
              </w:rPr>
            </w:pPr>
            <w:r>
              <w:rPr>
                <w:b/>
                <w:sz w:val="20"/>
              </w:rPr>
              <w:t>Autres principaux bénéfices non quantifiables profitant aux</w:t>
            </w:r>
            <w:proofErr w:type="gramStart"/>
            <w:r>
              <w:rPr>
                <w:b/>
                <w:sz w:val="20"/>
              </w:rPr>
              <w:t xml:space="preserve"> «principaux</w:t>
            </w:r>
            <w:proofErr w:type="gramEnd"/>
            <w:r>
              <w:rPr>
                <w:b/>
                <w:sz w:val="20"/>
              </w:rPr>
              <w:t xml:space="preserve"> groupes concernés»</w:t>
            </w:r>
          </w:p>
          <w:p w14:paraId="0823672F" w14:textId="77777777" w:rsidR="00C22814" w:rsidRPr="0002712A" w:rsidRDefault="008E1FBA" w:rsidP="00F4320E">
            <w:pPr>
              <w:pStyle w:val="TableParagraph"/>
              <w:widowControl/>
            </w:pPr>
            <w:r>
              <w:t>L’option 1 (Ne rien faire) ne génère aucun bénéfice complémentaire pour les principaux groupes concernés.</w:t>
            </w:r>
          </w:p>
          <w:p w14:paraId="513A1B76" w14:textId="77777777" w:rsidR="00F4320E" w:rsidRPr="0002712A" w:rsidRDefault="00F4320E" w:rsidP="00F4320E">
            <w:pPr>
              <w:pStyle w:val="TableParagraph"/>
              <w:widowControl/>
            </w:pPr>
          </w:p>
          <w:p w14:paraId="3D3C7035" w14:textId="77777777" w:rsidR="00F4320E" w:rsidRPr="0002712A" w:rsidRDefault="00F4320E" w:rsidP="00F4320E">
            <w:pPr>
              <w:pStyle w:val="TableParagraph"/>
              <w:widowControl/>
            </w:pPr>
          </w:p>
        </w:tc>
      </w:tr>
      <w:tr w:rsidR="00C22814" w:rsidRPr="0002712A" w14:paraId="6B4789FA" w14:textId="77777777" w:rsidTr="00AD470F">
        <w:tc>
          <w:tcPr>
            <w:tcW w:w="5000" w:type="pct"/>
            <w:gridSpan w:val="5"/>
          </w:tcPr>
          <w:p w14:paraId="4BF24D3C" w14:textId="77777777" w:rsidR="00C22814" w:rsidRPr="0002712A" w:rsidRDefault="008E1FBA" w:rsidP="00F4320E">
            <w:pPr>
              <w:pStyle w:val="TableParagraph"/>
              <w:widowControl/>
              <w:jc w:val="both"/>
              <w:rPr>
                <w:b/>
                <w:sz w:val="20"/>
              </w:rPr>
            </w:pPr>
            <w:r>
              <w:rPr>
                <w:b/>
                <w:sz w:val="20"/>
              </w:rPr>
              <w:t>Hypothèses clés, points sensibles, risques</w:t>
            </w:r>
          </w:p>
          <w:p w14:paraId="2989CC71" w14:textId="77777777" w:rsidR="00C22814" w:rsidRPr="00A71A48" w:rsidRDefault="008E1FBA" w:rsidP="00F4320E">
            <w:pPr>
              <w:pStyle w:val="TableParagraph"/>
              <w:widowControl/>
              <w:jc w:val="both"/>
              <w:rPr>
                <w:spacing w:val="-4"/>
              </w:rPr>
            </w:pPr>
            <w:r w:rsidRPr="00A71A48">
              <w:rPr>
                <w:spacing w:val="-4"/>
              </w:rPr>
              <w:t>Sans référence aux cartes les plus récentes sur le radon, certains logements qui devraient bénéficier d’une protection appropriée pourraient ne pas être ciblés, entraînant un risque potentiel accru d’incidents de cancer du poumon. L’utilisation de cartes des risques obsolètes serait incompatible avec les exigences réglementaires en matière de construction d’autres juridictions et d’autres États membres, ainsi qu’avec les normes actuelles du secteur de la construction de logements.</w:t>
            </w:r>
          </w:p>
          <w:p w14:paraId="2674D621" w14:textId="77777777" w:rsidR="00F4320E" w:rsidRPr="0002712A" w:rsidRDefault="00F4320E" w:rsidP="00F4320E">
            <w:pPr>
              <w:pStyle w:val="TableParagraph"/>
              <w:widowControl/>
              <w:jc w:val="both"/>
            </w:pPr>
          </w:p>
        </w:tc>
      </w:tr>
    </w:tbl>
    <w:p w14:paraId="32851B6E" w14:textId="77777777" w:rsidR="00F4320E" w:rsidRPr="0002712A" w:rsidRDefault="00F4320E" w:rsidP="00F4320E">
      <w:pPr>
        <w:widowControl/>
        <w:rPr>
          <w:b/>
        </w:rPr>
      </w:pPr>
    </w:p>
    <w:p w14:paraId="377A1C1C" w14:textId="77777777" w:rsidR="00C22814" w:rsidRPr="0002712A" w:rsidRDefault="008E1FBA" w:rsidP="00A71A48">
      <w:pPr>
        <w:pageBreakBefore/>
        <w:widowControl/>
        <w:rPr>
          <w:b/>
        </w:rPr>
      </w:pPr>
      <w:r>
        <w:rPr>
          <w:b/>
        </w:rPr>
        <w:lastRenderedPageBreak/>
        <w:t>ANALYSE POUR LES ENTREPRISES (option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164"/>
        <w:gridCol w:w="2165"/>
        <w:gridCol w:w="2165"/>
        <w:gridCol w:w="1205"/>
        <w:gridCol w:w="1925"/>
      </w:tblGrid>
      <w:tr w:rsidR="00C22814" w:rsidRPr="0002712A" w14:paraId="47193E42" w14:textId="77777777" w:rsidTr="00AD470F">
        <w:tc>
          <w:tcPr>
            <w:tcW w:w="3374" w:type="pct"/>
            <w:gridSpan w:val="3"/>
          </w:tcPr>
          <w:p w14:paraId="62952D25" w14:textId="77777777" w:rsidR="00C22814" w:rsidRPr="0002712A" w:rsidRDefault="008E1FBA" w:rsidP="00F4320E">
            <w:pPr>
              <w:pStyle w:val="TableParagraph"/>
              <w:widowControl/>
              <w:rPr>
                <w:b/>
              </w:rPr>
            </w:pPr>
            <w:r>
              <w:rPr>
                <w:b/>
              </w:rPr>
              <w:t>Impact direct sur les entreprises (équivalent annuel) en millions </w:t>
            </w:r>
            <w:proofErr w:type="gramStart"/>
            <w:r>
              <w:rPr>
                <w:b/>
              </w:rPr>
              <w:t>GBP:</w:t>
            </w:r>
            <w:proofErr w:type="gramEnd"/>
          </w:p>
        </w:tc>
        <w:tc>
          <w:tcPr>
            <w:tcW w:w="626" w:type="pct"/>
          </w:tcPr>
          <w:p w14:paraId="0FF1CF84" w14:textId="77777777" w:rsidR="00C22814" w:rsidRPr="0002712A" w:rsidRDefault="00C22814" w:rsidP="00F4320E">
            <w:pPr>
              <w:pStyle w:val="TableParagraph"/>
              <w:widowControl/>
              <w:rPr>
                <w:rFonts w:ascii="Times New Roman"/>
                <w:sz w:val="18"/>
              </w:rPr>
            </w:pPr>
          </w:p>
        </w:tc>
        <w:tc>
          <w:tcPr>
            <w:tcW w:w="1000" w:type="pct"/>
          </w:tcPr>
          <w:p w14:paraId="4AB2C415" w14:textId="77777777" w:rsidR="00C22814" w:rsidRPr="0002712A" w:rsidRDefault="00C22814" w:rsidP="00F4320E">
            <w:pPr>
              <w:pStyle w:val="TableParagraph"/>
              <w:widowControl/>
              <w:rPr>
                <w:rFonts w:ascii="Times New Roman"/>
                <w:sz w:val="18"/>
              </w:rPr>
            </w:pPr>
          </w:p>
        </w:tc>
      </w:tr>
      <w:tr w:rsidR="00C22814" w:rsidRPr="0002712A" w14:paraId="301EA55B" w14:textId="77777777" w:rsidTr="00AD470F">
        <w:tc>
          <w:tcPr>
            <w:tcW w:w="1124" w:type="pct"/>
          </w:tcPr>
          <w:p w14:paraId="2E7641A5" w14:textId="77777777" w:rsidR="00C22814" w:rsidRPr="0002712A" w:rsidRDefault="008E1FBA" w:rsidP="00F4320E">
            <w:pPr>
              <w:pStyle w:val="TableParagraph"/>
              <w:widowControl/>
              <w:rPr>
                <w:b/>
              </w:rPr>
            </w:pPr>
            <w:proofErr w:type="gramStart"/>
            <w:r>
              <w:rPr>
                <w:b/>
              </w:rPr>
              <w:t>Coûts:</w:t>
            </w:r>
            <w:proofErr w:type="gramEnd"/>
            <w:r>
              <w:rPr>
                <w:b/>
              </w:rPr>
              <w:t xml:space="preserve"> Sans objet</w:t>
            </w:r>
          </w:p>
        </w:tc>
        <w:tc>
          <w:tcPr>
            <w:tcW w:w="1125" w:type="pct"/>
          </w:tcPr>
          <w:p w14:paraId="09C11E5A" w14:textId="77777777" w:rsidR="00C22814" w:rsidRPr="0002712A" w:rsidRDefault="008E1FBA" w:rsidP="00F4320E">
            <w:pPr>
              <w:pStyle w:val="TableParagraph"/>
              <w:widowControl/>
              <w:rPr>
                <w:b/>
              </w:rPr>
            </w:pPr>
            <w:proofErr w:type="gramStart"/>
            <w:r>
              <w:rPr>
                <w:b/>
              </w:rPr>
              <w:t>Bénéfices:</w:t>
            </w:r>
            <w:proofErr w:type="gramEnd"/>
            <w:r>
              <w:rPr>
                <w:b/>
              </w:rPr>
              <w:t xml:space="preserve"> Sans objet</w:t>
            </w:r>
          </w:p>
        </w:tc>
        <w:tc>
          <w:tcPr>
            <w:tcW w:w="1125" w:type="pct"/>
          </w:tcPr>
          <w:p w14:paraId="50B61A24" w14:textId="77777777" w:rsidR="00C22814" w:rsidRPr="0002712A" w:rsidRDefault="008E1FBA" w:rsidP="00F4320E">
            <w:pPr>
              <w:pStyle w:val="TableParagraph"/>
              <w:widowControl/>
              <w:rPr>
                <w:b/>
              </w:rPr>
            </w:pPr>
            <w:proofErr w:type="gramStart"/>
            <w:r>
              <w:rPr>
                <w:b/>
              </w:rPr>
              <w:t>Net:</w:t>
            </w:r>
            <w:proofErr w:type="gramEnd"/>
            <w:r>
              <w:rPr>
                <w:b/>
              </w:rPr>
              <w:t xml:space="preserve"> Sans objet</w:t>
            </w:r>
          </w:p>
        </w:tc>
        <w:tc>
          <w:tcPr>
            <w:tcW w:w="626" w:type="pct"/>
          </w:tcPr>
          <w:p w14:paraId="7515C0CD" w14:textId="77777777" w:rsidR="00C22814" w:rsidRPr="0002712A" w:rsidRDefault="00C22814" w:rsidP="00F4320E">
            <w:pPr>
              <w:pStyle w:val="TableParagraph"/>
              <w:widowControl/>
              <w:rPr>
                <w:rFonts w:ascii="Times New Roman"/>
                <w:sz w:val="20"/>
              </w:rPr>
            </w:pPr>
          </w:p>
        </w:tc>
        <w:tc>
          <w:tcPr>
            <w:tcW w:w="1000" w:type="pct"/>
          </w:tcPr>
          <w:p w14:paraId="5E925DA0" w14:textId="77777777" w:rsidR="00C22814" w:rsidRPr="0002712A" w:rsidRDefault="00C22814" w:rsidP="00F4320E">
            <w:pPr>
              <w:pStyle w:val="TableParagraph"/>
              <w:widowControl/>
              <w:rPr>
                <w:rFonts w:ascii="Times New Roman"/>
                <w:sz w:val="20"/>
              </w:rPr>
            </w:pPr>
          </w:p>
        </w:tc>
      </w:tr>
    </w:tbl>
    <w:p w14:paraId="22BA72EC" w14:textId="77777777" w:rsidR="00F4320E" w:rsidRPr="0002712A" w:rsidRDefault="00F4320E" w:rsidP="00F4320E">
      <w:pPr>
        <w:widowControl/>
        <w:rPr>
          <w:b/>
        </w:rPr>
      </w:pPr>
    </w:p>
    <w:p w14:paraId="65D7798F" w14:textId="77777777" w:rsidR="00C22814" w:rsidRPr="0002712A" w:rsidRDefault="008E1FBA" w:rsidP="00F4320E">
      <w:pPr>
        <w:widowControl/>
        <w:rPr>
          <w:b/>
        </w:rPr>
      </w:pPr>
      <w:r>
        <w:rPr>
          <w:b/>
        </w:rPr>
        <w:t>Problématiques transfrontalières (option 1)</w:t>
      </w:r>
    </w:p>
    <w:tbl>
      <w:tblPr>
        <w:tblStyle w:val="TableGrid"/>
        <w:tblW w:w="5000" w:type="pct"/>
        <w:tblCellMar>
          <w:left w:w="28" w:type="dxa"/>
          <w:right w:w="28" w:type="dxa"/>
        </w:tblCellMar>
        <w:tblLook w:val="04A0" w:firstRow="1" w:lastRow="0" w:firstColumn="1" w:lastColumn="0" w:noHBand="0" w:noVBand="1"/>
      </w:tblPr>
      <w:tblGrid>
        <w:gridCol w:w="9624"/>
      </w:tblGrid>
      <w:tr w:rsidR="00AD470F" w:rsidRPr="0002712A" w14:paraId="7897EF31" w14:textId="77777777" w:rsidTr="00AD470F">
        <w:tc>
          <w:tcPr>
            <w:tcW w:w="5000" w:type="pct"/>
          </w:tcPr>
          <w:p w14:paraId="165F5B23" w14:textId="77777777" w:rsidR="00AD470F" w:rsidRPr="0002712A" w:rsidRDefault="00AD470F" w:rsidP="00F4320E">
            <w:pPr>
              <w:rPr>
                <w:b/>
                <w:sz w:val="20"/>
              </w:rPr>
            </w:pPr>
            <w:r>
              <w:rPr>
                <w:b/>
                <w:sz w:val="20"/>
              </w:rPr>
              <w:t>Analyse comparative de cette option au regard d’autres régions du Royaume-Uni et d’autres États membres de l’Union (et plus particulièrement la République d’Irlande)</w:t>
            </w:r>
          </w:p>
          <w:p w14:paraId="63380EAD" w14:textId="77777777" w:rsidR="00AD470F" w:rsidRPr="0002712A" w:rsidRDefault="00AD470F" w:rsidP="00F4320E">
            <w:pPr>
              <w:rPr>
                <w:sz w:val="20"/>
              </w:rPr>
            </w:pPr>
            <w:r>
              <w:rPr>
                <w:sz w:val="20"/>
              </w:rPr>
              <w:t>L’option consistant à ne rien faire et à continuer d’utiliser des cartes obsolètes déboucherait sur des incohérences des exigences légales en matière de construction par rapport à d’autres juridictions et États membres (mais pas la République d’Irlande, étant donné les circonstances). Les cartes de l’enquête nationale irlandaise sur le radon (grille de 10 km) référencées sont datées de février 2002 par le RPII (</w:t>
            </w:r>
            <w:proofErr w:type="spellStart"/>
            <w:r>
              <w:rPr>
                <w:sz w:val="20"/>
              </w:rPr>
              <w:t>Radiological</w:t>
            </w:r>
            <w:proofErr w:type="spellEnd"/>
            <w:r>
              <w:rPr>
                <w:sz w:val="20"/>
              </w:rPr>
              <w:t xml:space="preserve"> Protection Institute of Ireland).</w:t>
            </w:r>
          </w:p>
        </w:tc>
      </w:tr>
    </w:tbl>
    <w:p w14:paraId="77C01DAA" w14:textId="77777777" w:rsidR="00C22814" w:rsidRPr="0002712A" w:rsidRDefault="008E1FBA" w:rsidP="00F4320E">
      <w:pPr>
        <w:pageBreakBefore/>
        <w:widowControl/>
        <w:tabs>
          <w:tab w:val="right" w:pos="9630"/>
        </w:tabs>
        <w:rPr>
          <w:sz w:val="28"/>
        </w:rPr>
      </w:pPr>
      <w:proofErr w:type="gramStart"/>
      <w:r>
        <w:rPr>
          <w:sz w:val="28"/>
        </w:rPr>
        <w:lastRenderedPageBreak/>
        <w:t>Résumé:</w:t>
      </w:r>
      <w:proofErr w:type="gramEnd"/>
      <w:r>
        <w:rPr>
          <w:sz w:val="28"/>
        </w:rPr>
        <w:t xml:space="preserve"> Analyse et éléments de preuve</w:t>
      </w:r>
      <w:r>
        <w:rPr>
          <w:sz w:val="28"/>
        </w:rPr>
        <w:tab/>
        <w:t>Option de politique 2</w:t>
      </w:r>
    </w:p>
    <w:p w14:paraId="203EEE22" w14:textId="77777777" w:rsidR="00AD470F" w:rsidRPr="0002712A" w:rsidRDefault="008E1FBA" w:rsidP="00F4320E">
      <w:pPr>
        <w:widowControl/>
        <w:rPr>
          <w:b/>
        </w:rPr>
      </w:pPr>
      <w:proofErr w:type="gramStart"/>
      <w:r>
        <w:t>Description:</w:t>
      </w:r>
      <w:proofErr w:type="gramEnd"/>
      <w:r>
        <w:t xml:space="preserve"> </w:t>
      </w:r>
      <w:r>
        <w:rPr>
          <w:b/>
        </w:rPr>
        <w:t>Modification de la partie C des dispositions réglementaires relatives à la construction et mise à jour du livret technique pour s’aligner sur les cartes actuelles des risques liés au radon</w:t>
      </w:r>
    </w:p>
    <w:p w14:paraId="29424D11" w14:textId="77777777" w:rsidR="00F4320E" w:rsidRPr="0002712A" w:rsidRDefault="00F4320E" w:rsidP="00F4320E">
      <w:pPr>
        <w:widowControl/>
        <w:rPr>
          <w:b/>
        </w:rPr>
      </w:pPr>
    </w:p>
    <w:p w14:paraId="6F936049" w14:textId="77777777" w:rsidR="00C22814" w:rsidRPr="0002712A" w:rsidRDefault="008E1FBA" w:rsidP="00F4320E">
      <w:pPr>
        <w:widowControl/>
        <w:rPr>
          <w:b/>
        </w:rPr>
      </w:pPr>
      <w:r>
        <w:rPr>
          <w:b/>
        </w:rPr>
        <w:t>ÉVALUATION ÉCONOMIQUE (Option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924"/>
        <w:gridCol w:w="1931"/>
        <w:gridCol w:w="957"/>
        <w:gridCol w:w="2887"/>
        <w:gridCol w:w="1925"/>
      </w:tblGrid>
      <w:tr w:rsidR="00C22814" w:rsidRPr="0002712A" w14:paraId="4D609D52" w14:textId="77777777" w:rsidTr="00AD470F">
        <w:tc>
          <w:tcPr>
            <w:tcW w:w="1000" w:type="pct"/>
            <w:tcBorders>
              <w:bottom w:val="single" w:sz="2" w:space="0" w:color="000000"/>
            </w:tcBorders>
          </w:tcPr>
          <w:p w14:paraId="03E1CBEE" w14:textId="77777777" w:rsidR="00C22814" w:rsidRPr="0002712A" w:rsidRDefault="008E1FBA" w:rsidP="00F4320E">
            <w:pPr>
              <w:pStyle w:val="TableParagraph"/>
              <w:widowControl/>
              <w:rPr>
                <w:b/>
              </w:rPr>
            </w:pPr>
            <w:r>
              <w:rPr>
                <w:b/>
              </w:rPr>
              <w:t>Coûts (</w:t>
            </w:r>
            <w:proofErr w:type="spellStart"/>
            <w:r>
              <w:rPr>
                <w:b/>
              </w:rPr>
              <w:t>Mio</w:t>
            </w:r>
            <w:proofErr w:type="spellEnd"/>
            <w:r>
              <w:rPr>
                <w:b/>
              </w:rPr>
              <w:t> GBP)</w:t>
            </w:r>
          </w:p>
        </w:tc>
        <w:tc>
          <w:tcPr>
            <w:tcW w:w="1500" w:type="pct"/>
            <w:gridSpan w:val="2"/>
            <w:tcBorders>
              <w:bottom w:val="single" w:sz="2" w:space="0" w:color="000000"/>
            </w:tcBorders>
          </w:tcPr>
          <w:p w14:paraId="0859233C" w14:textId="77777777" w:rsidR="00C22814" w:rsidRPr="0002712A" w:rsidRDefault="008E1FBA" w:rsidP="00F4320E">
            <w:pPr>
              <w:pStyle w:val="TableParagraph"/>
              <w:widowControl/>
              <w:rPr>
                <w:b/>
              </w:rPr>
            </w:pPr>
            <w:r>
              <w:rPr>
                <w:b/>
              </w:rPr>
              <w:t>Total transitoire (politique)</w:t>
            </w:r>
          </w:p>
        </w:tc>
        <w:tc>
          <w:tcPr>
            <w:tcW w:w="1500" w:type="pct"/>
            <w:tcBorders>
              <w:bottom w:val="single" w:sz="2" w:space="0" w:color="000000"/>
            </w:tcBorders>
          </w:tcPr>
          <w:p w14:paraId="5EA969FF" w14:textId="77777777" w:rsidR="00C22814" w:rsidRPr="0002712A" w:rsidRDefault="008E1FBA" w:rsidP="00F4320E">
            <w:pPr>
              <w:pStyle w:val="TableParagraph"/>
              <w:widowControl/>
              <w:rPr>
                <w:b/>
              </w:rPr>
            </w:pPr>
            <w:r>
              <w:rPr>
                <w:b/>
              </w:rPr>
              <w:t>Moyenne annuelle (récurrent)</w:t>
            </w:r>
          </w:p>
        </w:tc>
        <w:tc>
          <w:tcPr>
            <w:tcW w:w="1000" w:type="pct"/>
            <w:tcBorders>
              <w:bottom w:val="single" w:sz="2" w:space="0" w:color="000000"/>
            </w:tcBorders>
          </w:tcPr>
          <w:p w14:paraId="24543421" w14:textId="77777777" w:rsidR="00C22814" w:rsidRPr="0002712A" w:rsidRDefault="008E1FBA" w:rsidP="00F4320E">
            <w:pPr>
              <w:pStyle w:val="TableParagraph"/>
              <w:widowControl/>
              <w:rPr>
                <w:b/>
              </w:rPr>
            </w:pPr>
            <w:r>
              <w:rPr>
                <w:b/>
              </w:rPr>
              <w:t>Coût total</w:t>
            </w:r>
          </w:p>
        </w:tc>
      </w:tr>
      <w:tr w:rsidR="00C22814" w:rsidRPr="0002712A" w14:paraId="513F0DCC" w14:textId="77777777" w:rsidTr="00AD470F">
        <w:tc>
          <w:tcPr>
            <w:tcW w:w="1000" w:type="pct"/>
            <w:tcBorders>
              <w:top w:val="single" w:sz="2" w:space="0" w:color="000000"/>
            </w:tcBorders>
          </w:tcPr>
          <w:p w14:paraId="0E8029A2" w14:textId="77777777" w:rsidR="00C22814" w:rsidRPr="0002712A" w:rsidRDefault="00C22814" w:rsidP="00F4320E">
            <w:pPr>
              <w:pStyle w:val="TableParagraph"/>
              <w:widowControl/>
              <w:rPr>
                <w:rFonts w:ascii="Times New Roman"/>
                <w:sz w:val="18"/>
              </w:rPr>
            </w:pPr>
          </w:p>
        </w:tc>
        <w:tc>
          <w:tcPr>
            <w:tcW w:w="1003" w:type="pct"/>
            <w:tcBorders>
              <w:top w:val="single" w:sz="2" w:space="0" w:color="000000"/>
              <w:right w:val="single" w:sz="2" w:space="0" w:color="000000"/>
            </w:tcBorders>
          </w:tcPr>
          <w:p w14:paraId="65C9F355" w14:textId="77777777" w:rsidR="00C22814" w:rsidRPr="0002712A" w:rsidRDefault="008E1FBA" w:rsidP="00F4320E">
            <w:pPr>
              <w:pStyle w:val="TableParagraph"/>
              <w:widowControl/>
              <w:jc w:val="right"/>
              <w:rPr>
                <w:sz w:val="18"/>
              </w:rPr>
            </w:pPr>
            <w:r>
              <w:rPr>
                <w:sz w:val="18"/>
              </w:rPr>
              <w:t>(</w:t>
            </w:r>
            <w:proofErr w:type="gramStart"/>
            <w:r>
              <w:rPr>
                <w:sz w:val="18"/>
              </w:rPr>
              <w:t>prix</w:t>
            </w:r>
            <w:proofErr w:type="gramEnd"/>
            <w:r>
              <w:rPr>
                <w:sz w:val="18"/>
              </w:rPr>
              <w:t xml:space="preserve"> constants)</w:t>
            </w:r>
          </w:p>
        </w:tc>
        <w:tc>
          <w:tcPr>
            <w:tcW w:w="497" w:type="pct"/>
            <w:tcBorders>
              <w:top w:val="single" w:sz="2" w:space="0" w:color="000000"/>
              <w:left w:val="single" w:sz="2" w:space="0" w:color="000000"/>
            </w:tcBorders>
          </w:tcPr>
          <w:p w14:paraId="0F88E8A9" w14:textId="77777777" w:rsidR="00C22814" w:rsidRPr="0002712A" w:rsidRDefault="008E1FBA" w:rsidP="00F4320E">
            <w:pPr>
              <w:pStyle w:val="TableParagraph"/>
              <w:widowControl/>
              <w:jc w:val="right"/>
              <w:rPr>
                <w:sz w:val="18"/>
              </w:rPr>
            </w:pPr>
            <w:r>
              <w:rPr>
                <w:sz w:val="18"/>
              </w:rPr>
              <w:t>Années</w:t>
            </w:r>
          </w:p>
        </w:tc>
        <w:tc>
          <w:tcPr>
            <w:tcW w:w="1500" w:type="pct"/>
            <w:tcBorders>
              <w:top w:val="single" w:sz="2" w:space="0" w:color="000000"/>
            </w:tcBorders>
          </w:tcPr>
          <w:p w14:paraId="12525AA3" w14:textId="77777777" w:rsidR="00C22814" w:rsidRPr="0002712A" w:rsidRDefault="008E1FBA" w:rsidP="00F4320E">
            <w:pPr>
              <w:pStyle w:val="TableParagraph"/>
              <w:widowControl/>
              <w:jc w:val="right"/>
              <w:rPr>
                <w:sz w:val="18"/>
              </w:rPr>
            </w:pPr>
            <w:r>
              <w:rPr>
                <w:sz w:val="18"/>
              </w:rPr>
              <w:t>(</w:t>
            </w:r>
            <w:proofErr w:type="gramStart"/>
            <w:r>
              <w:rPr>
                <w:sz w:val="18"/>
              </w:rPr>
              <w:t>hors</w:t>
            </w:r>
            <w:proofErr w:type="gramEnd"/>
            <w:r>
              <w:rPr>
                <w:sz w:val="18"/>
              </w:rPr>
              <w:t xml:space="preserve"> transition) (prix constants)</w:t>
            </w:r>
          </w:p>
        </w:tc>
        <w:tc>
          <w:tcPr>
            <w:tcW w:w="1000" w:type="pct"/>
            <w:tcBorders>
              <w:top w:val="single" w:sz="2" w:space="0" w:color="000000"/>
            </w:tcBorders>
          </w:tcPr>
          <w:p w14:paraId="7C6BDE60" w14:textId="77777777" w:rsidR="00C22814" w:rsidRPr="0002712A" w:rsidRDefault="008E1FBA" w:rsidP="00F4320E">
            <w:pPr>
              <w:pStyle w:val="TableParagraph"/>
              <w:widowControl/>
              <w:jc w:val="right"/>
              <w:rPr>
                <w:sz w:val="18"/>
              </w:rPr>
            </w:pPr>
            <w:r>
              <w:rPr>
                <w:sz w:val="18"/>
              </w:rPr>
              <w:t>(</w:t>
            </w:r>
            <w:proofErr w:type="gramStart"/>
            <w:r>
              <w:rPr>
                <w:sz w:val="18"/>
              </w:rPr>
              <w:t>valeur</w:t>
            </w:r>
            <w:proofErr w:type="gramEnd"/>
            <w:r>
              <w:rPr>
                <w:sz w:val="18"/>
              </w:rPr>
              <w:t xml:space="preserve"> actualisée)</w:t>
            </w:r>
          </w:p>
        </w:tc>
      </w:tr>
      <w:tr w:rsidR="00C22814" w:rsidRPr="0002712A" w14:paraId="4986050A" w14:textId="77777777" w:rsidTr="00AD470F">
        <w:tc>
          <w:tcPr>
            <w:tcW w:w="1000" w:type="pct"/>
          </w:tcPr>
          <w:p w14:paraId="7B012DF0" w14:textId="77777777" w:rsidR="00C22814" w:rsidRPr="0002712A" w:rsidRDefault="008E1FBA" w:rsidP="00F4320E">
            <w:pPr>
              <w:pStyle w:val="TableParagraph"/>
              <w:widowControl/>
              <w:rPr>
                <w:b/>
              </w:rPr>
            </w:pPr>
            <w:r>
              <w:rPr>
                <w:b/>
              </w:rPr>
              <w:t>Bas</w:t>
            </w:r>
          </w:p>
        </w:tc>
        <w:tc>
          <w:tcPr>
            <w:tcW w:w="1003" w:type="pct"/>
          </w:tcPr>
          <w:p w14:paraId="774C406D" w14:textId="77777777" w:rsidR="00C22814" w:rsidRPr="0002712A" w:rsidRDefault="008E1FBA" w:rsidP="00F4320E">
            <w:pPr>
              <w:pStyle w:val="TableParagraph"/>
              <w:widowControl/>
              <w:jc w:val="right"/>
              <w:rPr>
                <w:b/>
                <w:sz w:val="16"/>
              </w:rPr>
            </w:pPr>
            <w:r>
              <w:rPr>
                <w:b/>
                <w:sz w:val="16"/>
              </w:rPr>
              <w:t>Facultatif</w:t>
            </w:r>
          </w:p>
        </w:tc>
        <w:tc>
          <w:tcPr>
            <w:tcW w:w="497" w:type="pct"/>
            <w:vMerge w:val="restart"/>
            <w:tcBorders>
              <w:left w:val="single" w:sz="12" w:space="0" w:color="000000"/>
              <w:bottom w:val="single" w:sz="12" w:space="0" w:color="000000"/>
              <w:right w:val="single" w:sz="12" w:space="0" w:color="000000"/>
            </w:tcBorders>
          </w:tcPr>
          <w:p w14:paraId="435099B2" w14:textId="77777777" w:rsidR="00C22814" w:rsidRPr="0002712A" w:rsidRDefault="008E1FBA" w:rsidP="00F4320E">
            <w:pPr>
              <w:pStyle w:val="TableParagraph"/>
              <w:widowControl/>
              <w:jc w:val="center"/>
              <w:rPr>
                <w:rFonts w:ascii="Calibri"/>
              </w:rPr>
            </w:pPr>
            <w:r>
              <w:rPr>
                <w:rFonts w:ascii="Calibri"/>
              </w:rPr>
              <w:t>1</w:t>
            </w:r>
          </w:p>
        </w:tc>
        <w:tc>
          <w:tcPr>
            <w:tcW w:w="1500" w:type="pct"/>
          </w:tcPr>
          <w:p w14:paraId="06252480" w14:textId="77777777" w:rsidR="00C22814" w:rsidRPr="0002712A" w:rsidRDefault="008E1FBA" w:rsidP="00F4320E">
            <w:pPr>
              <w:pStyle w:val="TableParagraph"/>
              <w:widowControl/>
              <w:jc w:val="right"/>
              <w:rPr>
                <w:b/>
                <w:sz w:val="16"/>
              </w:rPr>
            </w:pPr>
            <w:r>
              <w:rPr>
                <w:b/>
                <w:sz w:val="16"/>
              </w:rPr>
              <w:t>Facultatif</w:t>
            </w:r>
          </w:p>
        </w:tc>
        <w:tc>
          <w:tcPr>
            <w:tcW w:w="1000" w:type="pct"/>
          </w:tcPr>
          <w:p w14:paraId="59F5E604" w14:textId="77777777" w:rsidR="00C22814" w:rsidRPr="0002712A" w:rsidRDefault="008E1FBA" w:rsidP="00F4320E">
            <w:pPr>
              <w:pStyle w:val="TableParagraph"/>
              <w:widowControl/>
              <w:jc w:val="right"/>
              <w:rPr>
                <w:b/>
                <w:sz w:val="16"/>
              </w:rPr>
            </w:pPr>
            <w:r>
              <w:rPr>
                <w:b/>
                <w:sz w:val="16"/>
              </w:rPr>
              <w:t>Facultatif</w:t>
            </w:r>
          </w:p>
        </w:tc>
      </w:tr>
      <w:tr w:rsidR="00C22814" w:rsidRPr="0002712A" w14:paraId="11877414" w14:textId="77777777" w:rsidTr="00AD470F">
        <w:tc>
          <w:tcPr>
            <w:tcW w:w="1000" w:type="pct"/>
            <w:tcBorders>
              <w:bottom w:val="single" w:sz="12" w:space="0" w:color="000000"/>
            </w:tcBorders>
          </w:tcPr>
          <w:p w14:paraId="357C2574" w14:textId="77777777" w:rsidR="00C22814" w:rsidRPr="0002712A" w:rsidRDefault="008E1FBA" w:rsidP="00F4320E">
            <w:pPr>
              <w:pStyle w:val="TableParagraph"/>
              <w:widowControl/>
              <w:rPr>
                <w:b/>
              </w:rPr>
            </w:pPr>
            <w:r>
              <w:rPr>
                <w:b/>
              </w:rPr>
              <w:t>Élevé</w:t>
            </w:r>
          </w:p>
        </w:tc>
        <w:tc>
          <w:tcPr>
            <w:tcW w:w="1003" w:type="pct"/>
            <w:tcBorders>
              <w:bottom w:val="single" w:sz="12" w:space="0" w:color="000000"/>
            </w:tcBorders>
          </w:tcPr>
          <w:p w14:paraId="76B59E4A" w14:textId="77777777" w:rsidR="00C22814" w:rsidRPr="0002712A" w:rsidRDefault="008E1FBA" w:rsidP="00F4320E">
            <w:pPr>
              <w:pStyle w:val="TableParagraph"/>
              <w:widowControl/>
              <w:jc w:val="right"/>
              <w:rPr>
                <w:b/>
                <w:sz w:val="16"/>
              </w:rPr>
            </w:pPr>
            <w:r>
              <w:rPr>
                <w:b/>
                <w:sz w:val="16"/>
              </w:rPr>
              <w:t>Facultatif</w:t>
            </w:r>
          </w:p>
        </w:tc>
        <w:tc>
          <w:tcPr>
            <w:tcW w:w="497" w:type="pct"/>
            <w:vMerge/>
            <w:tcBorders>
              <w:top w:val="nil"/>
              <w:left w:val="single" w:sz="12" w:space="0" w:color="000000"/>
              <w:bottom w:val="single" w:sz="12" w:space="0" w:color="000000"/>
              <w:right w:val="single" w:sz="12" w:space="0" w:color="000000"/>
            </w:tcBorders>
          </w:tcPr>
          <w:p w14:paraId="30868434" w14:textId="77777777" w:rsidR="00C22814" w:rsidRPr="0002712A" w:rsidRDefault="00C22814" w:rsidP="00F4320E">
            <w:pPr>
              <w:widowControl/>
              <w:rPr>
                <w:sz w:val="2"/>
                <w:szCs w:val="2"/>
              </w:rPr>
            </w:pPr>
          </w:p>
        </w:tc>
        <w:tc>
          <w:tcPr>
            <w:tcW w:w="1500" w:type="pct"/>
            <w:tcBorders>
              <w:bottom w:val="single" w:sz="12" w:space="0" w:color="000000"/>
            </w:tcBorders>
          </w:tcPr>
          <w:p w14:paraId="338A9A87" w14:textId="77777777" w:rsidR="00C22814" w:rsidRPr="0002712A" w:rsidRDefault="008E1FBA" w:rsidP="00F4320E">
            <w:pPr>
              <w:pStyle w:val="TableParagraph"/>
              <w:widowControl/>
              <w:jc w:val="right"/>
              <w:rPr>
                <w:b/>
                <w:sz w:val="16"/>
              </w:rPr>
            </w:pPr>
            <w:r>
              <w:rPr>
                <w:b/>
                <w:sz w:val="16"/>
              </w:rPr>
              <w:t>Facultatif</w:t>
            </w:r>
          </w:p>
        </w:tc>
        <w:tc>
          <w:tcPr>
            <w:tcW w:w="1000" w:type="pct"/>
            <w:tcBorders>
              <w:bottom w:val="single" w:sz="12" w:space="0" w:color="000000"/>
            </w:tcBorders>
          </w:tcPr>
          <w:p w14:paraId="67570C80" w14:textId="77777777" w:rsidR="00C22814" w:rsidRPr="0002712A" w:rsidRDefault="008E1FBA" w:rsidP="00F4320E">
            <w:pPr>
              <w:pStyle w:val="TableParagraph"/>
              <w:widowControl/>
              <w:jc w:val="right"/>
              <w:rPr>
                <w:b/>
                <w:sz w:val="16"/>
              </w:rPr>
            </w:pPr>
            <w:r>
              <w:rPr>
                <w:b/>
                <w:sz w:val="16"/>
              </w:rPr>
              <w:t>Facultatif</w:t>
            </w:r>
          </w:p>
        </w:tc>
      </w:tr>
      <w:tr w:rsidR="00C22814" w:rsidRPr="0002712A" w14:paraId="4FCE050C" w14:textId="77777777" w:rsidTr="00AD470F">
        <w:tc>
          <w:tcPr>
            <w:tcW w:w="1000" w:type="pct"/>
            <w:tcBorders>
              <w:top w:val="single" w:sz="12" w:space="0" w:color="000000"/>
              <w:left w:val="single" w:sz="12" w:space="0" w:color="000000"/>
              <w:bottom w:val="single" w:sz="12" w:space="0" w:color="000000"/>
              <w:right w:val="single" w:sz="12" w:space="0" w:color="000000"/>
            </w:tcBorders>
          </w:tcPr>
          <w:p w14:paraId="147CD41F" w14:textId="77777777" w:rsidR="00C22814" w:rsidRPr="0002712A" w:rsidRDefault="008E1FBA" w:rsidP="00F4320E">
            <w:pPr>
              <w:pStyle w:val="TableParagraph"/>
              <w:widowControl/>
              <w:rPr>
                <w:b/>
              </w:rPr>
            </w:pPr>
            <w:r>
              <w:rPr>
                <w:b/>
              </w:rPr>
              <w:t>Estimation la plus plausible</w:t>
            </w:r>
          </w:p>
        </w:tc>
        <w:tc>
          <w:tcPr>
            <w:tcW w:w="1003" w:type="pct"/>
            <w:tcBorders>
              <w:top w:val="single" w:sz="12" w:space="0" w:color="000000"/>
              <w:left w:val="single" w:sz="12" w:space="0" w:color="000000"/>
              <w:bottom w:val="single" w:sz="12" w:space="0" w:color="000000"/>
              <w:right w:val="single" w:sz="12" w:space="0" w:color="000000"/>
            </w:tcBorders>
          </w:tcPr>
          <w:p w14:paraId="13E26D3A" w14:textId="77777777" w:rsidR="00C22814" w:rsidRPr="0002712A" w:rsidRDefault="008E1FBA" w:rsidP="00F4320E">
            <w:pPr>
              <w:pStyle w:val="TableParagraph"/>
              <w:widowControl/>
              <w:jc w:val="right"/>
              <w:rPr>
                <w:b/>
              </w:rPr>
            </w:pPr>
            <w:r>
              <w:rPr>
                <w:b/>
              </w:rPr>
              <w:t>0,0224</w:t>
            </w:r>
          </w:p>
        </w:tc>
        <w:tc>
          <w:tcPr>
            <w:tcW w:w="497" w:type="pct"/>
            <w:vMerge/>
            <w:tcBorders>
              <w:top w:val="nil"/>
              <w:left w:val="single" w:sz="12" w:space="0" w:color="000000"/>
              <w:bottom w:val="single" w:sz="12" w:space="0" w:color="000000"/>
              <w:right w:val="single" w:sz="12" w:space="0" w:color="000000"/>
            </w:tcBorders>
          </w:tcPr>
          <w:p w14:paraId="7084F3E1" w14:textId="77777777" w:rsidR="00C22814" w:rsidRPr="0002712A" w:rsidRDefault="00C22814" w:rsidP="00F4320E">
            <w:pPr>
              <w:widowControl/>
              <w:rPr>
                <w:sz w:val="2"/>
                <w:szCs w:val="2"/>
              </w:rPr>
            </w:pPr>
          </w:p>
        </w:tc>
        <w:tc>
          <w:tcPr>
            <w:tcW w:w="1500" w:type="pct"/>
            <w:tcBorders>
              <w:top w:val="single" w:sz="12" w:space="0" w:color="000000"/>
              <w:left w:val="single" w:sz="12" w:space="0" w:color="000000"/>
              <w:bottom w:val="single" w:sz="12" w:space="0" w:color="000000"/>
              <w:right w:val="single" w:sz="12" w:space="0" w:color="000000"/>
            </w:tcBorders>
          </w:tcPr>
          <w:p w14:paraId="378CE637" w14:textId="77777777" w:rsidR="00C22814" w:rsidRPr="0002712A" w:rsidRDefault="008E1FBA" w:rsidP="00F4320E">
            <w:pPr>
              <w:pStyle w:val="TableParagraph"/>
              <w:widowControl/>
              <w:jc w:val="right"/>
              <w:rPr>
                <w:b/>
              </w:rPr>
            </w:pPr>
            <w:r>
              <w:rPr>
                <w:b/>
              </w:rPr>
              <w:t>0,0809</w:t>
            </w:r>
          </w:p>
        </w:tc>
        <w:tc>
          <w:tcPr>
            <w:tcW w:w="1000" w:type="pct"/>
            <w:tcBorders>
              <w:top w:val="single" w:sz="12" w:space="0" w:color="000000"/>
              <w:left w:val="single" w:sz="12" w:space="0" w:color="000000"/>
              <w:bottom w:val="single" w:sz="12" w:space="0" w:color="000000"/>
              <w:right w:val="single" w:sz="12" w:space="0" w:color="000000"/>
            </w:tcBorders>
          </w:tcPr>
          <w:p w14:paraId="33689FFA" w14:textId="77777777" w:rsidR="00C22814" w:rsidRPr="0002712A" w:rsidRDefault="008E1FBA" w:rsidP="00F4320E">
            <w:pPr>
              <w:pStyle w:val="TableParagraph"/>
              <w:widowControl/>
              <w:jc w:val="right"/>
              <w:rPr>
                <w:b/>
              </w:rPr>
            </w:pPr>
            <w:r>
              <w:rPr>
                <w:rFonts w:ascii="Calibri"/>
              </w:rPr>
              <w:t>Ann</w:t>
            </w:r>
            <w:r>
              <w:rPr>
                <w:rFonts w:ascii="Calibri"/>
              </w:rPr>
              <w:t>é</w:t>
            </w:r>
            <w:r>
              <w:rPr>
                <w:rFonts w:ascii="Calibri"/>
              </w:rPr>
              <w:t>e</w:t>
            </w:r>
            <w:r>
              <w:rPr>
                <w:rFonts w:ascii="Calibri"/>
              </w:rPr>
              <w:t> </w:t>
            </w:r>
            <w:r>
              <w:rPr>
                <w:rFonts w:ascii="Calibri"/>
              </w:rPr>
              <w:t xml:space="preserve">1 </w:t>
            </w:r>
            <w:r>
              <w:rPr>
                <w:b/>
              </w:rPr>
              <w:t>0,1033</w:t>
            </w:r>
          </w:p>
        </w:tc>
      </w:tr>
      <w:tr w:rsidR="00C22814" w:rsidRPr="0002712A" w14:paraId="01B98E5E" w14:textId="77777777" w:rsidTr="00AD470F">
        <w:tc>
          <w:tcPr>
            <w:tcW w:w="5000" w:type="pct"/>
            <w:gridSpan w:val="5"/>
            <w:tcBorders>
              <w:top w:val="single" w:sz="12" w:space="0" w:color="000000"/>
            </w:tcBorders>
          </w:tcPr>
          <w:p w14:paraId="2DA48549" w14:textId="77777777" w:rsidR="00C22814" w:rsidRPr="0002712A" w:rsidRDefault="008E1FBA" w:rsidP="00F4320E">
            <w:pPr>
              <w:pStyle w:val="TableParagraph"/>
              <w:widowControl/>
              <w:rPr>
                <w:b/>
                <w:sz w:val="20"/>
              </w:rPr>
            </w:pPr>
            <w:r>
              <w:rPr>
                <w:b/>
                <w:sz w:val="20"/>
              </w:rPr>
              <w:t>Description et fourchette des principaux coûts quantifiables par</w:t>
            </w:r>
            <w:proofErr w:type="gramStart"/>
            <w:r>
              <w:rPr>
                <w:b/>
                <w:sz w:val="20"/>
              </w:rPr>
              <w:t xml:space="preserve"> «principaux</w:t>
            </w:r>
            <w:proofErr w:type="gramEnd"/>
            <w:r>
              <w:rPr>
                <w:b/>
                <w:sz w:val="20"/>
              </w:rPr>
              <w:t xml:space="preserve"> groupes concernés»</w:t>
            </w:r>
          </w:p>
          <w:p w14:paraId="1B9A18E3" w14:textId="77777777" w:rsidR="00C22814" w:rsidRPr="0002712A" w:rsidRDefault="008E1FBA" w:rsidP="00F4320E">
            <w:pPr>
              <w:pStyle w:val="TableParagraph"/>
              <w:widowControl/>
            </w:pPr>
            <w:r>
              <w:t xml:space="preserve">Dans le cadre de l’option 2, la plupart des entreprises respectent les normes BR211 référencées par l’industrie de la construction en ce qui concerne les mesures de protection, conformément à de telles cartes quadrillées indicatives de 1 km, mais le gouvernement prévoit que certaines petites entreprises ne respectent pas de telles </w:t>
            </w:r>
            <w:proofErr w:type="gramStart"/>
            <w:r>
              <w:t>normes:</w:t>
            </w:r>
            <w:proofErr w:type="gramEnd"/>
            <w:r>
              <w:t xml:space="preserve"> les «principaux groupes concernés». Le changement entraînera des coûts supplémentaires pour inclure des mesures de protection contre le radon dans les maisons neuves (0,063 </w:t>
            </w:r>
            <w:proofErr w:type="spellStart"/>
            <w:r>
              <w:t>Mio</w:t>
            </w:r>
            <w:proofErr w:type="spellEnd"/>
            <w:r>
              <w:t> GBP) et dans les extensions (0,018 </w:t>
            </w:r>
            <w:proofErr w:type="spellStart"/>
            <w:r>
              <w:t>Mio</w:t>
            </w:r>
            <w:proofErr w:type="spellEnd"/>
            <w:r>
              <w:t> GBP). On prévoit également un petit coût de transition (coût unique la première année) pour l’industrie de la construction (professionnels, consultants, constructeurs, etc.), mais un tel montant peut être surestimé car de nombreuses entreprises auront déjà une expérience de travail dans les zones déjà affectées par le radon.</w:t>
            </w:r>
          </w:p>
        </w:tc>
      </w:tr>
      <w:tr w:rsidR="00C22814" w:rsidRPr="0002712A" w14:paraId="7BAAAB90" w14:textId="77777777" w:rsidTr="00AD470F">
        <w:tc>
          <w:tcPr>
            <w:tcW w:w="5000" w:type="pct"/>
            <w:gridSpan w:val="5"/>
          </w:tcPr>
          <w:p w14:paraId="46974DB7" w14:textId="77777777" w:rsidR="00C22814" w:rsidRPr="0002712A" w:rsidRDefault="008E1FBA" w:rsidP="00F4320E">
            <w:pPr>
              <w:pStyle w:val="TableParagraph"/>
              <w:widowControl/>
              <w:rPr>
                <w:b/>
                <w:sz w:val="20"/>
              </w:rPr>
            </w:pPr>
            <w:r>
              <w:rPr>
                <w:b/>
                <w:sz w:val="20"/>
              </w:rPr>
              <w:t>Autres principaux coûts non quantifiables supportés par les</w:t>
            </w:r>
            <w:proofErr w:type="gramStart"/>
            <w:r>
              <w:rPr>
                <w:b/>
                <w:sz w:val="20"/>
              </w:rPr>
              <w:t xml:space="preserve"> «principaux</w:t>
            </w:r>
            <w:proofErr w:type="gramEnd"/>
            <w:r>
              <w:rPr>
                <w:b/>
                <w:sz w:val="20"/>
              </w:rPr>
              <w:t xml:space="preserve"> groupes concernés»</w:t>
            </w:r>
          </w:p>
          <w:p w14:paraId="358D4DB6" w14:textId="77777777" w:rsidR="00C22814" w:rsidRPr="0002712A" w:rsidRDefault="008E1FBA" w:rsidP="00F4320E">
            <w:pPr>
              <w:pStyle w:val="TableParagraph"/>
              <w:widowControl/>
            </w:pPr>
            <w:r>
              <w:t>Option </w:t>
            </w:r>
            <w:proofErr w:type="gramStart"/>
            <w:r>
              <w:t>2:</w:t>
            </w:r>
            <w:proofErr w:type="gramEnd"/>
            <w:r>
              <w:t xml:space="preserve"> aucun.</w:t>
            </w:r>
          </w:p>
          <w:p w14:paraId="08EAFCA3" w14:textId="77777777" w:rsidR="005B03E9" w:rsidRPr="0002712A" w:rsidRDefault="005B03E9" w:rsidP="00F4320E">
            <w:pPr>
              <w:pStyle w:val="TableParagraph"/>
              <w:widowControl/>
            </w:pPr>
          </w:p>
          <w:p w14:paraId="39EAB190" w14:textId="77777777" w:rsidR="005B03E9" w:rsidRPr="0002712A" w:rsidRDefault="005B03E9" w:rsidP="00F4320E">
            <w:pPr>
              <w:pStyle w:val="TableParagraph"/>
              <w:widowControl/>
            </w:pPr>
          </w:p>
        </w:tc>
      </w:tr>
      <w:tr w:rsidR="00C22814" w:rsidRPr="0002712A" w14:paraId="0AE01FFB" w14:textId="77777777" w:rsidTr="00AD470F">
        <w:tc>
          <w:tcPr>
            <w:tcW w:w="1000" w:type="pct"/>
            <w:tcBorders>
              <w:bottom w:val="single" w:sz="2" w:space="0" w:color="000000"/>
            </w:tcBorders>
          </w:tcPr>
          <w:p w14:paraId="5D84B3BD" w14:textId="77777777" w:rsidR="00C22814" w:rsidRPr="0002712A" w:rsidRDefault="008E1FBA" w:rsidP="005B03E9">
            <w:pPr>
              <w:pStyle w:val="TableParagraph"/>
              <w:widowControl/>
              <w:rPr>
                <w:b/>
              </w:rPr>
            </w:pPr>
            <w:r>
              <w:rPr>
                <w:b/>
              </w:rPr>
              <w:t>Bénéfices (</w:t>
            </w:r>
            <w:proofErr w:type="spellStart"/>
            <w:r>
              <w:rPr>
                <w:b/>
              </w:rPr>
              <w:t>Mio</w:t>
            </w:r>
            <w:proofErr w:type="spellEnd"/>
            <w:r>
              <w:rPr>
                <w:b/>
              </w:rPr>
              <w:t> GBP)</w:t>
            </w:r>
          </w:p>
        </w:tc>
        <w:tc>
          <w:tcPr>
            <w:tcW w:w="1500" w:type="pct"/>
            <w:gridSpan w:val="2"/>
            <w:tcBorders>
              <w:bottom w:val="single" w:sz="2" w:space="0" w:color="000000"/>
            </w:tcBorders>
          </w:tcPr>
          <w:p w14:paraId="46F04063" w14:textId="77777777" w:rsidR="00C22814" w:rsidRPr="0002712A" w:rsidRDefault="008E1FBA" w:rsidP="005B03E9">
            <w:pPr>
              <w:pStyle w:val="TableParagraph"/>
              <w:widowControl/>
              <w:rPr>
                <w:b/>
              </w:rPr>
            </w:pPr>
            <w:r>
              <w:rPr>
                <w:b/>
              </w:rPr>
              <w:t>Total transitoire (politique)</w:t>
            </w:r>
          </w:p>
        </w:tc>
        <w:tc>
          <w:tcPr>
            <w:tcW w:w="1500" w:type="pct"/>
            <w:tcBorders>
              <w:bottom w:val="single" w:sz="2" w:space="0" w:color="000000"/>
            </w:tcBorders>
          </w:tcPr>
          <w:p w14:paraId="09E2F0EE" w14:textId="77777777" w:rsidR="00C22814" w:rsidRPr="0002712A" w:rsidRDefault="008E1FBA" w:rsidP="005B03E9">
            <w:pPr>
              <w:pStyle w:val="TableParagraph"/>
              <w:widowControl/>
              <w:rPr>
                <w:b/>
              </w:rPr>
            </w:pPr>
            <w:r>
              <w:rPr>
                <w:b/>
              </w:rPr>
              <w:t>Moyenne annuelle (récurrent)</w:t>
            </w:r>
          </w:p>
        </w:tc>
        <w:tc>
          <w:tcPr>
            <w:tcW w:w="1000" w:type="pct"/>
            <w:tcBorders>
              <w:bottom w:val="single" w:sz="2" w:space="0" w:color="000000"/>
            </w:tcBorders>
          </w:tcPr>
          <w:p w14:paraId="6241A191" w14:textId="77777777" w:rsidR="00C22814" w:rsidRPr="0002712A" w:rsidRDefault="008E1FBA" w:rsidP="005B03E9">
            <w:pPr>
              <w:pStyle w:val="TableParagraph"/>
              <w:widowControl/>
              <w:rPr>
                <w:b/>
              </w:rPr>
            </w:pPr>
            <w:r>
              <w:rPr>
                <w:b/>
              </w:rPr>
              <w:t>Bénéfices totaux</w:t>
            </w:r>
          </w:p>
        </w:tc>
      </w:tr>
      <w:tr w:rsidR="00C22814" w:rsidRPr="0002712A" w14:paraId="5E28DC05" w14:textId="77777777" w:rsidTr="00AD470F">
        <w:tc>
          <w:tcPr>
            <w:tcW w:w="1000" w:type="pct"/>
            <w:tcBorders>
              <w:top w:val="single" w:sz="2" w:space="0" w:color="000000"/>
            </w:tcBorders>
          </w:tcPr>
          <w:p w14:paraId="53378DAA" w14:textId="77777777" w:rsidR="00C22814" w:rsidRPr="0002712A" w:rsidRDefault="00C22814" w:rsidP="00F4320E">
            <w:pPr>
              <w:pStyle w:val="TableParagraph"/>
              <w:widowControl/>
              <w:rPr>
                <w:rFonts w:ascii="Times New Roman"/>
                <w:sz w:val="18"/>
              </w:rPr>
            </w:pPr>
          </w:p>
        </w:tc>
        <w:tc>
          <w:tcPr>
            <w:tcW w:w="1003" w:type="pct"/>
            <w:tcBorders>
              <w:top w:val="single" w:sz="2" w:space="0" w:color="000000"/>
              <w:right w:val="single" w:sz="2" w:space="0" w:color="000000"/>
            </w:tcBorders>
          </w:tcPr>
          <w:p w14:paraId="1542966A" w14:textId="77777777" w:rsidR="00C22814" w:rsidRPr="0002712A" w:rsidRDefault="008E1FBA" w:rsidP="00F4320E">
            <w:pPr>
              <w:pStyle w:val="TableParagraph"/>
              <w:widowControl/>
              <w:jc w:val="right"/>
              <w:rPr>
                <w:sz w:val="18"/>
              </w:rPr>
            </w:pPr>
            <w:r>
              <w:rPr>
                <w:sz w:val="18"/>
              </w:rPr>
              <w:t>(</w:t>
            </w:r>
            <w:proofErr w:type="gramStart"/>
            <w:r>
              <w:rPr>
                <w:sz w:val="18"/>
              </w:rPr>
              <w:t>prix</w:t>
            </w:r>
            <w:proofErr w:type="gramEnd"/>
            <w:r>
              <w:rPr>
                <w:sz w:val="18"/>
              </w:rPr>
              <w:t xml:space="preserve"> constants)</w:t>
            </w:r>
          </w:p>
        </w:tc>
        <w:tc>
          <w:tcPr>
            <w:tcW w:w="497" w:type="pct"/>
            <w:tcBorders>
              <w:top w:val="single" w:sz="2" w:space="0" w:color="000000"/>
              <w:left w:val="single" w:sz="2" w:space="0" w:color="000000"/>
            </w:tcBorders>
          </w:tcPr>
          <w:p w14:paraId="36912A50" w14:textId="77777777" w:rsidR="00C22814" w:rsidRPr="0002712A" w:rsidRDefault="008E1FBA" w:rsidP="00F4320E">
            <w:pPr>
              <w:pStyle w:val="TableParagraph"/>
              <w:widowControl/>
              <w:jc w:val="right"/>
              <w:rPr>
                <w:sz w:val="18"/>
              </w:rPr>
            </w:pPr>
            <w:r>
              <w:rPr>
                <w:sz w:val="18"/>
              </w:rPr>
              <w:t>Années</w:t>
            </w:r>
          </w:p>
        </w:tc>
        <w:tc>
          <w:tcPr>
            <w:tcW w:w="1500" w:type="pct"/>
            <w:tcBorders>
              <w:top w:val="single" w:sz="2" w:space="0" w:color="000000"/>
            </w:tcBorders>
          </w:tcPr>
          <w:p w14:paraId="7A1115AD" w14:textId="77777777" w:rsidR="00C22814" w:rsidRPr="0002712A" w:rsidRDefault="008E1FBA" w:rsidP="00F4320E">
            <w:pPr>
              <w:pStyle w:val="TableParagraph"/>
              <w:widowControl/>
              <w:jc w:val="right"/>
              <w:rPr>
                <w:sz w:val="18"/>
              </w:rPr>
            </w:pPr>
            <w:r>
              <w:rPr>
                <w:sz w:val="18"/>
              </w:rPr>
              <w:t>(</w:t>
            </w:r>
            <w:proofErr w:type="gramStart"/>
            <w:r>
              <w:rPr>
                <w:sz w:val="18"/>
              </w:rPr>
              <w:t>hors</w:t>
            </w:r>
            <w:proofErr w:type="gramEnd"/>
            <w:r>
              <w:rPr>
                <w:sz w:val="18"/>
              </w:rPr>
              <w:t xml:space="preserve"> transition) (prix constants)</w:t>
            </w:r>
          </w:p>
        </w:tc>
        <w:tc>
          <w:tcPr>
            <w:tcW w:w="1000" w:type="pct"/>
            <w:tcBorders>
              <w:top w:val="single" w:sz="2" w:space="0" w:color="000000"/>
            </w:tcBorders>
          </w:tcPr>
          <w:p w14:paraId="7C798D26" w14:textId="77777777" w:rsidR="00C22814" w:rsidRPr="0002712A" w:rsidRDefault="008E1FBA" w:rsidP="00F4320E">
            <w:pPr>
              <w:pStyle w:val="TableParagraph"/>
              <w:widowControl/>
              <w:jc w:val="right"/>
              <w:rPr>
                <w:sz w:val="18"/>
              </w:rPr>
            </w:pPr>
            <w:r>
              <w:rPr>
                <w:sz w:val="18"/>
              </w:rPr>
              <w:t>(</w:t>
            </w:r>
            <w:proofErr w:type="gramStart"/>
            <w:r>
              <w:rPr>
                <w:sz w:val="18"/>
              </w:rPr>
              <w:t>valeur</w:t>
            </w:r>
            <w:proofErr w:type="gramEnd"/>
            <w:r>
              <w:rPr>
                <w:sz w:val="18"/>
              </w:rPr>
              <w:t xml:space="preserve"> actualisée)</w:t>
            </w:r>
          </w:p>
        </w:tc>
      </w:tr>
      <w:tr w:rsidR="00C22814" w:rsidRPr="0002712A" w14:paraId="6CFDBF74" w14:textId="77777777" w:rsidTr="00AD470F">
        <w:tc>
          <w:tcPr>
            <w:tcW w:w="1000" w:type="pct"/>
          </w:tcPr>
          <w:p w14:paraId="608D9756" w14:textId="77777777" w:rsidR="00C22814" w:rsidRPr="0002712A" w:rsidRDefault="008E1FBA" w:rsidP="00F4320E">
            <w:pPr>
              <w:pStyle w:val="TableParagraph"/>
              <w:widowControl/>
              <w:rPr>
                <w:b/>
              </w:rPr>
            </w:pPr>
            <w:r>
              <w:rPr>
                <w:b/>
              </w:rPr>
              <w:t>Bas</w:t>
            </w:r>
          </w:p>
        </w:tc>
        <w:tc>
          <w:tcPr>
            <w:tcW w:w="1003" w:type="pct"/>
          </w:tcPr>
          <w:p w14:paraId="32F3B12F" w14:textId="77777777" w:rsidR="00C22814" w:rsidRPr="0002712A" w:rsidRDefault="008E1FBA" w:rsidP="00F4320E">
            <w:pPr>
              <w:pStyle w:val="TableParagraph"/>
              <w:widowControl/>
              <w:jc w:val="right"/>
              <w:rPr>
                <w:b/>
                <w:sz w:val="16"/>
              </w:rPr>
            </w:pPr>
            <w:r>
              <w:rPr>
                <w:b/>
                <w:sz w:val="16"/>
              </w:rPr>
              <w:t>Facultatif</w:t>
            </w:r>
          </w:p>
        </w:tc>
        <w:tc>
          <w:tcPr>
            <w:tcW w:w="497" w:type="pct"/>
            <w:vMerge w:val="restart"/>
            <w:tcBorders>
              <w:left w:val="single" w:sz="12" w:space="0" w:color="000000"/>
              <w:bottom w:val="single" w:sz="12" w:space="0" w:color="000000"/>
              <w:right w:val="single" w:sz="12" w:space="0" w:color="000000"/>
            </w:tcBorders>
            <w:shd w:val="clear" w:color="auto" w:fill="FFFFFF"/>
          </w:tcPr>
          <w:p w14:paraId="49E123FA" w14:textId="77777777" w:rsidR="00C22814" w:rsidRPr="0002712A" w:rsidRDefault="00C22814" w:rsidP="00F4320E">
            <w:pPr>
              <w:pStyle w:val="TableParagraph"/>
              <w:widowControl/>
              <w:rPr>
                <w:rFonts w:ascii="Times New Roman"/>
                <w:sz w:val="20"/>
              </w:rPr>
            </w:pPr>
          </w:p>
        </w:tc>
        <w:tc>
          <w:tcPr>
            <w:tcW w:w="1500" w:type="pct"/>
          </w:tcPr>
          <w:p w14:paraId="5D2E07BC" w14:textId="77777777" w:rsidR="00C22814" w:rsidRPr="0002712A" w:rsidRDefault="008E1FBA" w:rsidP="00F4320E">
            <w:pPr>
              <w:pStyle w:val="TableParagraph"/>
              <w:widowControl/>
              <w:jc w:val="right"/>
              <w:rPr>
                <w:b/>
                <w:sz w:val="16"/>
              </w:rPr>
            </w:pPr>
            <w:r>
              <w:rPr>
                <w:b/>
                <w:sz w:val="16"/>
              </w:rPr>
              <w:t>Facultatif</w:t>
            </w:r>
          </w:p>
        </w:tc>
        <w:tc>
          <w:tcPr>
            <w:tcW w:w="1000" w:type="pct"/>
          </w:tcPr>
          <w:p w14:paraId="49EB8FF0" w14:textId="77777777" w:rsidR="00C22814" w:rsidRPr="0002712A" w:rsidRDefault="008E1FBA" w:rsidP="00F4320E">
            <w:pPr>
              <w:pStyle w:val="TableParagraph"/>
              <w:widowControl/>
              <w:jc w:val="right"/>
              <w:rPr>
                <w:b/>
                <w:sz w:val="16"/>
              </w:rPr>
            </w:pPr>
            <w:r>
              <w:rPr>
                <w:b/>
                <w:sz w:val="16"/>
              </w:rPr>
              <w:t>Facultatif</w:t>
            </w:r>
          </w:p>
        </w:tc>
      </w:tr>
      <w:tr w:rsidR="00C22814" w:rsidRPr="0002712A" w14:paraId="1E32EAE1" w14:textId="77777777" w:rsidTr="00AD470F">
        <w:tc>
          <w:tcPr>
            <w:tcW w:w="1000" w:type="pct"/>
            <w:tcBorders>
              <w:bottom w:val="single" w:sz="12" w:space="0" w:color="000000"/>
            </w:tcBorders>
          </w:tcPr>
          <w:p w14:paraId="5DA6BA1A" w14:textId="77777777" w:rsidR="00C22814" w:rsidRPr="0002712A" w:rsidRDefault="008E1FBA" w:rsidP="00F4320E">
            <w:pPr>
              <w:pStyle w:val="TableParagraph"/>
              <w:widowControl/>
              <w:rPr>
                <w:b/>
              </w:rPr>
            </w:pPr>
            <w:r>
              <w:rPr>
                <w:b/>
              </w:rPr>
              <w:t>Élevé</w:t>
            </w:r>
          </w:p>
        </w:tc>
        <w:tc>
          <w:tcPr>
            <w:tcW w:w="1003" w:type="pct"/>
            <w:tcBorders>
              <w:bottom w:val="single" w:sz="12" w:space="0" w:color="000000"/>
            </w:tcBorders>
          </w:tcPr>
          <w:p w14:paraId="603E661D" w14:textId="77777777" w:rsidR="00C22814" w:rsidRPr="0002712A" w:rsidRDefault="008E1FBA" w:rsidP="00F4320E">
            <w:pPr>
              <w:pStyle w:val="TableParagraph"/>
              <w:widowControl/>
              <w:jc w:val="right"/>
              <w:rPr>
                <w:b/>
                <w:sz w:val="16"/>
              </w:rPr>
            </w:pPr>
            <w:r>
              <w:rPr>
                <w:b/>
                <w:sz w:val="16"/>
              </w:rPr>
              <w:t>Facultatif</w:t>
            </w:r>
          </w:p>
        </w:tc>
        <w:tc>
          <w:tcPr>
            <w:tcW w:w="497" w:type="pct"/>
            <w:vMerge/>
            <w:tcBorders>
              <w:top w:val="nil"/>
              <w:left w:val="single" w:sz="12" w:space="0" w:color="000000"/>
              <w:bottom w:val="single" w:sz="12" w:space="0" w:color="000000"/>
              <w:right w:val="single" w:sz="12" w:space="0" w:color="000000"/>
            </w:tcBorders>
            <w:shd w:val="clear" w:color="auto" w:fill="FFFFFF"/>
          </w:tcPr>
          <w:p w14:paraId="54E04B3D" w14:textId="77777777" w:rsidR="00C22814" w:rsidRPr="0002712A" w:rsidRDefault="00C22814" w:rsidP="00F4320E">
            <w:pPr>
              <w:widowControl/>
              <w:rPr>
                <w:sz w:val="2"/>
                <w:szCs w:val="2"/>
              </w:rPr>
            </w:pPr>
          </w:p>
        </w:tc>
        <w:tc>
          <w:tcPr>
            <w:tcW w:w="1500" w:type="pct"/>
            <w:tcBorders>
              <w:bottom w:val="single" w:sz="12" w:space="0" w:color="000000"/>
            </w:tcBorders>
          </w:tcPr>
          <w:p w14:paraId="3BB341CC" w14:textId="77777777" w:rsidR="00C22814" w:rsidRPr="0002712A" w:rsidRDefault="008E1FBA" w:rsidP="00F4320E">
            <w:pPr>
              <w:pStyle w:val="TableParagraph"/>
              <w:widowControl/>
              <w:jc w:val="right"/>
              <w:rPr>
                <w:b/>
                <w:sz w:val="16"/>
              </w:rPr>
            </w:pPr>
            <w:r>
              <w:rPr>
                <w:b/>
                <w:sz w:val="16"/>
              </w:rPr>
              <w:t>Facultatif</w:t>
            </w:r>
          </w:p>
        </w:tc>
        <w:tc>
          <w:tcPr>
            <w:tcW w:w="1000" w:type="pct"/>
            <w:tcBorders>
              <w:bottom w:val="single" w:sz="12" w:space="0" w:color="000000"/>
            </w:tcBorders>
          </w:tcPr>
          <w:p w14:paraId="66EFF265" w14:textId="77777777" w:rsidR="00C22814" w:rsidRPr="0002712A" w:rsidRDefault="008E1FBA" w:rsidP="00F4320E">
            <w:pPr>
              <w:pStyle w:val="TableParagraph"/>
              <w:widowControl/>
              <w:jc w:val="right"/>
              <w:rPr>
                <w:b/>
                <w:sz w:val="16"/>
              </w:rPr>
            </w:pPr>
            <w:r>
              <w:rPr>
                <w:b/>
                <w:sz w:val="16"/>
              </w:rPr>
              <w:t>Facultatif</w:t>
            </w:r>
          </w:p>
        </w:tc>
      </w:tr>
      <w:tr w:rsidR="00C22814" w:rsidRPr="0002712A" w14:paraId="0175947D" w14:textId="77777777" w:rsidTr="00AD470F">
        <w:tc>
          <w:tcPr>
            <w:tcW w:w="1000" w:type="pct"/>
            <w:tcBorders>
              <w:top w:val="single" w:sz="12" w:space="0" w:color="000000"/>
              <w:left w:val="single" w:sz="12" w:space="0" w:color="000000"/>
              <w:bottom w:val="single" w:sz="12" w:space="0" w:color="000000"/>
              <w:right w:val="single" w:sz="12" w:space="0" w:color="000000"/>
            </w:tcBorders>
          </w:tcPr>
          <w:p w14:paraId="22697994" w14:textId="77777777" w:rsidR="00C22814" w:rsidRPr="0002712A" w:rsidRDefault="008E1FBA" w:rsidP="00F4320E">
            <w:pPr>
              <w:pStyle w:val="TableParagraph"/>
              <w:widowControl/>
              <w:rPr>
                <w:b/>
              </w:rPr>
            </w:pPr>
            <w:r>
              <w:rPr>
                <w:b/>
              </w:rPr>
              <w:t>Estimation la plus plausible</w:t>
            </w:r>
          </w:p>
        </w:tc>
        <w:tc>
          <w:tcPr>
            <w:tcW w:w="1003" w:type="pct"/>
            <w:tcBorders>
              <w:top w:val="single" w:sz="12" w:space="0" w:color="000000"/>
              <w:left w:val="single" w:sz="12" w:space="0" w:color="000000"/>
              <w:bottom w:val="single" w:sz="12" w:space="0" w:color="000000"/>
              <w:right w:val="single" w:sz="12" w:space="0" w:color="000000"/>
            </w:tcBorders>
          </w:tcPr>
          <w:p w14:paraId="4369F350" w14:textId="77777777" w:rsidR="00C22814" w:rsidRPr="0002712A" w:rsidRDefault="008E1FBA" w:rsidP="00F4320E">
            <w:pPr>
              <w:pStyle w:val="TableParagraph"/>
              <w:widowControl/>
              <w:jc w:val="right"/>
              <w:rPr>
                <w:b/>
              </w:rPr>
            </w:pPr>
            <w:r>
              <w:rPr>
                <w:b/>
              </w:rPr>
              <w:t>Sans objet</w:t>
            </w:r>
          </w:p>
        </w:tc>
        <w:tc>
          <w:tcPr>
            <w:tcW w:w="497" w:type="pct"/>
            <w:vMerge/>
            <w:tcBorders>
              <w:top w:val="nil"/>
              <w:left w:val="single" w:sz="12" w:space="0" w:color="000000"/>
              <w:bottom w:val="single" w:sz="12" w:space="0" w:color="000000"/>
              <w:right w:val="single" w:sz="12" w:space="0" w:color="000000"/>
            </w:tcBorders>
            <w:shd w:val="clear" w:color="auto" w:fill="FFFFFF"/>
          </w:tcPr>
          <w:p w14:paraId="52A82804" w14:textId="77777777" w:rsidR="00C22814" w:rsidRPr="0002712A" w:rsidRDefault="00C22814" w:rsidP="00F4320E">
            <w:pPr>
              <w:widowControl/>
              <w:rPr>
                <w:sz w:val="2"/>
                <w:szCs w:val="2"/>
              </w:rPr>
            </w:pPr>
          </w:p>
        </w:tc>
        <w:tc>
          <w:tcPr>
            <w:tcW w:w="1500" w:type="pct"/>
            <w:tcBorders>
              <w:top w:val="single" w:sz="12" w:space="0" w:color="000000"/>
              <w:left w:val="single" w:sz="12" w:space="0" w:color="000000"/>
              <w:bottom w:val="single" w:sz="12" w:space="0" w:color="000000"/>
              <w:right w:val="single" w:sz="12" w:space="0" w:color="000000"/>
            </w:tcBorders>
          </w:tcPr>
          <w:p w14:paraId="18140722" w14:textId="77777777" w:rsidR="00C22814" w:rsidRPr="0002712A" w:rsidRDefault="008E1FBA" w:rsidP="00F4320E">
            <w:pPr>
              <w:pStyle w:val="TableParagraph"/>
              <w:widowControl/>
              <w:jc w:val="right"/>
              <w:rPr>
                <w:b/>
              </w:rPr>
            </w:pPr>
            <w:r>
              <w:rPr>
                <w:b/>
              </w:rPr>
              <w:t>Sans objet</w:t>
            </w:r>
          </w:p>
        </w:tc>
        <w:tc>
          <w:tcPr>
            <w:tcW w:w="1000" w:type="pct"/>
            <w:tcBorders>
              <w:top w:val="single" w:sz="12" w:space="0" w:color="000000"/>
              <w:left w:val="single" w:sz="12" w:space="0" w:color="000000"/>
              <w:bottom w:val="single" w:sz="12" w:space="0" w:color="000000"/>
              <w:right w:val="single" w:sz="12" w:space="0" w:color="000000"/>
            </w:tcBorders>
          </w:tcPr>
          <w:p w14:paraId="5362697C" w14:textId="77777777" w:rsidR="00C22814" w:rsidRPr="0002712A" w:rsidRDefault="008E1FBA" w:rsidP="00F4320E">
            <w:pPr>
              <w:pStyle w:val="TableParagraph"/>
              <w:widowControl/>
              <w:jc w:val="right"/>
              <w:rPr>
                <w:b/>
              </w:rPr>
            </w:pPr>
            <w:r>
              <w:rPr>
                <w:b/>
              </w:rPr>
              <w:t>Sans objet</w:t>
            </w:r>
          </w:p>
        </w:tc>
      </w:tr>
      <w:tr w:rsidR="00C22814" w:rsidRPr="0002712A" w14:paraId="0C725721" w14:textId="77777777" w:rsidTr="00AD470F">
        <w:tc>
          <w:tcPr>
            <w:tcW w:w="5000" w:type="pct"/>
            <w:gridSpan w:val="5"/>
            <w:tcBorders>
              <w:top w:val="single" w:sz="12" w:space="0" w:color="000000"/>
            </w:tcBorders>
          </w:tcPr>
          <w:p w14:paraId="16CE3C1B" w14:textId="77777777" w:rsidR="00C22814" w:rsidRPr="0002712A" w:rsidRDefault="008E1FBA" w:rsidP="00F4320E">
            <w:pPr>
              <w:pStyle w:val="TableParagraph"/>
              <w:widowControl/>
              <w:rPr>
                <w:b/>
                <w:sz w:val="20"/>
              </w:rPr>
            </w:pPr>
            <w:r>
              <w:rPr>
                <w:b/>
                <w:sz w:val="20"/>
              </w:rPr>
              <w:t>Description et fourchette des principaux bénéfices quantifiables profitant aux</w:t>
            </w:r>
            <w:proofErr w:type="gramStart"/>
            <w:r>
              <w:rPr>
                <w:b/>
                <w:sz w:val="20"/>
              </w:rPr>
              <w:t xml:space="preserve"> «principaux</w:t>
            </w:r>
            <w:proofErr w:type="gramEnd"/>
            <w:r>
              <w:rPr>
                <w:b/>
                <w:sz w:val="20"/>
              </w:rPr>
              <w:t xml:space="preserve"> groupes concernés»</w:t>
            </w:r>
          </w:p>
          <w:p w14:paraId="00E4903C" w14:textId="77777777" w:rsidR="00C22814" w:rsidRPr="00B945EA" w:rsidRDefault="008E1FBA" w:rsidP="00F4320E">
            <w:pPr>
              <w:pStyle w:val="TableParagraph"/>
              <w:widowControl/>
            </w:pPr>
            <w:r>
              <w:t xml:space="preserve">Dans le cadre de l’option 2, le gouvernement britannique prévoit que la politique apportera des bénéfices pour la santé, car la mise en place de mesures de protection contre le radon d’une manière plus précise et proportionnée au risque réduira les incidences futures du cancer du poumon. Les incertitudes associées à l’estimation des bénéfices pour </w:t>
            </w:r>
            <w:proofErr w:type="gramStart"/>
            <w:r>
              <w:t>la santé prévus</w:t>
            </w:r>
            <w:proofErr w:type="gramEnd"/>
            <w:r>
              <w:t xml:space="preserve"> découragent la monétisation des bénéfices pour la santé.</w:t>
            </w:r>
          </w:p>
          <w:p w14:paraId="5B7E0428" w14:textId="77777777" w:rsidR="005B03E9" w:rsidRPr="0002712A" w:rsidRDefault="005B03E9" w:rsidP="00F4320E">
            <w:pPr>
              <w:pStyle w:val="TableParagraph"/>
              <w:widowControl/>
              <w:rPr>
                <w:sz w:val="24"/>
              </w:rPr>
            </w:pPr>
          </w:p>
        </w:tc>
      </w:tr>
      <w:tr w:rsidR="00C22814" w:rsidRPr="0002712A" w14:paraId="5B29B1D5" w14:textId="77777777" w:rsidTr="00AD470F">
        <w:tc>
          <w:tcPr>
            <w:tcW w:w="5000" w:type="pct"/>
            <w:gridSpan w:val="5"/>
          </w:tcPr>
          <w:p w14:paraId="19853321" w14:textId="77777777" w:rsidR="00C22814" w:rsidRPr="0002712A" w:rsidRDefault="008E1FBA" w:rsidP="00F4320E">
            <w:pPr>
              <w:pStyle w:val="TableParagraph"/>
              <w:widowControl/>
              <w:rPr>
                <w:b/>
                <w:sz w:val="20"/>
              </w:rPr>
            </w:pPr>
            <w:r>
              <w:rPr>
                <w:b/>
                <w:sz w:val="20"/>
              </w:rPr>
              <w:t>Autres principaux bénéfices non quantifiables profitant aux</w:t>
            </w:r>
            <w:proofErr w:type="gramStart"/>
            <w:r>
              <w:rPr>
                <w:b/>
                <w:sz w:val="20"/>
              </w:rPr>
              <w:t xml:space="preserve"> «principaux</w:t>
            </w:r>
            <w:proofErr w:type="gramEnd"/>
            <w:r>
              <w:rPr>
                <w:b/>
                <w:sz w:val="20"/>
              </w:rPr>
              <w:t xml:space="preserve"> groupes concernés»</w:t>
            </w:r>
          </w:p>
          <w:p w14:paraId="26073DED" w14:textId="77777777" w:rsidR="00C22814" w:rsidRPr="0002712A" w:rsidRDefault="008E1FBA" w:rsidP="00F4320E">
            <w:pPr>
              <w:pStyle w:val="TableParagraph"/>
              <w:widowControl/>
            </w:pPr>
            <w:r>
              <w:t>Dans le cadre de l’option 2, la modification apportée à la réglementation et au livret technique C établira des recommandations à jour concernant le respect des dispositions réglementaires relatives à la construction pour les constructions résidentielles dans une zone affectée par le radon. La législation et les recommandations modifiées garantiront que, lorsque les niveaux d’action du radon indiquent la mise en place de mesures de protection, il sera possible de prendre en conséquence de telles mesures d’application efficaces.</w:t>
            </w:r>
          </w:p>
          <w:p w14:paraId="7EDF64C4" w14:textId="77777777" w:rsidR="005B03E9" w:rsidRPr="0002712A" w:rsidRDefault="005B03E9" w:rsidP="00F4320E">
            <w:pPr>
              <w:pStyle w:val="TableParagraph"/>
              <w:widowControl/>
            </w:pPr>
          </w:p>
        </w:tc>
      </w:tr>
      <w:tr w:rsidR="00C22814" w:rsidRPr="0002712A" w14:paraId="58459DFD" w14:textId="77777777" w:rsidTr="00AD470F">
        <w:tc>
          <w:tcPr>
            <w:tcW w:w="5000" w:type="pct"/>
            <w:gridSpan w:val="5"/>
          </w:tcPr>
          <w:p w14:paraId="69981151" w14:textId="77777777" w:rsidR="00C22814" w:rsidRPr="0002712A" w:rsidRDefault="008E1FBA" w:rsidP="00F4320E">
            <w:pPr>
              <w:pStyle w:val="TableParagraph"/>
              <w:widowControl/>
              <w:rPr>
                <w:b/>
                <w:sz w:val="20"/>
              </w:rPr>
            </w:pPr>
            <w:r>
              <w:rPr>
                <w:b/>
                <w:sz w:val="20"/>
              </w:rPr>
              <w:t>Hypothèses clés, points sensibles, risques</w:t>
            </w:r>
          </w:p>
          <w:p w14:paraId="09DD4192" w14:textId="77777777" w:rsidR="00C22814" w:rsidRPr="0002712A" w:rsidRDefault="008E1FBA" w:rsidP="00F4320E">
            <w:pPr>
              <w:pStyle w:val="TableParagraph"/>
              <w:widowControl/>
            </w:pPr>
            <w:r>
              <w:t>Une telle politique vise à reconnaître et à promouvoir une cartographie informative à jour du radon pour les habitations. La cartographie mentionnée est déjà disponible dans le secteur de la construction de logements (depuis 4 ans) et les meilleures pratiques ont été suivies, par conséquent, la politique est jugée à faible risque.</w:t>
            </w:r>
          </w:p>
          <w:p w14:paraId="08293C29" w14:textId="77777777" w:rsidR="00C22814" w:rsidRPr="0002712A" w:rsidRDefault="008E1FBA" w:rsidP="00F4320E">
            <w:pPr>
              <w:pStyle w:val="TableParagraph"/>
              <w:widowControl/>
            </w:pPr>
            <w:r>
              <w:lastRenderedPageBreak/>
              <w:t xml:space="preserve">Les principales hypothèses </w:t>
            </w:r>
            <w:proofErr w:type="gramStart"/>
            <w:r>
              <w:t>sont:</w:t>
            </w:r>
            <w:proofErr w:type="gramEnd"/>
            <w:r>
              <w:t xml:space="preserve"> un faible impact sur l’industrie en raison de l’adoption de bonnes pratiques actuelles, ainsi que le nombre de personnels actifs dans le secteur de la construction concernés, ainsi que les coûts de familiarisation associés (coût unique dans l’année 1).</w:t>
            </w:r>
          </w:p>
          <w:p w14:paraId="30F59443" w14:textId="77777777" w:rsidR="005B03E9" w:rsidRPr="0002712A" w:rsidRDefault="005B03E9" w:rsidP="00F4320E">
            <w:pPr>
              <w:pStyle w:val="TableParagraph"/>
              <w:widowControl/>
            </w:pPr>
          </w:p>
        </w:tc>
      </w:tr>
    </w:tbl>
    <w:p w14:paraId="01CACFFA" w14:textId="77777777" w:rsidR="005B03E9" w:rsidRPr="0002712A" w:rsidRDefault="005B03E9" w:rsidP="00F4320E">
      <w:pPr>
        <w:widowControl/>
        <w:rPr>
          <w:b/>
        </w:rPr>
      </w:pPr>
    </w:p>
    <w:p w14:paraId="5C994DDC" w14:textId="77777777" w:rsidR="005B03E9" w:rsidRPr="0002712A" w:rsidRDefault="005B03E9" w:rsidP="005B03E9">
      <w:pPr>
        <w:widowControl/>
        <w:rPr>
          <w:b/>
        </w:rPr>
      </w:pPr>
      <w:r>
        <w:rPr>
          <w:b/>
        </w:rPr>
        <w:t>ANALYSE POUR LES ENTREPRISES (option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164"/>
        <w:gridCol w:w="2165"/>
        <w:gridCol w:w="2165"/>
        <w:gridCol w:w="1205"/>
        <w:gridCol w:w="1925"/>
      </w:tblGrid>
      <w:tr w:rsidR="005B03E9" w:rsidRPr="0002712A" w14:paraId="4696CA8D" w14:textId="77777777" w:rsidTr="005D16C7">
        <w:tc>
          <w:tcPr>
            <w:tcW w:w="3374" w:type="pct"/>
            <w:gridSpan w:val="3"/>
          </w:tcPr>
          <w:p w14:paraId="004CD8EE" w14:textId="77777777" w:rsidR="005B03E9" w:rsidRPr="0002712A" w:rsidRDefault="005B03E9" w:rsidP="005D16C7">
            <w:pPr>
              <w:pStyle w:val="TableParagraph"/>
              <w:widowControl/>
              <w:rPr>
                <w:b/>
              </w:rPr>
            </w:pPr>
            <w:r>
              <w:rPr>
                <w:b/>
              </w:rPr>
              <w:t>Impact direct sur les entreprises (équivalent annuel) en millions </w:t>
            </w:r>
            <w:proofErr w:type="gramStart"/>
            <w:r>
              <w:rPr>
                <w:b/>
              </w:rPr>
              <w:t>GBP:</w:t>
            </w:r>
            <w:proofErr w:type="gramEnd"/>
          </w:p>
        </w:tc>
        <w:tc>
          <w:tcPr>
            <w:tcW w:w="626" w:type="pct"/>
          </w:tcPr>
          <w:p w14:paraId="1F2ACB13" w14:textId="77777777" w:rsidR="005B03E9" w:rsidRPr="0002712A" w:rsidRDefault="005B03E9" w:rsidP="005D16C7">
            <w:pPr>
              <w:pStyle w:val="TableParagraph"/>
              <w:widowControl/>
              <w:rPr>
                <w:rFonts w:ascii="Times New Roman"/>
                <w:sz w:val="18"/>
              </w:rPr>
            </w:pPr>
          </w:p>
        </w:tc>
        <w:tc>
          <w:tcPr>
            <w:tcW w:w="1000" w:type="pct"/>
          </w:tcPr>
          <w:p w14:paraId="47BD5C9D" w14:textId="77777777" w:rsidR="005B03E9" w:rsidRPr="0002712A" w:rsidRDefault="005B03E9" w:rsidP="005D16C7">
            <w:pPr>
              <w:pStyle w:val="TableParagraph"/>
              <w:widowControl/>
              <w:rPr>
                <w:rFonts w:ascii="Times New Roman"/>
                <w:sz w:val="18"/>
              </w:rPr>
            </w:pPr>
          </w:p>
        </w:tc>
      </w:tr>
      <w:tr w:rsidR="005B03E9" w:rsidRPr="0002712A" w14:paraId="0E290F19" w14:textId="77777777" w:rsidTr="005D16C7">
        <w:tc>
          <w:tcPr>
            <w:tcW w:w="1124" w:type="pct"/>
          </w:tcPr>
          <w:p w14:paraId="21E5630F" w14:textId="77777777" w:rsidR="005B03E9" w:rsidRPr="0002712A" w:rsidRDefault="005B03E9" w:rsidP="005D16C7">
            <w:pPr>
              <w:pStyle w:val="TableParagraph"/>
              <w:widowControl/>
              <w:rPr>
                <w:b/>
              </w:rPr>
            </w:pPr>
            <w:proofErr w:type="gramStart"/>
            <w:r>
              <w:rPr>
                <w:b/>
              </w:rPr>
              <w:t>Coûts:</w:t>
            </w:r>
            <w:proofErr w:type="gramEnd"/>
            <w:r>
              <w:rPr>
                <w:b/>
              </w:rPr>
              <w:t xml:space="preserve"> 0,0809</w:t>
            </w:r>
          </w:p>
        </w:tc>
        <w:tc>
          <w:tcPr>
            <w:tcW w:w="1125" w:type="pct"/>
          </w:tcPr>
          <w:p w14:paraId="7815F623" w14:textId="77777777" w:rsidR="005B03E9" w:rsidRPr="0002712A" w:rsidRDefault="005B03E9" w:rsidP="005D16C7">
            <w:pPr>
              <w:pStyle w:val="TableParagraph"/>
              <w:widowControl/>
              <w:rPr>
                <w:b/>
              </w:rPr>
            </w:pPr>
            <w:proofErr w:type="gramStart"/>
            <w:r>
              <w:rPr>
                <w:b/>
              </w:rPr>
              <w:t>Bénéfices:</w:t>
            </w:r>
            <w:proofErr w:type="gramEnd"/>
            <w:r>
              <w:rPr>
                <w:b/>
              </w:rPr>
              <w:t xml:space="preserve"> Sans objet</w:t>
            </w:r>
          </w:p>
        </w:tc>
        <w:tc>
          <w:tcPr>
            <w:tcW w:w="1125" w:type="pct"/>
          </w:tcPr>
          <w:p w14:paraId="7D9085B0" w14:textId="77777777" w:rsidR="005B03E9" w:rsidRPr="0002712A" w:rsidRDefault="005B03E9" w:rsidP="005D16C7">
            <w:pPr>
              <w:pStyle w:val="TableParagraph"/>
              <w:widowControl/>
              <w:rPr>
                <w:b/>
              </w:rPr>
            </w:pPr>
            <w:proofErr w:type="gramStart"/>
            <w:r>
              <w:rPr>
                <w:b/>
              </w:rPr>
              <w:t>Net:</w:t>
            </w:r>
            <w:proofErr w:type="gramEnd"/>
            <w:r>
              <w:rPr>
                <w:b/>
              </w:rPr>
              <w:t xml:space="preserve"> 0,0809</w:t>
            </w:r>
          </w:p>
        </w:tc>
        <w:tc>
          <w:tcPr>
            <w:tcW w:w="626" w:type="pct"/>
          </w:tcPr>
          <w:p w14:paraId="2C659D36" w14:textId="77777777" w:rsidR="005B03E9" w:rsidRPr="0002712A" w:rsidRDefault="005B03E9" w:rsidP="005D16C7">
            <w:pPr>
              <w:pStyle w:val="TableParagraph"/>
              <w:widowControl/>
              <w:rPr>
                <w:rFonts w:ascii="Calibri"/>
              </w:rPr>
            </w:pPr>
            <w:proofErr w:type="gramStart"/>
            <w:r>
              <w:rPr>
                <w:rFonts w:ascii="Calibri"/>
              </w:rPr>
              <w:t>prix</w:t>
            </w:r>
            <w:proofErr w:type="gramEnd"/>
            <w:r>
              <w:rPr>
                <w:rFonts w:ascii="Calibri"/>
              </w:rPr>
              <w:t xml:space="preserve"> de 2018</w:t>
            </w:r>
          </w:p>
        </w:tc>
        <w:tc>
          <w:tcPr>
            <w:tcW w:w="1000" w:type="pct"/>
          </w:tcPr>
          <w:p w14:paraId="514CE63A" w14:textId="77777777" w:rsidR="005B03E9" w:rsidRPr="0002712A" w:rsidRDefault="005B03E9" w:rsidP="005D16C7">
            <w:pPr>
              <w:pStyle w:val="TableParagraph"/>
              <w:widowControl/>
              <w:rPr>
                <w:rFonts w:ascii="Times New Roman"/>
                <w:sz w:val="20"/>
              </w:rPr>
            </w:pPr>
          </w:p>
        </w:tc>
      </w:tr>
    </w:tbl>
    <w:p w14:paraId="5834E542" w14:textId="77777777" w:rsidR="005B03E9" w:rsidRPr="0002712A" w:rsidRDefault="005B03E9" w:rsidP="005B03E9">
      <w:pPr>
        <w:widowControl/>
        <w:rPr>
          <w:b/>
        </w:rPr>
      </w:pPr>
    </w:p>
    <w:p w14:paraId="004BF124" w14:textId="77777777" w:rsidR="005B03E9" w:rsidRPr="0002712A" w:rsidRDefault="005B03E9" w:rsidP="005B03E9">
      <w:pPr>
        <w:widowControl/>
        <w:rPr>
          <w:b/>
        </w:rPr>
      </w:pPr>
      <w:r>
        <w:rPr>
          <w:b/>
        </w:rPr>
        <w:t>Problématiques transfrontalières (option 2)</w:t>
      </w:r>
    </w:p>
    <w:tbl>
      <w:tblPr>
        <w:tblStyle w:val="TableGrid"/>
        <w:tblW w:w="5000" w:type="pct"/>
        <w:tblCellMar>
          <w:left w:w="28" w:type="dxa"/>
          <w:right w:w="28" w:type="dxa"/>
        </w:tblCellMar>
        <w:tblLook w:val="04A0" w:firstRow="1" w:lastRow="0" w:firstColumn="1" w:lastColumn="0" w:noHBand="0" w:noVBand="1"/>
      </w:tblPr>
      <w:tblGrid>
        <w:gridCol w:w="9624"/>
      </w:tblGrid>
      <w:tr w:rsidR="005B03E9" w:rsidRPr="0002712A" w14:paraId="32BCF25B" w14:textId="77777777" w:rsidTr="005D16C7">
        <w:tc>
          <w:tcPr>
            <w:tcW w:w="5000" w:type="pct"/>
          </w:tcPr>
          <w:p w14:paraId="7C6EB596" w14:textId="77777777" w:rsidR="005B03E9" w:rsidRPr="0002712A" w:rsidRDefault="005B03E9" w:rsidP="005D16C7">
            <w:pPr>
              <w:rPr>
                <w:b/>
                <w:sz w:val="20"/>
              </w:rPr>
            </w:pPr>
            <w:r>
              <w:rPr>
                <w:b/>
                <w:sz w:val="20"/>
              </w:rPr>
              <w:t>Analyse comparative de cette option au regard d’autres régions du Royaume-Uni et d’autres États membres de l’Union (et plus particulièrement la République d’Irlande)</w:t>
            </w:r>
          </w:p>
          <w:p w14:paraId="3E392E95" w14:textId="77777777" w:rsidR="005B03E9" w:rsidRPr="0002712A" w:rsidRDefault="005B03E9" w:rsidP="005D16C7">
            <w:pPr>
              <w:rPr>
                <w:b/>
                <w:sz w:val="20"/>
              </w:rPr>
            </w:pPr>
            <w:r>
              <w:t>Le livret technique C, à l’appui des dispositions de la partie C, établirait une cartographie du radon actualisée par la réglementation de la construction comparable à celle d’autres régions du Royaume-Uni et fournirait à l’industrie des conseils techniques cohérents. Le système de cartographie actuel de la République d’Irlande (grille de 10 km) met également en œuvre la directive sur les normes de sécurité élémentaires Euratom.</w:t>
            </w:r>
          </w:p>
        </w:tc>
      </w:tr>
    </w:tbl>
    <w:p w14:paraId="15AA59F0" w14:textId="77777777" w:rsidR="005B03E9" w:rsidRPr="0002712A" w:rsidRDefault="005B03E9" w:rsidP="00F4320E">
      <w:pPr>
        <w:widowControl/>
        <w:rPr>
          <w:b/>
        </w:rPr>
      </w:pPr>
    </w:p>
    <w:p w14:paraId="43490D9A" w14:textId="77777777" w:rsidR="005B03E9" w:rsidRPr="0002712A" w:rsidRDefault="005B03E9" w:rsidP="00F4320E">
      <w:pPr>
        <w:widowControl/>
        <w:rPr>
          <w:b/>
        </w:rPr>
        <w:sectPr w:rsidR="005B03E9" w:rsidRPr="0002712A" w:rsidSect="008F5779">
          <w:headerReference w:type="even" r:id="rId9"/>
          <w:headerReference w:type="default" r:id="rId10"/>
          <w:footerReference w:type="even" r:id="rId11"/>
          <w:footerReference w:type="default" r:id="rId12"/>
          <w:headerReference w:type="first" r:id="rId13"/>
          <w:footerReference w:type="first" r:id="rId14"/>
          <w:pgSz w:w="11910" w:h="16840" w:code="9"/>
          <w:pgMar w:top="1138" w:right="1138" w:bottom="1138" w:left="1138" w:header="0" w:footer="864" w:gutter="0"/>
          <w:cols w:space="720"/>
          <w:titlePg/>
        </w:sectPr>
      </w:pPr>
    </w:p>
    <w:p w14:paraId="649B9660" w14:textId="77777777" w:rsidR="00AD470F" w:rsidRPr="0002712A" w:rsidRDefault="008E1FBA" w:rsidP="00F4320E">
      <w:pPr>
        <w:pStyle w:val="Heading4"/>
        <w:pageBreakBefore/>
        <w:widowControl/>
        <w:spacing w:before="120" w:after="120"/>
        <w:ind w:left="0"/>
        <w:jc w:val="center"/>
      </w:pPr>
      <w:r>
        <w:lastRenderedPageBreak/>
        <w:t>[Cette page est laissée blanche intentionnellement]</w:t>
      </w:r>
    </w:p>
    <w:p w14:paraId="3FE4BB04" w14:textId="77777777" w:rsidR="00584AA4" w:rsidRDefault="00584AA4" w:rsidP="00F52335">
      <w:pPr>
        <w:spacing w:before="240" w:after="240"/>
        <w:rPr>
          <w:b/>
          <w:sz w:val="28"/>
          <w:szCs w:val="28"/>
        </w:rPr>
        <w:sectPr w:rsidR="00584AA4" w:rsidSect="008F5779">
          <w:headerReference w:type="first" r:id="rId15"/>
          <w:pgSz w:w="11910" w:h="16840" w:code="9"/>
          <w:pgMar w:top="1138" w:right="1138" w:bottom="1138" w:left="1138" w:header="0" w:footer="864" w:gutter="0"/>
          <w:cols w:space="720"/>
          <w:titlePg/>
        </w:sectPr>
      </w:pPr>
    </w:p>
    <w:p w14:paraId="44E74FA3" w14:textId="77777777" w:rsidR="00C22814" w:rsidRPr="00F52335" w:rsidRDefault="008E1FBA" w:rsidP="00F52335">
      <w:pPr>
        <w:spacing w:before="240" w:after="240"/>
        <w:rPr>
          <w:b/>
          <w:sz w:val="28"/>
          <w:szCs w:val="28"/>
        </w:rPr>
      </w:pPr>
      <w:r>
        <w:rPr>
          <w:b/>
          <w:sz w:val="28"/>
          <w:szCs w:val="28"/>
        </w:rPr>
        <w:lastRenderedPageBreak/>
        <w:t>Base de la preuve (pour les fiches de synthèse)</w:t>
      </w:r>
    </w:p>
    <w:p w14:paraId="78E6E91E" w14:textId="77777777" w:rsidR="00AD470F" w:rsidRDefault="008E1FBA" w:rsidP="009024FE">
      <w:pPr>
        <w:widowControl/>
        <w:tabs>
          <w:tab w:val="right" w:pos="9630"/>
        </w:tabs>
        <w:spacing w:before="120" w:after="120"/>
        <w:rPr>
          <w:b/>
          <w:sz w:val="32"/>
        </w:rPr>
      </w:pPr>
      <w:r>
        <w:rPr>
          <w:b/>
          <w:sz w:val="32"/>
        </w:rPr>
        <w:t>Sommaire</w:t>
      </w:r>
      <w:r>
        <w:rPr>
          <w:b/>
          <w:sz w:val="32"/>
        </w:rPr>
        <w:tab/>
        <w:t>Page</w:t>
      </w:r>
    </w:p>
    <w:p w14:paraId="4D8A19FC" w14:textId="77777777" w:rsidR="00F52335" w:rsidRPr="0002712A" w:rsidRDefault="00F52335" w:rsidP="00F4320E">
      <w:pPr>
        <w:widowControl/>
        <w:spacing w:before="120" w:after="120"/>
        <w:rPr>
          <w:b/>
          <w:sz w:val="32"/>
        </w:rPr>
      </w:pPr>
    </w:p>
    <w:p w14:paraId="6E67C5A4" w14:textId="0BDDB0E2" w:rsidR="00A71A48" w:rsidRDefault="00F52335">
      <w:pPr>
        <w:pStyle w:val="TOC1"/>
        <w:rPr>
          <w:rFonts w:asciiTheme="minorHAnsi" w:eastAsiaTheme="minorEastAsia" w:hAnsiTheme="minorHAnsi" w:cstheme="minorBidi"/>
          <w:noProof/>
          <w:sz w:val="22"/>
          <w:lang w:val="en-US" w:eastAsia="en-US" w:bidi="ar-SA"/>
        </w:rPr>
      </w:pPr>
      <w:r>
        <w:rPr>
          <w:b/>
          <w:sz w:val="32"/>
        </w:rPr>
        <w:fldChar w:fldCharType="begin"/>
      </w:r>
      <w:r>
        <w:rPr>
          <w:b/>
          <w:sz w:val="32"/>
        </w:rPr>
        <w:instrText xml:space="preserve"> TOC \o "1-1" \h \z \u </w:instrText>
      </w:r>
      <w:r>
        <w:rPr>
          <w:b/>
          <w:sz w:val="32"/>
        </w:rPr>
        <w:fldChar w:fldCharType="separate"/>
      </w:r>
      <w:hyperlink w:anchor="_Toc49784364" w:history="1">
        <w:r w:rsidR="00A71A48" w:rsidRPr="000B4B9A">
          <w:rPr>
            <w:rStyle w:val="Hyperlink"/>
            <w:noProof/>
          </w:rPr>
          <w:t>INTRODUCTION</w:t>
        </w:r>
        <w:r w:rsidR="00A71A48">
          <w:rPr>
            <w:noProof/>
            <w:webHidden/>
          </w:rPr>
          <w:tab/>
        </w:r>
        <w:r w:rsidR="00A71A48">
          <w:rPr>
            <w:noProof/>
            <w:webHidden/>
          </w:rPr>
          <w:fldChar w:fldCharType="begin"/>
        </w:r>
        <w:r w:rsidR="00A71A48">
          <w:rPr>
            <w:noProof/>
            <w:webHidden/>
          </w:rPr>
          <w:instrText xml:space="preserve"> PAGEREF _Toc49784364 \h </w:instrText>
        </w:r>
        <w:r w:rsidR="00A71A48">
          <w:rPr>
            <w:noProof/>
            <w:webHidden/>
          </w:rPr>
        </w:r>
        <w:r w:rsidR="00A71A48">
          <w:rPr>
            <w:noProof/>
            <w:webHidden/>
          </w:rPr>
          <w:fldChar w:fldCharType="separate"/>
        </w:r>
        <w:r w:rsidR="00A71A48">
          <w:rPr>
            <w:noProof/>
            <w:webHidden/>
          </w:rPr>
          <w:t>10</w:t>
        </w:r>
        <w:r w:rsidR="00A71A48">
          <w:rPr>
            <w:noProof/>
            <w:webHidden/>
          </w:rPr>
          <w:fldChar w:fldCharType="end"/>
        </w:r>
      </w:hyperlink>
    </w:p>
    <w:p w14:paraId="1E162934" w14:textId="07BFF24C" w:rsidR="00A71A48" w:rsidRDefault="00A71A48">
      <w:pPr>
        <w:pStyle w:val="TOC1"/>
        <w:rPr>
          <w:rFonts w:asciiTheme="minorHAnsi" w:eastAsiaTheme="minorEastAsia" w:hAnsiTheme="minorHAnsi" w:cstheme="minorBidi"/>
          <w:noProof/>
          <w:sz w:val="22"/>
          <w:lang w:val="en-US" w:eastAsia="en-US" w:bidi="ar-SA"/>
        </w:rPr>
      </w:pPr>
      <w:hyperlink w:anchor="_Toc49784365" w:history="1">
        <w:r w:rsidRPr="000B4B9A">
          <w:rPr>
            <w:rStyle w:val="Hyperlink"/>
            <w:noProof/>
          </w:rPr>
          <w:t>OBJECTIF ET EFFET ESCOMPTÉ DES MESURES</w:t>
        </w:r>
        <w:r>
          <w:rPr>
            <w:noProof/>
            <w:webHidden/>
          </w:rPr>
          <w:tab/>
        </w:r>
        <w:r>
          <w:rPr>
            <w:noProof/>
            <w:webHidden/>
          </w:rPr>
          <w:fldChar w:fldCharType="begin"/>
        </w:r>
        <w:r>
          <w:rPr>
            <w:noProof/>
            <w:webHidden/>
          </w:rPr>
          <w:instrText xml:space="preserve"> PAGEREF _Toc49784365 \h </w:instrText>
        </w:r>
        <w:r>
          <w:rPr>
            <w:noProof/>
            <w:webHidden/>
          </w:rPr>
        </w:r>
        <w:r>
          <w:rPr>
            <w:noProof/>
            <w:webHidden/>
          </w:rPr>
          <w:fldChar w:fldCharType="separate"/>
        </w:r>
        <w:r>
          <w:rPr>
            <w:noProof/>
            <w:webHidden/>
          </w:rPr>
          <w:t>10</w:t>
        </w:r>
        <w:r>
          <w:rPr>
            <w:noProof/>
            <w:webHidden/>
          </w:rPr>
          <w:fldChar w:fldCharType="end"/>
        </w:r>
      </w:hyperlink>
    </w:p>
    <w:p w14:paraId="533776D9" w14:textId="526BB1ED" w:rsidR="00A71A48" w:rsidRDefault="00A71A48">
      <w:pPr>
        <w:pStyle w:val="TOC1"/>
        <w:rPr>
          <w:rFonts w:asciiTheme="minorHAnsi" w:eastAsiaTheme="minorEastAsia" w:hAnsiTheme="minorHAnsi" w:cstheme="minorBidi"/>
          <w:noProof/>
          <w:sz w:val="22"/>
          <w:lang w:val="en-US" w:eastAsia="en-US" w:bidi="ar-SA"/>
        </w:rPr>
      </w:pPr>
      <w:hyperlink w:anchor="_Toc49784366" w:history="1">
        <w:r w:rsidRPr="000B4B9A">
          <w:rPr>
            <w:rStyle w:val="Hyperlink"/>
            <w:noProof/>
          </w:rPr>
          <w:t>CHAMP D’APPLICATION</w:t>
        </w:r>
        <w:r>
          <w:rPr>
            <w:noProof/>
            <w:webHidden/>
          </w:rPr>
          <w:tab/>
        </w:r>
        <w:r>
          <w:rPr>
            <w:noProof/>
            <w:webHidden/>
          </w:rPr>
          <w:fldChar w:fldCharType="begin"/>
        </w:r>
        <w:r>
          <w:rPr>
            <w:noProof/>
            <w:webHidden/>
          </w:rPr>
          <w:instrText xml:space="preserve"> PAGEREF _Toc49784366 \h </w:instrText>
        </w:r>
        <w:r>
          <w:rPr>
            <w:noProof/>
            <w:webHidden/>
          </w:rPr>
        </w:r>
        <w:r>
          <w:rPr>
            <w:noProof/>
            <w:webHidden/>
          </w:rPr>
          <w:fldChar w:fldCharType="separate"/>
        </w:r>
        <w:r>
          <w:rPr>
            <w:noProof/>
            <w:webHidden/>
          </w:rPr>
          <w:t>10</w:t>
        </w:r>
        <w:r>
          <w:rPr>
            <w:noProof/>
            <w:webHidden/>
          </w:rPr>
          <w:fldChar w:fldCharType="end"/>
        </w:r>
      </w:hyperlink>
    </w:p>
    <w:p w14:paraId="11D73D33" w14:textId="7645F2C5" w:rsidR="00A71A48" w:rsidRDefault="00A71A48">
      <w:pPr>
        <w:pStyle w:val="TOC1"/>
        <w:rPr>
          <w:rFonts w:asciiTheme="minorHAnsi" w:eastAsiaTheme="minorEastAsia" w:hAnsiTheme="minorHAnsi" w:cstheme="minorBidi"/>
          <w:noProof/>
          <w:sz w:val="22"/>
          <w:lang w:val="en-US" w:eastAsia="en-US" w:bidi="ar-SA"/>
        </w:rPr>
      </w:pPr>
      <w:hyperlink w:anchor="_Toc49784367" w:history="1">
        <w:r w:rsidRPr="000B4B9A">
          <w:rPr>
            <w:rStyle w:val="Hyperlink"/>
            <w:noProof/>
          </w:rPr>
          <w:t>OBJECTIF</w:t>
        </w:r>
        <w:r>
          <w:rPr>
            <w:noProof/>
            <w:webHidden/>
          </w:rPr>
          <w:tab/>
        </w:r>
        <w:r>
          <w:rPr>
            <w:noProof/>
            <w:webHidden/>
          </w:rPr>
          <w:fldChar w:fldCharType="begin"/>
        </w:r>
        <w:r>
          <w:rPr>
            <w:noProof/>
            <w:webHidden/>
          </w:rPr>
          <w:instrText xml:space="preserve"> PAGEREF _Toc49784367 \h </w:instrText>
        </w:r>
        <w:r>
          <w:rPr>
            <w:noProof/>
            <w:webHidden/>
          </w:rPr>
        </w:r>
        <w:r>
          <w:rPr>
            <w:noProof/>
            <w:webHidden/>
          </w:rPr>
          <w:fldChar w:fldCharType="separate"/>
        </w:r>
        <w:r>
          <w:rPr>
            <w:noProof/>
            <w:webHidden/>
          </w:rPr>
          <w:t>10</w:t>
        </w:r>
        <w:r>
          <w:rPr>
            <w:noProof/>
            <w:webHidden/>
          </w:rPr>
          <w:fldChar w:fldCharType="end"/>
        </w:r>
      </w:hyperlink>
    </w:p>
    <w:p w14:paraId="09538341" w14:textId="2713C3F7" w:rsidR="00A71A48" w:rsidRDefault="00A71A48">
      <w:pPr>
        <w:pStyle w:val="TOC1"/>
        <w:rPr>
          <w:rFonts w:asciiTheme="minorHAnsi" w:eastAsiaTheme="minorEastAsia" w:hAnsiTheme="minorHAnsi" w:cstheme="minorBidi"/>
          <w:noProof/>
          <w:sz w:val="22"/>
          <w:lang w:val="en-US" w:eastAsia="en-US" w:bidi="ar-SA"/>
        </w:rPr>
      </w:pPr>
      <w:hyperlink w:anchor="_Toc49784368" w:history="1">
        <w:r w:rsidRPr="000B4B9A">
          <w:rPr>
            <w:rStyle w:val="Hyperlink"/>
            <w:noProof/>
          </w:rPr>
          <w:t>CONTEXTE - MESURES DE PROTECTION CONTRE LE RADON</w:t>
        </w:r>
        <w:r>
          <w:rPr>
            <w:noProof/>
            <w:webHidden/>
          </w:rPr>
          <w:tab/>
        </w:r>
        <w:r>
          <w:rPr>
            <w:noProof/>
            <w:webHidden/>
          </w:rPr>
          <w:fldChar w:fldCharType="begin"/>
        </w:r>
        <w:r>
          <w:rPr>
            <w:noProof/>
            <w:webHidden/>
          </w:rPr>
          <w:instrText xml:space="preserve"> PAGEREF _Toc49784368 \h </w:instrText>
        </w:r>
        <w:r>
          <w:rPr>
            <w:noProof/>
            <w:webHidden/>
          </w:rPr>
        </w:r>
        <w:r>
          <w:rPr>
            <w:noProof/>
            <w:webHidden/>
          </w:rPr>
          <w:fldChar w:fldCharType="separate"/>
        </w:r>
        <w:r>
          <w:rPr>
            <w:noProof/>
            <w:webHidden/>
          </w:rPr>
          <w:t>11</w:t>
        </w:r>
        <w:r>
          <w:rPr>
            <w:noProof/>
            <w:webHidden/>
          </w:rPr>
          <w:fldChar w:fldCharType="end"/>
        </w:r>
      </w:hyperlink>
    </w:p>
    <w:p w14:paraId="63DF1127" w14:textId="0024A009" w:rsidR="00A71A48" w:rsidRDefault="00A71A48">
      <w:pPr>
        <w:pStyle w:val="TOC1"/>
        <w:rPr>
          <w:rFonts w:asciiTheme="minorHAnsi" w:eastAsiaTheme="minorEastAsia" w:hAnsiTheme="minorHAnsi" w:cstheme="minorBidi"/>
          <w:noProof/>
          <w:sz w:val="22"/>
          <w:lang w:val="en-US" w:eastAsia="en-US" w:bidi="ar-SA"/>
        </w:rPr>
      </w:pPr>
      <w:hyperlink w:anchor="_Toc49784369" w:history="1">
        <w:r w:rsidRPr="000B4B9A">
          <w:rPr>
            <w:rStyle w:val="Hyperlink"/>
            <w:noProof/>
          </w:rPr>
          <w:t>CONTEXTE - MISE À JOUR DES CARTES</w:t>
        </w:r>
        <w:r>
          <w:rPr>
            <w:noProof/>
            <w:webHidden/>
          </w:rPr>
          <w:tab/>
        </w:r>
        <w:r>
          <w:rPr>
            <w:noProof/>
            <w:webHidden/>
          </w:rPr>
          <w:fldChar w:fldCharType="begin"/>
        </w:r>
        <w:r>
          <w:rPr>
            <w:noProof/>
            <w:webHidden/>
          </w:rPr>
          <w:instrText xml:space="preserve"> PAGEREF _Toc49784369 \h </w:instrText>
        </w:r>
        <w:r>
          <w:rPr>
            <w:noProof/>
            <w:webHidden/>
          </w:rPr>
        </w:r>
        <w:r>
          <w:rPr>
            <w:noProof/>
            <w:webHidden/>
          </w:rPr>
          <w:fldChar w:fldCharType="separate"/>
        </w:r>
        <w:r>
          <w:rPr>
            <w:noProof/>
            <w:webHidden/>
          </w:rPr>
          <w:t>12</w:t>
        </w:r>
        <w:r>
          <w:rPr>
            <w:noProof/>
            <w:webHidden/>
          </w:rPr>
          <w:fldChar w:fldCharType="end"/>
        </w:r>
      </w:hyperlink>
    </w:p>
    <w:p w14:paraId="7FA1FC60" w14:textId="26339025" w:rsidR="00A71A48" w:rsidRDefault="00A71A48">
      <w:pPr>
        <w:pStyle w:val="TOC1"/>
        <w:rPr>
          <w:rFonts w:asciiTheme="minorHAnsi" w:eastAsiaTheme="minorEastAsia" w:hAnsiTheme="minorHAnsi" w:cstheme="minorBidi"/>
          <w:noProof/>
          <w:sz w:val="22"/>
          <w:lang w:val="en-US" w:eastAsia="en-US" w:bidi="ar-SA"/>
        </w:rPr>
      </w:pPr>
      <w:hyperlink w:anchor="_Toc49784370" w:history="1">
        <w:r w:rsidRPr="000B4B9A">
          <w:rPr>
            <w:rStyle w:val="Hyperlink"/>
            <w:noProof/>
          </w:rPr>
          <w:t>JUSTIFICATION DE L’INTERVENTION GOUVERNEMENTALE</w:t>
        </w:r>
        <w:r>
          <w:rPr>
            <w:noProof/>
            <w:webHidden/>
          </w:rPr>
          <w:tab/>
        </w:r>
        <w:r>
          <w:rPr>
            <w:noProof/>
            <w:webHidden/>
          </w:rPr>
          <w:fldChar w:fldCharType="begin"/>
        </w:r>
        <w:r>
          <w:rPr>
            <w:noProof/>
            <w:webHidden/>
          </w:rPr>
          <w:instrText xml:space="preserve"> PAGEREF _Toc49784370 \h </w:instrText>
        </w:r>
        <w:r>
          <w:rPr>
            <w:noProof/>
            <w:webHidden/>
          </w:rPr>
        </w:r>
        <w:r>
          <w:rPr>
            <w:noProof/>
            <w:webHidden/>
          </w:rPr>
          <w:fldChar w:fldCharType="separate"/>
        </w:r>
        <w:r>
          <w:rPr>
            <w:noProof/>
            <w:webHidden/>
          </w:rPr>
          <w:t>12</w:t>
        </w:r>
        <w:r>
          <w:rPr>
            <w:noProof/>
            <w:webHidden/>
          </w:rPr>
          <w:fldChar w:fldCharType="end"/>
        </w:r>
      </w:hyperlink>
    </w:p>
    <w:p w14:paraId="045BEEB5" w14:textId="36BD388A" w:rsidR="00A71A48" w:rsidRDefault="00A71A48">
      <w:pPr>
        <w:pStyle w:val="TOC1"/>
        <w:rPr>
          <w:rFonts w:asciiTheme="minorHAnsi" w:eastAsiaTheme="minorEastAsia" w:hAnsiTheme="minorHAnsi" w:cstheme="minorBidi"/>
          <w:noProof/>
          <w:sz w:val="22"/>
          <w:lang w:val="en-US" w:eastAsia="en-US" w:bidi="ar-SA"/>
        </w:rPr>
      </w:pPr>
      <w:hyperlink w:anchor="_Toc49784371" w:history="1">
        <w:r w:rsidRPr="000B4B9A">
          <w:rPr>
            <w:rStyle w:val="Hyperlink"/>
            <w:noProof/>
          </w:rPr>
          <w:t>SYNTHÈSE DES MODIFICATIONS</w:t>
        </w:r>
        <w:r>
          <w:rPr>
            <w:noProof/>
            <w:webHidden/>
          </w:rPr>
          <w:tab/>
        </w:r>
        <w:r>
          <w:rPr>
            <w:noProof/>
            <w:webHidden/>
          </w:rPr>
          <w:fldChar w:fldCharType="begin"/>
        </w:r>
        <w:r>
          <w:rPr>
            <w:noProof/>
            <w:webHidden/>
          </w:rPr>
          <w:instrText xml:space="preserve"> PAGEREF _Toc49784371 \h </w:instrText>
        </w:r>
        <w:r>
          <w:rPr>
            <w:noProof/>
            <w:webHidden/>
          </w:rPr>
        </w:r>
        <w:r>
          <w:rPr>
            <w:noProof/>
            <w:webHidden/>
          </w:rPr>
          <w:fldChar w:fldCharType="separate"/>
        </w:r>
        <w:r>
          <w:rPr>
            <w:noProof/>
            <w:webHidden/>
          </w:rPr>
          <w:t>13</w:t>
        </w:r>
        <w:r>
          <w:rPr>
            <w:noProof/>
            <w:webHidden/>
          </w:rPr>
          <w:fldChar w:fldCharType="end"/>
        </w:r>
      </w:hyperlink>
    </w:p>
    <w:p w14:paraId="55E144BC" w14:textId="2A609053" w:rsidR="00A71A48" w:rsidRDefault="00A71A48">
      <w:pPr>
        <w:pStyle w:val="TOC1"/>
        <w:rPr>
          <w:rFonts w:asciiTheme="minorHAnsi" w:eastAsiaTheme="minorEastAsia" w:hAnsiTheme="minorHAnsi" w:cstheme="minorBidi"/>
          <w:noProof/>
          <w:sz w:val="22"/>
          <w:lang w:val="en-US" w:eastAsia="en-US" w:bidi="ar-SA"/>
        </w:rPr>
      </w:pPr>
      <w:hyperlink w:anchor="_Toc49784372" w:history="1">
        <w:r w:rsidRPr="000B4B9A">
          <w:rPr>
            <w:rStyle w:val="Hyperlink"/>
            <w:noProof/>
          </w:rPr>
          <w:t>SYNTHÈSE DES COÛTS ET BÉNÉFICES DE LA CONFORMITÉ</w:t>
        </w:r>
        <w:r>
          <w:rPr>
            <w:noProof/>
            <w:webHidden/>
          </w:rPr>
          <w:tab/>
        </w:r>
        <w:r>
          <w:rPr>
            <w:noProof/>
            <w:webHidden/>
          </w:rPr>
          <w:fldChar w:fldCharType="begin"/>
        </w:r>
        <w:r>
          <w:rPr>
            <w:noProof/>
            <w:webHidden/>
          </w:rPr>
          <w:instrText xml:space="preserve"> PAGEREF _Toc49784372 \h </w:instrText>
        </w:r>
        <w:r>
          <w:rPr>
            <w:noProof/>
            <w:webHidden/>
          </w:rPr>
        </w:r>
        <w:r>
          <w:rPr>
            <w:noProof/>
            <w:webHidden/>
          </w:rPr>
          <w:fldChar w:fldCharType="separate"/>
        </w:r>
        <w:r>
          <w:rPr>
            <w:noProof/>
            <w:webHidden/>
          </w:rPr>
          <w:t>13</w:t>
        </w:r>
        <w:r>
          <w:rPr>
            <w:noProof/>
            <w:webHidden/>
          </w:rPr>
          <w:fldChar w:fldCharType="end"/>
        </w:r>
      </w:hyperlink>
    </w:p>
    <w:p w14:paraId="3E16B5DE" w14:textId="4D3CB6B3" w:rsidR="00A71A48" w:rsidRDefault="00A71A48">
      <w:pPr>
        <w:pStyle w:val="TOC1"/>
        <w:rPr>
          <w:rFonts w:asciiTheme="minorHAnsi" w:eastAsiaTheme="minorEastAsia" w:hAnsiTheme="minorHAnsi" w:cstheme="minorBidi"/>
          <w:noProof/>
          <w:sz w:val="22"/>
          <w:lang w:val="en-US" w:eastAsia="en-US" w:bidi="ar-SA"/>
        </w:rPr>
      </w:pPr>
      <w:hyperlink w:anchor="_Toc49784373" w:history="1">
        <w:r w:rsidRPr="000B4B9A">
          <w:rPr>
            <w:rStyle w:val="Hyperlink"/>
            <w:noProof/>
          </w:rPr>
          <w:t>SECTEURS COMMERCIAUX AFFECTÉS</w:t>
        </w:r>
        <w:r>
          <w:rPr>
            <w:noProof/>
            <w:webHidden/>
          </w:rPr>
          <w:tab/>
        </w:r>
        <w:r>
          <w:rPr>
            <w:noProof/>
            <w:webHidden/>
          </w:rPr>
          <w:fldChar w:fldCharType="begin"/>
        </w:r>
        <w:r>
          <w:rPr>
            <w:noProof/>
            <w:webHidden/>
          </w:rPr>
          <w:instrText xml:space="preserve"> PAGEREF _Toc49784373 \h </w:instrText>
        </w:r>
        <w:r>
          <w:rPr>
            <w:noProof/>
            <w:webHidden/>
          </w:rPr>
        </w:r>
        <w:r>
          <w:rPr>
            <w:noProof/>
            <w:webHidden/>
          </w:rPr>
          <w:fldChar w:fldCharType="separate"/>
        </w:r>
        <w:r>
          <w:rPr>
            <w:noProof/>
            <w:webHidden/>
          </w:rPr>
          <w:t>14</w:t>
        </w:r>
        <w:r>
          <w:rPr>
            <w:noProof/>
            <w:webHidden/>
          </w:rPr>
          <w:fldChar w:fldCharType="end"/>
        </w:r>
      </w:hyperlink>
    </w:p>
    <w:p w14:paraId="084BC9C3" w14:textId="4A20714A" w:rsidR="00A71A48" w:rsidRDefault="00A71A48">
      <w:pPr>
        <w:pStyle w:val="TOC1"/>
        <w:rPr>
          <w:rFonts w:asciiTheme="minorHAnsi" w:eastAsiaTheme="minorEastAsia" w:hAnsiTheme="minorHAnsi" w:cstheme="minorBidi"/>
          <w:noProof/>
          <w:sz w:val="22"/>
          <w:lang w:val="en-US" w:eastAsia="en-US" w:bidi="ar-SA"/>
        </w:rPr>
      </w:pPr>
      <w:hyperlink w:anchor="_Toc49784374" w:history="1">
        <w:r w:rsidRPr="000B4B9A">
          <w:rPr>
            <w:rStyle w:val="Hyperlink"/>
            <w:noProof/>
          </w:rPr>
          <w:t>AUTRES ÉVALUATIONS D’IMPACT</w:t>
        </w:r>
        <w:r>
          <w:rPr>
            <w:noProof/>
            <w:webHidden/>
          </w:rPr>
          <w:tab/>
        </w:r>
        <w:r>
          <w:rPr>
            <w:noProof/>
            <w:webHidden/>
          </w:rPr>
          <w:fldChar w:fldCharType="begin"/>
        </w:r>
        <w:r>
          <w:rPr>
            <w:noProof/>
            <w:webHidden/>
          </w:rPr>
          <w:instrText xml:space="preserve"> PAGEREF _Toc49784374 \h </w:instrText>
        </w:r>
        <w:r>
          <w:rPr>
            <w:noProof/>
            <w:webHidden/>
          </w:rPr>
        </w:r>
        <w:r>
          <w:rPr>
            <w:noProof/>
            <w:webHidden/>
          </w:rPr>
          <w:fldChar w:fldCharType="separate"/>
        </w:r>
        <w:r>
          <w:rPr>
            <w:noProof/>
            <w:webHidden/>
          </w:rPr>
          <w:t>15</w:t>
        </w:r>
        <w:r>
          <w:rPr>
            <w:noProof/>
            <w:webHidden/>
          </w:rPr>
          <w:fldChar w:fldCharType="end"/>
        </w:r>
      </w:hyperlink>
    </w:p>
    <w:p w14:paraId="5E87F596" w14:textId="62A3C220" w:rsidR="00A71A48" w:rsidRDefault="00A71A48">
      <w:pPr>
        <w:pStyle w:val="TOC1"/>
        <w:rPr>
          <w:rFonts w:asciiTheme="minorHAnsi" w:eastAsiaTheme="minorEastAsia" w:hAnsiTheme="minorHAnsi" w:cstheme="minorBidi"/>
          <w:noProof/>
          <w:sz w:val="22"/>
          <w:lang w:val="en-US" w:eastAsia="en-US" w:bidi="ar-SA"/>
        </w:rPr>
      </w:pPr>
      <w:hyperlink w:anchor="_Toc49784375" w:history="1">
        <w:r w:rsidRPr="000B4B9A">
          <w:rPr>
            <w:rStyle w:val="Hyperlink"/>
            <w:noProof/>
          </w:rPr>
          <w:t>IMPACT SUR LES MICRO- ET PETITES ENTREPRISES</w:t>
        </w:r>
        <w:r>
          <w:rPr>
            <w:noProof/>
            <w:webHidden/>
          </w:rPr>
          <w:tab/>
        </w:r>
        <w:r>
          <w:rPr>
            <w:noProof/>
            <w:webHidden/>
          </w:rPr>
          <w:fldChar w:fldCharType="begin"/>
        </w:r>
        <w:r>
          <w:rPr>
            <w:noProof/>
            <w:webHidden/>
          </w:rPr>
          <w:instrText xml:space="preserve"> PAGEREF _Toc49784375 \h </w:instrText>
        </w:r>
        <w:r>
          <w:rPr>
            <w:noProof/>
            <w:webHidden/>
          </w:rPr>
        </w:r>
        <w:r>
          <w:rPr>
            <w:noProof/>
            <w:webHidden/>
          </w:rPr>
          <w:fldChar w:fldCharType="separate"/>
        </w:r>
        <w:r>
          <w:rPr>
            <w:noProof/>
            <w:webHidden/>
          </w:rPr>
          <w:t>15</w:t>
        </w:r>
        <w:r>
          <w:rPr>
            <w:noProof/>
            <w:webHidden/>
          </w:rPr>
          <w:fldChar w:fldCharType="end"/>
        </w:r>
      </w:hyperlink>
    </w:p>
    <w:p w14:paraId="20E55ABA" w14:textId="22EF1DE9" w:rsidR="00A71A48" w:rsidRDefault="00A71A48">
      <w:pPr>
        <w:pStyle w:val="TOC1"/>
        <w:rPr>
          <w:rFonts w:asciiTheme="minorHAnsi" w:eastAsiaTheme="minorEastAsia" w:hAnsiTheme="minorHAnsi" w:cstheme="minorBidi"/>
          <w:noProof/>
          <w:sz w:val="22"/>
          <w:lang w:val="en-US" w:eastAsia="en-US" w:bidi="ar-SA"/>
        </w:rPr>
      </w:pPr>
      <w:hyperlink w:anchor="_Toc49784376" w:history="1">
        <w:r w:rsidRPr="000B4B9A">
          <w:rPr>
            <w:rStyle w:val="Hyperlink"/>
            <w:noProof/>
          </w:rPr>
          <w:t>APPLICATION ET SANCTIONS</w:t>
        </w:r>
        <w:r>
          <w:rPr>
            <w:noProof/>
            <w:webHidden/>
          </w:rPr>
          <w:tab/>
        </w:r>
        <w:r>
          <w:rPr>
            <w:noProof/>
            <w:webHidden/>
          </w:rPr>
          <w:fldChar w:fldCharType="begin"/>
        </w:r>
        <w:r>
          <w:rPr>
            <w:noProof/>
            <w:webHidden/>
          </w:rPr>
          <w:instrText xml:space="preserve"> PAGEREF _Toc49784376 \h </w:instrText>
        </w:r>
        <w:r>
          <w:rPr>
            <w:noProof/>
            <w:webHidden/>
          </w:rPr>
        </w:r>
        <w:r>
          <w:rPr>
            <w:noProof/>
            <w:webHidden/>
          </w:rPr>
          <w:fldChar w:fldCharType="separate"/>
        </w:r>
        <w:r>
          <w:rPr>
            <w:noProof/>
            <w:webHidden/>
          </w:rPr>
          <w:t>16</w:t>
        </w:r>
        <w:r>
          <w:rPr>
            <w:noProof/>
            <w:webHidden/>
          </w:rPr>
          <w:fldChar w:fldCharType="end"/>
        </w:r>
      </w:hyperlink>
    </w:p>
    <w:p w14:paraId="19D6663E" w14:textId="2AC797D9" w:rsidR="00A71A48" w:rsidRDefault="00A71A48">
      <w:pPr>
        <w:pStyle w:val="TOC1"/>
        <w:rPr>
          <w:rFonts w:asciiTheme="minorHAnsi" w:eastAsiaTheme="minorEastAsia" w:hAnsiTheme="minorHAnsi" w:cstheme="minorBidi"/>
          <w:noProof/>
          <w:sz w:val="22"/>
          <w:lang w:val="en-US" w:eastAsia="en-US" w:bidi="ar-SA"/>
        </w:rPr>
      </w:pPr>
      <w:hyperlink w:anchor="_Toc49784377" w:history="1">
        <w:r w:rsidRPr="000B4B9A">
          <w:rPr>
            <w:rStyle w:val="Hyperlink"/>
            <w:noProof/>
          </w:rPr>
          <w:t>SUIVI ET RÉEXAMEN</w:t>
        </w:r>
        <w:r>
          <w:rPr>
            <w:noProof/>
            <w:webHidden/>
          </w:rPr>
          <w:tab/>
        </w:r>
        <w:r>
          <w:rPr>
            <w:noProof/>
            <w:webHidden/>
          </w:rPr>
          <w:fldChar w:fldCharType="begin"/>
        </w:r>
        <w:r>
          <w:rPr>
            <w:noProof/>
            <w:webHidden/>
          </w:rPr>
          <w:instrText xml:space="preserve"> PAGEREF _Toc49784377 \h </w:instrText>
        </w:r>
        <w:r>
          <w:rPr>
            <w:noProof/>
            <w:webHidden/>
          </w:rPr>
        </w:r>
        <w:r>
          <w:rPr>
            <w:noProof/>
            <w:webHidden/>
          </w:rPr>
          <w:fldChar w:fldCharType="separate"/>
        </w:r>
        <w:r>
          <w:rPr>
            <w:noProof/>
            <w:webHidden/>
          </w:rPr>
          <w:t>16</w:t>
        </w:r>
        <w:r>
          <w:rPr>
            <w:noProof/>
            <w:webHidden/>
          </w:rPr>
          <w:fldChar w:fldCharType="end"/>
        </w:r>
      </w:hyperlink>
    </w:p>
    <w:p w14:paraId="511D15BD" w14:textId="7FD9ED1F" w:rsidR="00A71A48" w:rsidRDefault="00A71A48">
      <w:pPr>
        <w:pStyle w:val="TOC1"/>
        <w:rPr>
          <w:rFonts w:asciiTheme="minorHAnsi" w:eastAsiaTheme="minorEastAsia" w:hAnsiTheme="minorHAnsi" w:cstheme="minorBidi"/>
          <w:noProof/>
          <w:sz w:val="22"/>
          <w:lang w:val="en-US" w:eastAsia="en-US" w:bidi="ar-SA"/>
        </w:rPr>
      </w:pPr>
      <w:hyperlink w:anchor="_Toc49784378" w:history="1">
        <w:r w:rsidRPr="000B4B9A">
          <w:rPr>
            <w:rStyle w:val="Hyperlink"/>
            <w:noProof/>
          </w:rPr>
          <w:t>CONSULTATION</w:t>
        </w:r>
        <w:r>
          <w:rPr>
            <w:noProof/>
            <w:webHidden/>
          </w:rPr>
          <w:tab/>
        </w:r>
        <w:r>
          <w:rPr>
            <w:noProof/>
            <w:webHidden/>
          </w:rPr>
          <w:fldChar w:fldCharType="begin"/>
        </w:r>
        <w:r>
          <w:rPr>
            <w:noProof/>
            <w:webHidden/>
          </w:rPr>
          <w:instrText xml:space="preserve"> PAGEREF _Toc49784378 \h </w:instrText>
        </w:r>
        <w:r>
          <w:rPr>
            <w:noProof/>
            <w:webHidden/>
          </w:rPr>
        </w:r>
        <w:r>
          <w:rPr>
            <w:noProof/>
            <w:webHidden/>
          </w:rPr>
          <w:fldChar w:fldCharType="separate"/>
        </w:r>
        <w:r>
          <w:rPr>
            <w:noProof/>
            <w:webHidden/>
          </w:rPr>
          <w:t>16</w:t>
        </w:r>
        <w:r>
          <w:rPr>
            <w:noProof/>
            <w:webHidden/>
          </w:rPr>
          <w:fldChar w:fldCharType="end"/>
        </w:r>
      </w:hyperlink>
    </w:p>
    <w:p w14:paraId="63D7DCDC" w14:textId="2FDFAD4C" w:rsidR="00A71A48" w:rsidRDefault="00A71A48">
      <w:pPr>
        <w:pStyle w:val="TOC1"/>
        <w:rPr>
          <w:rFonts w:asciiTheme="minorHAnsi" w:eastAsiaTheme="minorEastAsia" w:hAnsiTheme="minorHAnsi" w:cstheme="minorBidi"/>
          <w:noProof/>
          <w:sz w:val="22"/>
          <w:lang w:val="en-US" w:eastAsia="en-US" w:bidi="ar-SA"/>
        </w:rPr>
      </w:pPr>
      <w:hyperlink w:anchor="_Toc49784379" w:history="1">
        <w:r w:rsidRPr="000B4B9A">
          <w:rPr>
            <w:rStyle w:val="Hyperlink"/>
            <w:noProof/>
          </w:rPr>
          <w:t>POINT DE CONTACT</w:t>
        </w:r>
        <w:r>
          <w:rPr>
            <w:noProof/>
            <w:webHidden/>
          </w:rPr>
          <w:tab/>
        </w:r>
        <w:r>
          <w:rPr>
            <w:noProof/>
            <w:webHidden/>
          </w:rPr>
          <w:fldChar w:fldCharType="begin"/>
        </w:r>
        <w:r>
          <w:rPr>
            <w:noProof/>
            <w:webHidden/>
          </w:rPr>
          <w:instrText xml:space="preserve"> PAGEREF _Toc49784379 \h </w:instrText>
        </w:r>
        <w:r>
          <w:rPr>
            <w:noProof/>
            <w:webHidden/>
          </w:rPr>
        </w:r>
        <w:r>
          <w:rPr>
            <w:noProof/>
            <w:webHidden/>
          </w:rPr>
          <w:fldChar w:fldCharType="separate"/>
        </w:r>
        <w:r>
          <w:rPr>
            <w:noProof/>
            <w:webHidden/>
          </w:rPr>
          <w:t>17</w:t>
        </w:r>
        <w:r>
          <w:rPr>
            <w:noProof/>
            <w:webHidden/>
          </w:rPr>
          <w:fldChar w:fldCharType="end"/>
        </w:r>
      </w:hyperlink>
    </w:p>
    <w:p w14:paraId="6B40BEA8" w14:textId="5296D7A1" w:rsidR="00A71A48" w:rsidRDefault="00A71A48">
      <w:pPr>
        <w:pStyle w:val="TOC1"/>
        <w:rPr>
          <w:rFonts w:asciiTheme="minorHAnsi" w:eastAsiaTheme="minorEastAsia" w:hAnsiTheme="minorHAnsi" w:cstheme="minorBidi"/>
          <w:noProof/>
          <w:sz w:val="22"/>
          <w:lang w:val="en-US" w:eastAsia="en-US" w:bidi="ar-SA"/>
        </w:rPr>
      </w:pPr>
      <w:hyperlink w:anchor="_Toc49784380" w:history="1">
        <w:r w:rsidRPr="000B4B9A">
          <w:rPr>
            <w:rStyle w:val="Hyperlink"/>
            <w:noProof/>
          </w:rPr>
          <w:t>Annexe 1</w:t>
        </w:r>
        <w:r>
          <w:rPr>
            <w:noProof/>
            <w:webHidden/>
          </w:rPr>
          <w:tab/>
        </w:r>
        <w:r>
          <w:rPr>
            <w:noProof/>
            <w:webHidden/>
          </w:rPr>
          <w:fldChar w:fldCharType="begin"/>
        </w:r>
        <w:r>
          <w:rPr>
            <w:noProof/>
            <w:webHidden/>
          </w:rPr>
          <w:instrText xml:space="preserve"> PAGEREF _Toc49784380 \h </w:instrText>
        </w:r>
        <w:r>
          <w:rPr>
            <w:noProof/>
            <w:webHidden/>
          </w:rPr>
        </w:r>
        <w:r>
          <w:rPr>
            <w:noProof/>
            <w:webHidden/>
          </w:rPr>
          <w:fldChar w:fldCharType="separate"/>
        </w:r>
        <w:r>
          <w:rPr>
            <w:noProof/>
            <w:webHidden/>
          </w:rPr>
          <w:t>18</w:t>
        </w:r>
        <w:r>
          <w:rPr>
            <w:noProof/>
            <w:webHidden/>
          </w:rPr>
          <w:fldChar w:fldCharType="end"/>
        </w:r>
      </w:hyperlink>
    </w:p>
    <w:p w14:paraId="15E4D4AE" w14:textId="2DDF31F6" w:rsidR="00AD470F" w:rsidRPr="0002712A" w:rsidRDefault="00F52335" w:rsidP="00F4320E">
      <w:pPr>
        <w:widowControl/>
        <w:rPr>
          <w:b/>
          <w:sz w:val="32"/>
        </w:rPr>
      </w:pPr>
      <w:r>
        <w:rPr>
          <w:b/>
          <w:sz w:val="32"/>
        </w:rPr>
        <w:fldChar w:fldCharType="end"/>
      </w:r>
    </w:p>
    <w:p w14:paraId="06BFD987" w14:textId="77777777" w:rsidR="00C22814" w:rsidRPr="0002712A" w:rsidRDefault="008E1FBA" w:rsidP="005D16C7">
      <w:pPr>
        <w:pStyle w:val="Heading1"/>
        <w:pageBreakBefore/>
      </w:pPr>
      <w:bookmarkStart w:id="0" w:name="_Toc49784364"/>
      <w:r>
        <w:lastRenderedPageBreak/>
        <w:t>INTRODUCTION</w:t>
      </w:r>
      <w:bookmarkEnd w:id="0"/>
    </w:p>
    <w:p w14:paraId="0908BA02" w14:textId="77777777" w:rsidR="00AD470F" w:rsidRPr="0002712A" w:rsidRDefault="008E1FBA" w:rsidP="00F4320E">
      <w:pPr>
        <w:pStyle w:val="BodyText"/>
        <w:widowControl/>
        <w:spacing w:before="120" w:after="120"/>
      </w:pPr>
      <w:r>
        <w:t>Le ministère des finances est politiquement responsable de l’application des réglementations relatives à la construction.</w:t>
      </w:r>
    </w:p>
    <w:p w14:paraId="2ED4876A" w14:textId="77777777" w:rsidR="00AD470F" w:rsidRPr="0002712A" w:rsidRDefault="008E1FBA" w:rsidP="00F4320E">
      <w:pPr>
        <w:pStyle w:val="BodyText"/>
        <w:widowControl/>
        <w:spacing w:before="120" w:after="120"/>
      </w:pPr>
      <w:r>
        <w:t>Les dispositions réglementaires relatives à la construction s’appliquent à la plupart des travaux de construction et sont élaborées principalement pour garantir la santé, la sécurité, le bien-être et le confort des personnes dans et à proximité des bâtiments, pour la conservation du combustible et de l’électricité, ainsi que la protection et l’amélioration de l’environnement et la promotion du développement durable.</w:t>
      </w:r>
    </w:p>
    <w:p w14:paraId="2A5BB930" w14:textId="77777777" w:rsidR="00AD470F" w:rsidRPr="0002712A" w:rsidRDefault="008E1FBA" w:rsidP="00F4320E">
      <w:pPr>
        <w:pStyle w:val="BodyText"/>
        <w:widowControl/>
        <w:spacing w:before="120" w:after="120"/>
      </w:pPr>
      <w:r>
        <w:t>Les dispositions réglementaires établissent principalement des exigences fonctionnelles et sont étayées par des livrets techniques comprenant des directives, des normes de performance ainsi que des dispositions en matière de conception concernant la conformité à des aspects spécifiques des dispositions réglementaires relatives à la construction pour les situations de construction les plus courantes.</w:t>
      </w:r>
    </w:p>
    <w:p w14:paraId="1BDC2B73" w14:textId="77777777" w:rsidR="00C22814" w:rsidRPr="0002712A" w:rsidRDefault="008E1FBA" w:rsidP="005D16C7">
      <w:pPr>
        <w:pStyle w:val="Heading1"/>
      </w:pPr>
      <w:bookmarkStart w:id="1" w:name="_Toc49784365"/>
      <w:r>
        <w:t>OBJECTIF ET EFFET ESCOMPTÉ DES MESURES</w:t>
      </w:r>
      <w:bookmarkEnd w:id="1"/>
    </w:p>
    <w:p w14:paraId="687B996A" w14:textId="77777777" w:rsidR="00AD470F" w:rsidRPr="0002712A" w:rsidRDefault="008E1FBA" w:rsidP="00F4320E">
      <w:pPr>
        <w:pStyle w:val="BodyText"/>
        <w:widowControl/>
        <w:spacing w:before="120" w:after="120"/>
      </w:pPr>
      <w:r>
        <w:t>Le principal objectif et effet de la modification consiste à maintenir les objectifs des dispositions réglementaires relatives à la construction en fournissant des dispositions et des conseils techniques à jour relatifs aux contaminants, y compris des recommandations sur les méthodes de protection contre la présence éventuelle de radon et sur la manière de déterminer les lieux où une telle protection peut être nécessaire (en référence aux cartes actuelles du radon en Irlande du Nord).</w:t>
      </w:r>
    </w:p>
    <w:p w14:paraId="68B97203" w14:textId="77777777" w:rsidR="00AD470F" w:rsidRPr="0002712A" w:rsidRDefault="008E1FBA" w:rsidP="005D16C7">
      <w:pPr>
        <w:pStyle w:val="Heading1"/>
      </w:pPr>
      <w:bookmarkStart w:id="2" w:name="_Toc49784366"/>
      <w:r>
        <w:t>CHAMP D’APPLICATION</w:t>
      </w:r>
      <w:bookmarkEnd w:id="2"/>
    </w:p>
    <w:p w14:paraId="2D57DC9F" w14:textId="77777777" w:rsidR="00AD470F" w:rsidRPr="0002712A" w:rsidRDefault="008E1FBA" w:rsidP="00F4320E">
      <w:pPr>
        <w:pStyle w:val="BodyText"/>
        <w:widowControl/>
        <w:spacing w:before="120" w:after="120"/>
      </w:pPr>
      <w:r>
        <w:t>Le présent PROJET de consultation d’évaluation d’impact réglementaire (EIR) traite d’une modification apportée aux dispositions réglementaires relatives à la construction et au livret technique associé, établissant spécifiquement des directives mises à jour dans la partie C, disposition 25 Interprétation et livret technique C, concernant les mesures de protection contre le radon.</w:t>
      </w:r>
    </w:p>
    <w:p w14:paraId="1EB77916" w14:textId="77777777" w:rsidR="00C22814" w:rsidRPr="0002712A" w:rsidRDefault="008E1FBA" w:rsidP="005D16C7">
      <w:pPr>
        <w:pStyle w:val="Heading1"/>
      </w:pPr>
      <w:bookmarkStart w:id="3" w:name="_Toc49784367"/>
      <w:r>
        <w:t>OBJECTIF</w:t>
      </w:r>
      <w:bookmarkEnd w:id="3"/>
    </w:p>
    <w:p w14:paraId="7FACF2BE" w14:textId="77777777" w:rsidR="00AD470F" w:rsidRPr="0002712A" w:rsidRDefault="008E1FBA" w:rsidP="00F4320E">
      <w:pPr>
        <w:pStyle w:val="BodyText"/>
        <w:widowControl/>
        <w:spacing w:before="120" w:after="120"/>
      </w:pPr>
      <w:r>
        <w:t>L’objectif principal de la modification consiste à mettre à jour l’interprétation réglementaire actuelle (soutenant la mise en œuvre de mesures efficaces d’application de la loi) ainsi que les recommandations relatives au radon dans l’actuel système de dispositions réglementaires relatives à la construction dans une optique de bien-être et de confort pour les personnes vivant dans les bâtiments concernés et à proximité de ceux-ci, sans imposer d’impératifs bureaucratiques disproportionnés aux propriétaires et concepteurs de bâtiments ou aux conseils de district, dont le rôle consiste à faire appliquer les dispositions réglementaires relatives à la construction.</w:t>
      </w:r>
    </w:p>
    <w:p w14:paraId="28E9543E" w14:textId="77777777" w:rsidR="00AD470F" w:rsidRPr="00A71A48" w:rsidRDefault="008E1FBA" w:rsidP="00F4320E">
      <w:pPr>
        <w:pStyle w:val="BodyText"/>
        <w:widowControl/>
        <w:spacing w:before="120" w:after="120"/>
        <w:rPr>
          <w:spacing w:val="-4"/>
        </w:rPr>
      </w:pPr>
      <w:r w:rsidRPr="00A71A48">
        <w:rPr>
          <w:spacing w:val="-4"/>
        </w:rPr>
        <w:t xml:space="preserve">La nécessité d’une mise à jour des recommandations réglementaires de soutien sur les risques actuels liés au radon est </w:t>
      </w:r>
      <w:proofErr w:type="gramStart"/>
      <w:r w:rsidRPr="00A71A48">
        <w:rPr>
          <w:spacing w:val="-4"/>
        </w:rPr>
        <w:t>claire:</w:t>
      </w:r>
      <w:proofErr w:type="gramEnd"/>
      <w:r w:rsidRPr="00A71A48">
        <w:rPr>
          <w:spacing w:val="-4"/>
        </w:rPr>
        <w:t xml:space="preserve"> garantir que les logements concernés sont protégés par des mesures proportionnées pour empêcher la pénétration de radon, de manière correctement ciblée, permettant ainsi de réduire les cancers du poumon liés au radon.</w:t>
      </w:r>
    </w:p>
    <w:p w14:paraId="1A5193AF" w14:textId="77777777" w:rsidR="00C22814" w:rsidRPr="0002712A" w:rsidRDefault="008E1FBA" w:rsidP="00A71A48">
      <w:pPr>
        <w:pStyle w:val="BodyText"/>
        <w:keepLines/>
        <w:widowControl/>
        <w:spacing w:before="120" w:after="120"/>
      </w:pPr>
      <w:r>
        <w:lastRenderedPageBreak/>
        <w:t>Le présent PROJET de consultation d’EIR constitue un examen des dispositions réglementaires de 2012 relatives à la construction (Irlande du Nord) (version modifiée) en tenant compte des coûts et bénéfices (le cas échéant) des propositions visant à modifier les dispositions réglementaires actuelles relatives à la construction en ce qui concerne les contaminants, en particulier la cartographie du radon, à des fins d’information et de garantie que les logements bénéficient de mesures proportionnées pour empêcher la pénétration de radon.</w:t>
      </w:r>
    </w:p>
    <w:p w14:paraId="469B6D27" w14:textId="77777777" w:rsidR="00AD470F" w:rsidRPr="00A71A48" w:rsidRDefault="008E1FBA" w:rsidP="00F4320E">
      <w:pPr>
        <w:pStyle w:val="BodyText"/>
        <w:widowControl/>
        <w:spacing w:before="120" w:after="120"/>
        <w:jc w:val="both"/>
        <w:rPr>
          <w:spacing w:val="-4"/>
        </w:rPr>
      </w:pPr>
      <w:r w:rsidRPr="00A71A48">
        <w:rPr>
          <w:spacing w:val="-4"/>
        </w:rPr>
        <w:t>La modification concerne, à différents degrés, les acteurs du secteur de la construction qui sont impliqués dans la promotion, la construction ou l’extension de logements, et ceux dont la tâche est d’assurer la conformité avec les dispositions réglementaires relatives à la construction.</w:t>
      </w:r>
    </w:p>
    <w:p w14:paraId="53B73D12" w14:textId="77777777" w:rsidR="00C22814" w:rsidRPr="0002712A" w:rsidRDefault="008E1FBA" w:rsidP="005D16C7">
      <w:pPr>
        <w:pStyle w:val="Heading1"/>
      </w:pPr>
      <w:bookmarkStart w:id="4" w:name="_Toc49784368"/>
      <w:r>
        <w:t>CONTEXTE - MESURES DE PROTECTION CONTRE LE RADON</w:t>
      </w:r>
      <w:bookmarkEnd w:id="4"/>
    </w:p>
    <w:p w14:paraId="37AEB574" w14:textId="405ABB35" w:rsidR="00AD470F" w:rsidRPr="0002712A" w:rsidRDefault="008E1FBA" w:rsidP="00F4320E">
      <w:pPr>
        <w:pStyle w:val="BodyText"/>
        <w:widowControl/>
        <w:spacing w:before="120" w:after="120"/>
      </w:pPr>
      <w:r>
        <w:t xml:space="preserve">Depuis 1994, les contaminants visés par la partie C incluent également le gaz radon. Le radon est un gaz radioactif d’origine naturelle, incolore et inodore, qui peut s’infiltrer dans le sol et s’accumuler dans les maisons ou tout environnement intérieur d’un bâtiment. Des études épidémiologiques ont établi que l’exposition au radon est un facteur de cancer du poumon, avec une relation linéaire dose-réponse. L’exposition au radon est maintenant reconnue comme la deuxième cause de cancer du poumon au Royaume-Uni, après le tabagisme, et l’analyse de l’Agence de santé publique d’Angleterre (Public </w:t>
      </w:r>
      <w:proofErr w:type="spellStart"/>
      <w:r>
        <w:t>Health</w:t>
      </w:r>
      <w:proofErr w:type="spellEnd"/>
      <w:r>
        <w:t xml:space="preserve"> </w:t>
      </w:r>
      <w:proofErr w:type="spellStart"/>
      <w:r>
        <w:t>England</w:t>
      </w:r>
      <w:proofErr w:type="spellEnd"/>
      <w:r>
        <w:t>, ou PHE) indique environ 1</w:t>
      </w:r>
      <w:r w:rsidR="00A04A72">
        <w:t> </w:t>
      </w:r>
      <w:r>
        <w:t>100 décès par cancer du poumon au Royaume-Uni causés chaque année par l’exposition au radon (et plus causés par le radon joint au tabagisme), ce qui équivaut à 30 décès par an en Irlande du Nord.</w:t>
      </w:r>
    </w:p>
    <w:p w14:paraId="4473FBC8" w14:textId="77777777" w:rsidR="00AD470F" w:rsidRPr="0002712A" w:rsidRDefault="008E1FBA" w:rsidP="00F4320E">
      <w:pPr>
        <w:pStyle w:val="BodyText"/>
        <w:widowControl/>
        <w:spacing w:before="120" w:after="120"/>
      </w:pPr>
      <w:r>
        <w:t>Les concentrations de radon dans les bâtiments sont déterminées par divers facteurs, notamment la géologie du sol, les détails de constructions et des facteurs tels que les méthodes de chauffage et de ventilation. La concentration est mesurée en becquerels par mètre cube (Bq m-</w:t>
      </w:r>
      <w:r>
        <w:rPr>
          <w:vertAlign w:val="superscript"/>
        </w:rPr>
        <w:t>3</w:t>
      </w:r>
      <w:r>
        <w:t>). Un avis publié par PHE explique comment les experts de la santé estiment qu’une augmentation de concentration de radon de 100 Bq m-</w:t>
      </w:r>
      <w:r>
        <w:rPr>
          <w:vertAlign w:val="superscript"/>
        </w:rPr>
        <w:t>3</w:t>
      </w:r>
      <w:r>
        <w:t xml:space="preserve"> dans un logement augmente le risque de cancer du poumon de 31 % par l’occupant, avec une estimation moyenne de 16 %</w:t>
      </w:r>
    </w:p>
    <w:p w14:paraId="308EFCED" w14:textId="77777777" w:rsidR="00AD470F" w:rsidRPr="0002712A" w:rsidRDefault="008E1FBA" w:rsidP="00F4320E">
      <w:pPr>
        <w:pStyle w:val="BodyText"/>
        <w:widowControl/>
        <w:spacing w:before="120" w:after="120"/>
      </w:pPr>
      <w:r>
        <w:t>D’après un rapport de 2009 d’un groupe consultatif indépendant</w:t>
      </w:r>
      <w:r w:rsidR="00475B27" w:rsidRPr="0002712A">
        <w:rPr>
          <w:rStyle w:val="FootnoteReference"/>
        </w:rPr>
        <w:footnoteReference w:id="1"/>
      </w:r>
      <w:r>
        <w:t>, les preuves disponibles suggèrent qu’un tel pourcentage d’augmentation du cancer des poumons s’applique aux hommes et aux femmes, dans tous les groupes d’âge et pour les fumeurs, les anciens fumeurs et les non-fumeurs. Puisque le risque de base de cancer du poumon est plus important chez les fumeurs que chez les non-fumeurs, et que le radon semble augmenter le risque de cancer chez les fumeurs de façon multiplicative, ceci signifie que l’augmentation du risque de cancer des poumons dû au radon est beaucoup plus élevée chez les fumeurs que chez les non-fumeurs. Les risques cumulés de cancer du poumon affectant les personnes à l’âge de 75 ans au Royaume-Uni à 100 et 200 Bq m-</w:t>
      </w:r>
      <w:r>
        <w:rPr>
          <w:vertAlign w:val="superscript"/>
        </w:rPr>
        <w:t>3</w:t>
      </w:r>
      <w:r>
        <w:t xml:space="preserve"> sont de 0,42 % et de 0,47 % pour les non-fumeurs et de 17 % et 19 % pour les fumeurs. Les risques pour les anciens fumeurs se trouvent entre les risques de ces deux groupes, avec un niveau de risque variant en fonction du moment où ils ont arrêté de fumer.</w:t>
      </w:r>
    </w:p>
    <w:p w14:paraId="7889DEB2" w14:textId="77777777" w:rsidR="00AD470F" w:rsidRPr="0002712A" w:rsidRDefault="008E1FBA" w:rsidP="00A71A48">
      <w:pPr>
        <w:pStyle w:val="BodyText"/>
        <w:keepLines/>
        <w:widowControl/>
        <w:spacing w:before="120" w:after="120"/>
      </w:pPr>
      <w:r>
        <w:lastRenderedPageBreak/>
        <w:t xml:space="preserve">En plus d’examiner les éléments probants du risque pour la santé, PHE procède à des enquêtes et à des essais sur le niveau de fond du radon dans les bâtiments existants au Royaume-Uni. Les informations en émanant sont utilisées pour établir la carte du radon par PHE avec la British </w:t>
      </w:r>
      <w:proofErr w:type="spellStart"/>
      <w:r>
        <w:t>Geological</w:t>
      </w:r>
      <w:proofErr w:type="spellEnd"/>
      <w:r>
        <w:t xml:space="preserve"> Survey et la </w:t>
      </w:r>
      <w:proofErr w:type="spellStart"/>
      <w:r>
        <w:t>Northern</w:t>
      </w:r>
      <w:proofErr w:type="spellEnd"/>
      <w:r>
        <w:t xml:space="preserve"> Ireland </w:t>
      </w:r>
      <w:proofErr w:type="spellStart"/>
      <w:r>
        <w:t>Environment</w:t>
      </w:r>
      <w:proofErr w:type="spellEnd"/>
      <w:r>
        <w:t xml:space="preserve"> Agency. PHE publie des atlas de cartes indicatives (</w:t>
      </w:r>
      <w:proofErr w:type="spellStart"/>
      <w:r>
        <w:t>probabilistiques</w:t>
      </w:r>
      <w:proofErr w:type="spellEnd"/>
      <w:r>
        <w:t xml:space="preserve">) sur l’activité du radon pour le Royaume-Uni Depuis 1998, le Building </w:t>
      </w:r>
      <w:proofErr w:type="spellStart"/>
      <w:r>
        <w:t>Research</w:t>
      </w:r>
      <w:proofErr w:type="spellEnd"/>
      <w:r>
        <w:t xml:space="preserve"> </w:t>
      </w:r>
      <w:proofErr w:type="spellStart"/>
      <w:r>
        <w:t>Establisment</w:t>
      </w:r>
      <w:proofErr w:type="spellEnd"/>
      <w:r>
        <w:t xml:space="preserve"> publie des recommandations spécifiques à l’Irlande du Nord</w:t>
      </w:r>
      <w:r w:rsidR="00475B27" w:rsidRPr="0002712A">
        <w:rPr>
          <w:rStyle w:val="FootnoteReference"/>
        </w:rPr>
        <w:footnoteReference w:id="2"/>
      </w:r>
      <w:r>
        <w:t xml:space="preserve"> qui montrent les zones dans lesquelles les niveaux de radon sont élevés et les détails techniques des mesures qui peuvent être mis en place pour se protéger du radon.</w:t>
      </w:r>
    </w:p>
    <w:p w14:paraId="5C314142" w14:textId="77777777" w:rsidR="00AD470F" w:rsidRPr="00B945EA" w:rsidRDefault="008E1FBA" w:rsidP="00F4320E">
      <w:pPr>
        <w:pStyle w:val="BodyText"/>
        <w:widowControl/>
        <w:spacing w:before="120" w:after="120"/>
      </w:pPr>
      <w:r>
        <w:t xml:space="preserve">Les recommandations BR413 du Building </w:t>
      </w:r>
      <w:proofErr w:type="spellStart"/>
      <w:r>
        <w:t>Research</w:t>
      </w:r>
      <w:proofErr w:type="spellEnd"/>
      <w:r>
        <w:t xml:space="preserve"> Establishment (1998), référencées dans l’actuel livret technique C de 2012, décrivent les zones d’action du radon </w:t>
      </w:r>
      <w:proofErr w:type="gramStart"/>
      <w:r>
        <w:t>(«zones</w:t>
      </w:r>
      <w:proofErr w:type="gramEnd"/>
      <w:r>
        <w:t xml:space="preserve">» à risque élevé) en Irlande du Nord, où des mesures de protection contre le radon devraient être mises en place. Elles sont décrites comme des zones dans lesquelles des mesures de protection «de </w:t>
      </w:r>
      <w:proofErr w:type="gramStart"/>
      <w:r>
        <w:t>base»</w:t>
      </w:r>
      <w:proofErr w:type="gramEnd"/>
      <w:r>
        <w:t xml:space="preserve"> ou plus «complètes» doivent être mises en place: il s’agit des «zones 1», et des «zones 2», où respectivement 1 à 10 % et plus de 10 % des logements enquêtés présentaient des niveaux supérieurs à 200 Bq m-</w:t>
      </w:r>
      <w:r>
        <w:rPr>
          <w:vertAlign w:val="superscript"/>
        </w:rPr>
        <w:t>3</w:t>
      </w:r>
      <w:r>
        <w:t xml:space="preserve">. Cette publication prévoit également des recommandations techniques sur les différentes approches de construction que l’on peut utiliser dans ces zones pour assurer l’application de mesures de protection ciblées et proportionnées («de </w:t>
      </w:r>
      <w:proofErr w:type="gramStart"/>
      <w:r>
        <w:t>base»</w:t>
      </w:r>
      <w:proofErr w:type="gramEnd"/>
      <w:r>
        <w:t xml:space="preserve"> et «complètes») contre le radon.</w:t>
      </w:r>
    </w:p>
    <w:p w14:paraId="68A15EB6" w14:textId="77777777" w:rsidR="00AD470F" w:rsidRPr="00A71A48" w:rsidRDefault="008E1FBA" w:rsidP="00F4320E">
      <w:pPr>
        <w:pStyle w:val="BodyText"/>
        <w:widowControl/>
        <w:spacing w:before="120" w:after="120"/>
        <w:rPr>
          <w:spacing w:val="-4"/>
        </w:rPr>
      </w:pPr>
      <w:r w:rsidRPr="00A71A48">
        <w:rPr>
          <w:spacing w:val="-4"/>
        </w:rPr>
        <w:t xml:space="preserve">Les mesures de protection «de </w:t>
      </w:r>
      <w:proofErr w:type="gramStart"/>
      <w:r w:rsidRPr="00A71A48">
        <w:rPr>
          <w:spacing w:val="-4"/>
        </w:rPr>
        <w:t>base»</w:t>
      </w:r>
      <w:proofErr w:type="gramEnd"/>
      <w:r w:rsidRPr="00A71A48">
        <w:rPr>
          <w:spacing w:val="-4"/>
        </w:rPr>
        <w:t xml:space="preserve"> («zone 1») contre le radon comprennent l’installation d’une protection du sol étanche au gaz pour empêcher la pénétration de radon. Ceci agit également comme une membrane étanche à l’humidité, et doit couvrir toute l’empreinte du bâtiment, elle doit être intégrée dans une protection hydrofuge préformée dans les murs (systèmes de linteau) et scellée autour des pénétrations de service.</w:t>
      </w:r>
    </w:p>
    <w:p w14:paraId="11BB4EE0" w14:textId="77777777" w:rsidR="00AD470F" w:rsidRPr="0002712A" w:rsidRDefault="008E1FBA" w:rsidP="00F4320E">
      <w:pPr>
        <w:pStyle w:val="BodyText"/>
        <w:widowControl/>
        <w:spacing w:before="120" w:after="120"/>
        <w:jc w:val="both"/>
      </w:pPr>
      <w:r>
        <w:t>Des mesures de protection</w:t>
      </w:r>
      <w:proofErr w:type="gramStart"/>
      <w:r>
        <w:t xml:space="preserve"> «complètes</w:t>
      </w:r>
      <w:proofErr w:type="gramEnd"/>
      <w:r>
        <w:t>» («zone 2») contre le radon exigent une barrière au sol étanche au radon, avec un puisard dans la fondation, prêt à utiliser un ventilateur si des niveaux élevés de radon sont détectés après l’occupation.</w:t>
      </w:r>
    </w:p>
    <w:p w14:paraId="59CDAA49" w14:textId="77777777" w:rsidR="00C22814" w:rsidRPr="0002712A" w:rsidRDefault="008E1FBA" w:rsidP="005D16C7">
      <w:pPr>
        <w:pStyle w:val="Heading1"/>
      </w:pPr>
      <w:bookmarkStart w:id="5" w:name="_Toc49784369"/>
      <w:r>
        <w:t>CONTEXTE - MISE À JOUR DES CARTES</w:t>
      </w:r>
      <w:bookmarkEnd w:id="5"/>
    </w:p>
    <w:p w14:paraId="420A943A" w14:textId="77777777" w:rsidR="00AD470F" w:rsidRPr="0002712A" w:rsidRDefault="008E1FBA" w:rsidP="00F4320E">
      <w:pPr>
        <w:pStyle w:val="BodyText"/>
        <w:widowControl/>
        <w:spacing w:before="120" w:after="120"/>
      </w:pPr>
      <w:r>
        <w:t xml:space="preserve">En 2015, à la suite d’enquêtes et d’études détaillées, PHE et le British </w:t>
      </w:r>
      <w:proofErr w:type="spellStart"/>
      <w:r>
        <w:t>Geological</w:t>
      </w:r>
      <w:proofErr w:type="spellEnd"/>
      <w:r>
        <w:t xml:space="preserve"> Survey (BGS), ainsi que le </w:t>
      </w:r>
      <w:proofErr w:type="spellStart"/>
      <w:r>
        <w:t>Geological</w:t>
      </w:r>
      <w:proofErr w:type="spellEnd"/>
      <w:r>
        <w:t xml:space="preserve"> Survey of </w:t>
      </w:r>
      <w:proofErr w:type="spellStart"/>
      <w:r>
        <w:t>Northern</w:t>
      </w:r>
      <w:proofErr w:type="spellEnd"/>
      <w:r>
        <w:t xml:space="preserve"> Ireland, ont publié un atlas actualisé des cartes du radon</w:t>
      </w:r>
      <w:r w:rsidR="00C27FB9" w:rsidRPr="0002712A">
        <w:rPr>
          <w:rStyle w:val="FootnoteReference"/>
        </w:rPr>
        <w:footnoteReference w:id="3"/>
      </w:r>
      <w:r>
        <w:t>. Il montre que les zones présentant le niveau ciblé de risque du radon sont plus étendues que celles recensées en 2009. Le BRE a également publié une révision du document BR211</w:t>
      </w:r>
      <w:proofErr w:type="gramStart"/>
      <w:r>
        <w:t xml:space="preserve"> «Radon</w:t>
      </w:r>
      <w:proofErr w:type="gramEnd"/>
      <w:r>
        <w:t xml:space="preserve">: Guidance on protective </w:t>
      </w:r>
      <w:proofErr w:type="spellStart"/>
      <w:r>
        <w:t>measures</w:t>
      </w:r>
      <w:proofErr w:type="spellEnd"/>
      <w:r>
        <w:t xml:space="preserve"> for new buildings» en 2015, intégrant les cartes des zones dans lesquelles la protection contre le radon est nécessaire compte tenu de la révision de l’atlas. L’inclusion des cartes de l’atlas spécifique à l’Irlande du Nord dans la mise à jour du document BR211 de 2015 a effectivement remplacé le document BR413 d’Irlande du Nord, un tel document étant par la suite retiré de la publication d’</w:t>
      </w:r>
      <w:proofErr w:type="spellStart"/>
      <w:r>
        <w:t>UKRadon</w:t>
      </w:r>
      <w:proofErr w:type="spellEnd"/>
      <w:r>
        <w:t>.</w:t>
      </w:r>
    </w:p>
    <w:p w14:paraId="2AE54984" w14:textId="77777777" w:rsidR="00AD470F" w:rsidRPr="0002712A" w:rsidRDefault="008E1FBA" w:rsidP="00F4320E">
      <w:pPr>
        <w:pStyle w:val="BodyText"/>
        <w:widowControl/>
        <w:spacing w:before="120" w:after="120"/>
      </w:pPr>
      <w:r>
        <w:t>Les cartes publiées en 2015 sont disponibles dans une résolution plus élevée que les précédentes, permettant ainsi une identification plus précise du risque lié au radon dans une zone donnée.</w:t>
      </w:r>
    </w:p>
    <w:p w14:paraId="39421BA1" w14:textId="77777777" w:rsidR="00C22814" w:rsidRPr="0002712A" w:rsidRDefault="008E1FBA" w:rsidP="005D16C7">
      <w:pPr>
        <w:pStyle w:val="Heading1"/>
      </w:pPr>
      <w:bookmarkStart w:id="6" w:name="_Toc49784370"/>
      <w:r>
        <w:lastRenderedPageBreak/>
        <w:t>JUSTIFICATION DE L’INTERVENTION GOUVERNEMENTALE</w:t>
      </w:r>
      <w:bookmarkEnd w:id="6"/>
    </w:p>
    <w:p w14:paraId="382ABEB0" w14:textId="77777777" w:rsidR="00AD470F" w:rsidRPr="00A71A48" w:rsidRDefault="008E1FBA" w:rsidP="00A71A48">
      <w:pPr>
        <w:pStyle w:val="BodyText"/>
        <w:keepLines/>
        <w:widowControl/>
        <w:spacing w:before="120" w:after="120"/>
        <w:rPr>
          <w:spacing w:val="-4"/>
        </w:rPr>
      </w:pPr>
      <w:r w:rsidRPr="00A71A48">
        <w:rPr>
          <w:spacing w:val="-4"/>
        </w:rPr>
        <w:t>En 2016, le ministère a publié une note d’information de la Building Standards Branch, mettant en évidence les cartes révisées du radon en Irlande du Nord, leurs implications, le document BR211 mis à jour (qui comprend désormais les cartes de l’atlas de l’Irlande du Nord) et le retrait de l’ancien document BR413 des mesures relatives au radon en Irlande du Nord. Il a également indiqué qu’il allait chercher à mettre à jour le livret technique C pour l’aligner avec les travaux d’orientation révisés auxquels nous procédons actuellement. Le ministère a également utilisé cette note d’information pour recommander, sous forme de bonne pratique, l’utilisation des dernières recommandations révisées figurant dans le document BR211.</w:t>
      </w:r>
    </w:p>
    <w:p w14:paraId="5AE23F8D" w14:textId="77777777" w:rsidR="00AD470F" w:rsidRPr="00A71A48" w:rsidRDefault="008E1FBA" w:rsidP="00F4320E">
      <w:pPr>
        <w:pStyle w:val="BodyText"/>
        <w:widowControl/>
        <w:spacing w:before="120" w:after="120"/>
        <w:rPr>
          <w:spacing w:val="-4"/>
        </w:rPr>
      </w:pPr>
      <w:r w:rsidRPr="00A71A48">
        <w:rPr>
          <w:spacing w:val="-4"/>
        </w:rPr>
        <w:t>La note d’information du ministère, en collaboration avec le National House Building Council (NHBC), a eu une influence considérable sur la promotion d’une telle bonne pratique, suggérant ainsi qu’au moins 70 % des nouveaux logements dans les zones affectées exploitables sont construits en utilisant des mesures de protection appropriées. Un tel chiffre se base sur le fait que les conseils du NHBC (qui fournit des garanties de normes de construction pour 80 % des nouveaux logements au Royaume-Uni)</w:t>
      </w:r>
      <w:r w:rsidR="00C27FB9" w:rsidRPr="00A71A48">
        <w:rPr>
          <w:rStyle w:val="FootnoteReference"/>
          <w:spacing w:val="-4"/>
        </w:rPr>
        <w:footnoteReference w:id="4"/>
      </w:r>
      <w:r w:rsidRPr="00A71A48">
        <w:rPr>
          <w:spacing w:val="-4"/>
        </w:rPr>
        <w:t xml:space="preserve"> s’attendraient à ce que les développeurs fournissent des mesures de protection conformes aux cartes du radon de la version BR211 de 2015. La consultation de 2013 sur la politique du radon en Angleterre a testé un tel chiffre, qui a été approuvé par l’industrie de la construction de logements. Dans la pratique, un tel chiffre est susceptible d’être légèrement sous-estimé, en particulier lorsque le NHBC nécessite la saisie de données d’identification des risques spécifiques et la fourniture d’informations. Cependant, on craint toujours que les nouvelles maisons et extensions résidentielles majeures ne soient pas toutes construites avec des mesures de protection appropriées contre le radon dans les zones actuellement affectées.</w:t>
      </w:r>
    </w:p>
    <w:p w14:paraId="34ACE75B" w14:textId="77777777" w:rsidR="00AD470F" w:rsidRPr="0002712A" w:rsidRDefault="008E1FBA" w:rsidP="00F4320E">
      <w:pPr>
        <w:pStyle w:val="BodyText"/>
        <w:widowControl/>
        <w:spacing w:before="120" w:after="120"/>
      </w:pPr>
      <w:r>
        <w:t xml:space="preserve">Cet échec potentiel du marché du logement provient du fait que les constructeurs n’ont pas d’incitation suffisante pour mettre en place des protections contre le radon dans les travaux des nouvelles </w:t>
      </w:r>
      <w:proofErr w:type="gramStart"/>
      <w:r>
        <w:t>zones;</w:t>
      </w:r>
      <w:proofErr w:type="gramEnd"/>
      <w:r>
        <w:t xml:space="preserve"> en effet, ceci n’est pas considéré comme une exigence réglementaire décrite dans le livret technique C. Ils sont uniquement exposés aux coûts émanant de l’installation de mesures de protection et ne perçoivent pas les bénéfices qui en émanent. De surcroît, puisque les locataires et les propriétaires manquent de connaissance pour le radon, ils peuvent prendre des décisions mal informées à propos de leurs maisons et des mesures de protection contre le radon et ainsi ne pas créer de demande pour de telles mesures.</w:t>
      </w:r>
    </w:p>
    <w:p w14:paraId="68344D72" w14:textId="77777777" w:rsidR="00AD470F" w:rsidRPr="0002712A" w:rsidRDefault="008E1FBA" w:rsidP="00F4320E">
      <w:pPr>
        <w:pStyle w:val="BodyText"/>
        <w:widowControl/>
        <w:spacing w:before="120" w:after="120"/>
      </w:pPr>
      <w:r>
        <w:t>Si une minorité significative de l’activité de construction ne prévoit pas de mesures de protection appropriées contre le radon conformes aux dernières cartes, car ceci n’est pas considéré comme une exigence décrite par les recommandations statutaires dans le livret technique C, l’absence de mesures de protection appropriées contre le radon dans les nouvelles constructions posera des risques plus importants d’exposition au radon et des impacts associés sur la santé. Le ministère envisagera une intervention pour régler ceci dans le cadre de l’option 2.</w:t>
      </w:r>
    </w:p>
    <w:p w14:paraId="398C01E1" w14:textId="77777777" w:rsidR="00AD470F" w:rsidRPr="0002712A" w:rsidRDefault="008E1FBA" w:rsidP="005D16C7">
      <w:pPr>
        <w:pStyle w:val="Heading1"/>
      </w:pPr>
      <w:bookmarkStart w:id="7" w:name="_Toc49784371"/>
      <w:r>
        <w:lastRenderedPageBreak/>
        <w:t>SYNTHÈSE DES MODIFICATIONS</w:t>
      </w:r>
      <w:bookmarkEnd w:id="7"/>
    </w:p>
    <w:p w14:paraId="4B30EB0E" w14:textId="77777777" w:rsidR="00AD470F" w:rsidRPr="0002712A" w:rsidRDefault="008E1FBA" w:rsidP="00F4320E">
      <w:pPr>
        <w:pStyle w:val="Heading4"/>
        <w:keepNext/>
        <w:keepLines/>
        <w:widowControl/>
        <w:spacing w:before="120" w:after="120"/>
        <w:ind w:left="0"/>
      </w:pPr>
      <w:r>
        <w:t>Partie C (Préparation des sites et résistance à l’humidité et aux polluants)</w:t>
      </w:r>
    </w:p>
    <w:p w14:paraId="2EB65B84" w14:textId="77777777" w:rsidR="00AD470F" w:rsidRPr="0002712A" w:rsidRDefault="008E1FBA" w:rsidP="00A71A48">
      <w:pPr>
        <w:pStyle w:val="BodyText"/>
        <w:keepLines/>
        <w:widowControl/>
        <w:spacing w:before="120" w:after="120"/>
      </w:pPr>
      <w:r>
        <w:t>Les propositions modifient la définition actuelle du terme</w:t>
      </w:r>
      <w:proofErr w:type="gramStart"/>
      <w:r>
        <w:t xml:space="preserve"> «zone</w:t>
      </w:r>
      <w:proofErr w:type="gramEnd"/>
      <w:r>
        <w:t xml:space="preserve"> affectée par le radon» dans les dispositions réglementaires relatives à la construction et modifient les directives associées du livret technique C sur la «résistance aux contaminants», mettant à jour la référence cartographique des zones affectées par le radon de la publication de 2009 à la publication actuelle de 2015. En outre, la référence aux recommandations retirées des mesures de protection contre le radon spécifiques à l’Irlande du Nord du BRE et à la protection contre le radon du BRE pour les nouvelles extensions/conservatoires résidentiels, sera remplacée par la publication actuelle de 2015 du BRE, BR211.</w:t>
      </w:r>
    </w:p>
    <w:p w14:paraId="24E1B238" w14:textId="77777777" w:rsidR="00C22814" w:rsidRPr="0002712A" w:rsidRDefault="008E1FBA" w:rsidP="00F4320E">
      <w:pPr>
        <w:pStyle w:val="BodyText"/>
        <w:widowControl/>
        <w:spacing w:before="120" w:after="120"/>
      </w:pPr>
      <w:r>
        <w:t>Le ministère profitera également de l’occasion pour faire référence aux rapports sur les risques liés au radon spécifiques au site, actuellement inclus dans le document BR211 de 2015 (section </w:t>
      </w:r>
      <w:proofErr w:type="gramStart"/>
      <w:r>
        <w:t>4:</w:t>
      </w:r>
      <w:proofErr w:type="gramEnd"/>
      <w:r>
        <w:t xml:space="preserve"> Identification du niveau de protection.)</w:t>
      </w:r>
    </w:p>
    <w:p w14:paraId="017ECAF7" w14:textId="77777777" w:rsidR="00AD470F" w:rsidRPr="0002712A" w:rsidRDefault="008E1FBA" w:rsidP="005D16C7">
      <w:pPr>
        <w:pStyle w:val="Heading1"/>
      </w:pPr>
      <w:bookmarkStart w:id="8" w:name="_Toc49784372"/>
      <w:r>
        <w:t>SYNTHÈSE DES COÛTS ET BÉNÉFICES DE LA CONFORMITÉ</w:t>
      </w:r>
      <w:bookmarkEnd w:id="8"/>
    </w:p>
    <w:p w14:paraId="783D172E" w14:textId="77777777" w:rsidR="00C22814" w:rsidRPr="0002712A" w:rsidRDefault="008E1FBA" w:rsidP="00F4320E">
      <w:pPr>
        <w:pStyle w:val="BodyText"/>
        <w:widowControl/>
        <w:spacing w:before="120" w:after="120"/>
      </w:pPr>
      <w:r>
        <w:t>L’impact sur les coûts fait l’objet d’une étude plus approfondie, mais il est prévu qu’à ce stade, l’impact sur les coûts sera minime étant donné que le changement réglementaire est léger et qu’il peut également présenter des bénéfices potentiels pour la santé pouvant appliquer un effet compensateur aux coûts des modifications. Cependant, ceux-ci ont été exclus en raison de l’incertitude liée à l’estimation des bénéfices prévus pour la santé.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602"/>
        <w:gridCol w:w="4012"/>
        <w:gridCol w:w="4010"/>
      </w:tblGrid>
      <w:tr w:rsidR="00C22814" w:rsidRPr="00A71A48" w14:paraId="2A259C0F" w14:textId="77777777" w:rsidTr="00253054">
        <w:tc>
          <w:tcPr>
            <w:tcW w:w="832" w:type="pct"/>
          </w:tcPr>
          <w:p w14:paraId="5AAF3B6B" w14:textId="77777777" w:rsidR="00C22814" w:rsidRPr="00A71A48" w:rsidRDefault="008E1FBA" w:rsidP="00F80B40">
            <w:pPr>
              <w:pStyle w:val="TableParagraph"/>
              <w:keepNext/>
              <w:keepLines/>
              <w:widowControl/>
              <w:spacing w:before="120" w:after="120"/>
              <w:jc w:val="center"/>
              <w:rPr>
                <w:b/>
                <w:spacing w:val="-4"/>
                <w:sz w:val="24"/>
              </w:rPr>
            </w:pPr>
            <w:r w:rsidRPr="00A71A48">
              <w:rPr>
                <w:b/>
                <w:spacing w:val="-4"/>
                <w:sz w:val="24"/>
              </w:rPr>
              <w:t>Partie</w:t>
            </w:r>
          </w:p>
        </w:tc>
        <w:tc>
          <w:tcPr>
            <w:tcW w:w="2084" w:type="pct"/>
          </w:tcPr>
          <w:p w14:paraId="0F87590E" w14:textId="77777777" w:rsidR="00C22814" w:rsidRPr="00A71A48" w:rsidRDefault="008E1FBA" w:rsidP="00F80B40">
            <w:pPr>
              <w:pStyle w:val="TableParagraph"/>
              <w:keepNext/>
              <w:keepLines/>
              <w:widowControl/>
              <w:spacing w:before="120" w:after="120"/>
              <w:jc w:val="center"/>
              <w:rPr>
                <w:b/>
                <w:spacing w:val="-4"/>
                <w:sz w:val="24"/>
              </w:rPr>
            </w:pPr>
            <w:r w:rsidRPr="00A71A48">
              <w:rPr>
                <w:b/>
                <w:spacing w:val="-4"/>
                <w:sz w:val="24"/>
              </w:rPr>
              <w:t>Modification</w:t>
            </w:r>
          </w:p>
        </w:tc>
        <w:tc>
          <w:tcPr>
            <w:tcW w:w="2083" w:type="pct"/>
          </w:tcPr>
          <w:p w14:paraId="5670381D" w14:textId="77777777" w:rsidR="00C22814" w:rsidRPr="00A71A48" w:rsidRDefault="008E1FBA" w:rsidP="00F80B40">
            <w:pPr>
              <w:pStyle w:val="TableParagraph"/>
              <w:keepNext/>
              <w:keepLines/>
              <w:widowControl/>
              <w:spacing w:before="120" w:after="120"/>
              <w:jc w:val="center"/>
              <w:rPr>
                <w:b/>
                <w:spacing w:val="-4"/>
                <w:sz w:val="24"/>
              </w:rPr>
            </w:pPr>
            <w:r w:rsidRPr="00A71A48">
              <w:rPr>
                <w:b/>
                <w:spacing w:val="-4"/>
                <w:sz w:val="24"/>
              </w:rPr>
              <w:t>Impact sur les coûts</w:t>
            </w:r>
          </w:p>
        </w:tc>
      </w:tr>
      <w:tr w:rsidR="00C22814" w:rsidRPr="00A71A48" w14:paraId="3118B8B5" w14:textId="77777777" w:rsidTr="00253054">
        <w:tc>
          <w:tcPr>
            <w:tcW w:w="832" w:type="pct"/>
          </w:tcPr>
          <w:p w14:paraId="7FE0B806" w14:textId="77777777" w:rsidR="00C22814" w:rsidRPr="00A71A48" w:rsidRDefault="008E1FBA" w:rsidP="00F4320E">
            <w:pPr>
              <w:pStyle w:val="TableParagraph"/>
              <w:widowControl/>
              <w:spacing w:before="120" w:after="120"/>
              <w:jc w:val="center"/>
              <w:rPr>
                <w:b/>
                <w:spacing w:val="-4"/>
                <w:sz w:val="24"/>
              </w:rPr>
            </w:pPr>
            <w:r w:rsidRPr="00A71A48">
              <w:rPr>
                <w:b/>
                <w:spacing w:val="-4"/>
                <w:sz w:val="24"/>
              </w:rPr>
              <w:t>C</w:t>
            </w:r>
          </w:p>
        </w:tc>
        <w:tc>
          <w:tcPr>
            <w:tcW w:w="2084" w:type="pct"/>
          </w:tcPr>
          <w:p w14:paraId="6B00B071" w14:textId="77777777" w:rsidR="00C22814" w:rsidRPr="00A71A48" w:rsidRDefault="008E1FBA" w:rsidP="00F4320E">
            <w:pPr>
              <w:pStyle w:val="TableParagraph"/>
              <w:widowControl/>
              <w:spacing w:before="120" w:after="120"/>
              <w:rPr>
                <w:spacing w:val="-4"/>
                <w:sz w:val="24"/>
              </w:rPr>
            </w:pPr>
            <w:r w:rsidRPr="00A71A48">
              <w:rPr>
                <w:spacing w:val="-4"/>
                <w:sz w:val="24"/>
              </w:rPr>
              <w:t>Disposition 25 Interprétation de la mise à jour du terme</w:t>
            </w:r>
            <w:proofErr w:type="gramStart"/>
            <w:r w:rsidRPr="00A71A48">
              <w:rPr>
                <w:spacing w:val="-4"/>
                <w:sz w:val="24"/>
              </w:rPr>
              <w:t xml:space="preserve"> «zone</w:t>
            </w:r>
            <w:proofErr w:type="gramEnd"/>
            <w:r w:rsidRPr="00A71A48">
              <w:rPr>
                <w:spacing w:val="-4"/>
                <w:sz w:val="24"/>
              </w:rPr>
              <w:t xml:space="preserve"> affectée par le radon» de la revue et de l’atlas de l’Irlande du Nord 2009 aux cartes de l’atlas publiées par PHE en 2015.</w:t>
            </w:r>
          </w:p>
        </w:tc>
        <w:tc>
          <w:tcPr>
            <w:tcW w:w="2083" w:type="pct"/>
          </w:tcPr>
          <w:p w14:paraId="147DDF68" w14:textId="77777777" w:rsidR="00AD470F" w:rsidRPr="00A71A48" w:rsidRDefault="008E1FBA" w:rsidP="00F4320E">
            <w:pPr>
              <w:pStyle w:val="TableParagraph"/>
              <w:widowControl/>
              <w:spacing w:before="120" w:after="120"/>
              <w:rPr>
                <w:spacing w:val="-4"/>
                <w:sz w:val="24"/>
              </w:rPr>
            </w:pPr>
            <w:r w:rsidRPr="00A71A48">
              <w:rPr>
                <w:spacing w:val="-4"/>
                <w:sz w:val="24"/>
              </w:rPr>
              <w:t xml:space="preserve">Pour une nouvelle maison construite en maçonnerie dans une zone affectée, le coût d’une mesure de protection «de </w:t>
            </w:r>
            <w:proofErr w:type="gramStart"/>
            <w:r w:rsidRPr="00A71A48">
              <w:rPr>
                <w:spacing w:val="-4"/>
                <w:sz w:val="24"/>
              </w:rPr>
              <w:t>base»</w:t>
            </w:r>
            <w:proofErr w:type="gramEnd"/>
            <w:r w:rsidRPr="00A71A48">
              <w:rPr>
                <w:spacing w:val="-4"/>
                <w:sz w:val="24"/>
              </w:rPr>
              <w:t xml:space="preserve"> serait de l’ordre de 400 GBP.</w:t>
            </w:r>
          </w:p>
          <w:p w14:paraId="3BF0521A" w14:textId="77777777" w:rsidR="00AD470F" w:rsidRPr="00A71A48" w:rsidRDefault="008E1FBA" w:rsidP="00F4320E">
            <w:pPr>
              <w:pStyle w:val="TableParagraph"/>
              <w:widowControl/>
              <w:spacing w:before="120" w:after="120"/>
              <w:rPr>
                <w:spacing w:val="-4"/>
                <w:sz w:val="24"/>
              </w:rPr>
            </w:pPr>
            <w:r w:rsidRPr="00A71A48">
              <w:rPr>
                <w:spacing w:val="-4"/>
                <w:sz w:val="24"/>
              </w:rPr>
              <w:t xml:space="preserve">Pour une nouvelle maison construite en ossature bois dans une zone affectée, le coût d’une mesure de protection «de </w:t>
            </w:r>
            <w:proofErr w:type="gramStart"/>
            <w:r w:rsidRPr="00A71A48">
              <w:rPr>
                <w:spacing w:val="-4"/>
                <w:sz w:val="24"/>
              </w:rPr>
              <w:t>base»</w:t>
            </w:r>
            <w:proofErr w:type="gramEnd"/>
            <w:r w:rsidRPr="00A71A48">
              <w:rPr>
                <w:spacing w:val="-4"/>
                <w:sz w:val="24"/>
              </w:rPr>
              <w:t xml:space="preserve"> serait de l’ordre de 100 GBP.</w:t>
            </w:r>
          </w:p>
          <w:p w14:paraId="0D8A8790" w14:textId="77777777" w:rsidR="00AD470F" w:rsidRPr="00A71A48" w:rsidRDefault="008E1FBA" w:rsidP="00F4320E">
            <w:pPr>
              <w:pStyle w:val="TableParagraph"/>
              <w:widowControl/>
              <w:spacing w:before="120" w:after="120"/>
              <w:rPr>
                <w:spacing w:val="-4"/>
                <w:sz w:val="24"/>
              </w:rPr>
            </w:pPr>
            <w:r w:rsidRPr="00A71A48">
              <w:rPr>
                <w:spacing w:val="-4"/>
                <w:sz w:val="24"/>
              </w:rPr>
              <w:t>Pour une nouvelle maison construite en maçonnerie dans une zone affectée, le coût d’une mesure de protection</w:t>
            </w:r>
            <w:proofErr w:type="gramStart"/>
            <w:r w:rsidRPr="00A71A48">
              <w:rPr>
                <w:spacing w:val="-4"/>
                <w:sz w:val="24"/>
              </w:rPr>
              <w:t xml:space="preserve"> «complète</w:t>
            </w:r>
            <w:proofErr w:type="gramEnd"/>
            <w:r w:rsidRPr="00A71A48">
              <w:rPr>
                <w:spacing w:val="-4"/>
                <w:sz w:val="24"/>
              </w:rPr>
              <w:t>» serait de l’ordre de 500 GBP.</w:t>
            </w:r>
          </w:p>
          <w:p w14:paraId="167F6A2B" w14:textId="77777777" w:rsidR="00C22814" w:rsidRPr="00A71A48" w:rsidRDefault="008E1FBA" w:rsidP="00F4320E">
            <w:pPr>
              <w:pStyle w:val="TableParagraph"/>
              <w:widowControl/>
              <w:spacing w:before="120" w:after="120"/>
              <w:rPr>
                <w:spacing w:val="-4"/>
                <w:sz w:val="24"/>
              </w:rPr>
            </w:pPr>
            <w:r w:rsidRPr="00A71A48">
              <w:rPr>
                <w:spacing w:val="-4"/>
                <w:sz w:val="24"/>
              </w:rPr>
              <w:t>Pour une nouvelle maison construite en ossature bois dans une zone affectée, le coût d’une mesure de protection</w:t>
            </w:r>
            <w:proofErr w:type="gramStart"/>
            <w:r w:rsidRPr="00A71A48">
              <w:rPr>
                <w:spacing w:val="-4"/>
                <w:sz w:val="24"/>
              </w:rPr>
              <w:t xml:space="preserve"> «complète</w:t>
            </w:r>
            <w:proofErr w:type="gramEnd"/>
            <w:r w:rsidRPr="00A71A48">
              <w:rPr>
                <w:spacing w:val="-4"/>
                <w:sz w:val="24"/>
              </w:rPr>
              <w:t>» serait de l’ordre de 200 GBP.</w:t>
            </w:r>
          </w:p>
        </w:tc>
      </w:tr>
      <w:tr w:rsidR="00C22814" w:rsidRPr="00A71A48" w14:paraId="4DC54E1C" w14:textId="77777777" w:rsidTr="00253054">
        <w:tc>
          <w:tcPr>
            <w:tcW w:w="832" w:type="pct"/>
          </w:tcPr>
          <w:p w14:paraId="1C72BD5D" w14:textId="77777777" w:rsidR="00C22814" w:rsidRPr="00A71A48" w:rsidRDefault="00C22814" w:rsidP="00A71A48">
            <w:pPr>
              <w:pStyle w:val="TableParagraph"/>
              <w:keepNext/>
              <w:widowControl/>
              <w:spacing w:before="120" w:after="120"/>
              <w:rPr>
                <w:rFonts w:ascii="Times New Roman"/>
                <w:spacing w:val="-4"/>
                <w:sz w:val="24"/>
              </w:rPr>
            </w:pPr>
          </w:p>
        </w:tc>
        <w:tc>
          <w:tcPr>
            <w:tcW w:w="2084" w:type="pct"/>
          </w:tcPr>
          <w:p w14:paraId="78D768CE" w14:textId="77777777" w:rsidR="00C22814" w:rsidRPr="00A71A48" w:rsidRDefault="00C22814" w:rsidP="00A71A48">
            <w:pPr>
              <w:pStyle w:val="TableParagraph"/>
              <w:keepNext/>
              <w:widowControl/>
              <w:spacing w:before="120" w:after="120"/>
              <w:rPr>
                <w:rFonts w:ascii="Times New Roman"/>
                <w:spacing w:val="-4"/>
                <w:sz w:val="24"/>
              </w:rPr>
            </w:pPr>
          </w:p>
        </w:tc>
        <w:tc>
          <w:tcPr>
            <w:tcW w:w="2083" w:type="pct"/>
          </w:tcPr>
          <w:p w14:paraId="7ADCA6BC" w14:textId="77777777" w:rsidR="00AD470F" w:rsidRPr="00A71A48" w:rsidRDefault="008E1FBA" w:rsidP="00A71A48">
            <w:pPr>
              <w:pStyle w:val="TableParagraph"/>
              <w:keepNext/>
              <w:widowControl/>
              <w:spacing w:before="120" w:after="120"/>
              <w:rPr>
                <w:spacing w:val="-4"/>
                <w:sz w:val="24"/>
              </w:rPr>
            </w:pPr>
            <w:r w:rsidRPr="00A71A48">
              <w:rPr>
                <w:spacing w:val="-4"/>
                <w:sz w:val="24"/>
              </w:rPr>
              <w:t xml:space="preserve">Pour une extension d’habitation dans une zone affectée, le coût d’une mesure de protection «de </w:t>
            </w:r>
            <w:proofErr w:type="gramStart"/>
            <w:r w:rsidRPr="00A71A48">
              <w:rPr>
                <w:spacing w:val="-4"/>
                <w:sz w:val="24"/>
              </w:rPr>
              <w:t>base»</w:t>
            </w:r>
            <w:proofErr w:type="gramEnd"/>
            <w:r w:rsidRPr="00A71A48">
              <w:rPr>
                <w:spacing w:val="-4"/>
                <w:sz w:val="24"/>
              </w:rPr>
              <w:t xml:space="preserve"> serait de l’ordre de 90 GBP.</w:t>
            </w:r>
          </w:p>
          <w:p w14:paraId="7DF57CE5" w14:textId="77777777" w:rsidR="00C22814" w:rsidRPr="00A71A48" w:rsidRDefault="008E1FBA" w:rsidP="00A71A48">
            <w:pPr>
              <w:pStyle w:val="TableParagraph"/>
              <w:keepNext/>
              <w:widowControl/>
              <w:spacing w:before="120" w:after="120"/>
              <w:rPr>
                <w:spacing w:val="-4"/>
                <w:sz w:val="24"/>
              </w:rPr>
            </w:pPr>
            <w:r w:rsidRPr="00A71A48">
              <w:rPr>
                <w:spacing w:val="-4"/>
                <w:sz w:val="24"/>
              </w:rPr>
              <w:t>Pour une extension d’habitation dans une zone affectée, le coût d’une mesure de protection</w:t>
            </w:r>
            <w:proofErr w:type="gramStart"/>
            <w:r w:rsidRPr="00A71A48">
              <w:rPr>
                <w:spacing w:val="-4"/>
                <w:sz w:val="24"/>
              </w:rPr>
              <w:t xml:space="preserve"> «complète</w:t>
            </w:r>
            <w:proofErr w:type="gramEnd"/>
            <w:r w:rsidRPr="00A71A48">
              <w:rPr>
                <w:spacing w:val="-4"/>
                <w:sz w:val="24"/>
              </w:rPr>
              <w:t>» serait de l’ordre de 300 GBP.</w:t>
            </w:r>
          </w:p>
        </w:tc>
      </w:tr>
    </w:tbl>
    <w:p w14:paraId="255257D3" w14:textId="77777777" w:rsidR="00C22814" w:rsidRPr="0002712A" w:rsidRDefault="008E1FBA" w:rsidP="005D16C7">
      <w:pPr>
        <w:pStyle w:val="Heading1"/>
      </w:pPr>
      <w:bookmarkStart w:id="9" w:name="_Toc49784373"/>
      <w:r>
        <w:t>SECTEURS COMMERCIAUX AFFECTÉS</w:t>
      </w:r>
      <w:bookmarkEnd w:id="9"/>
    </w:p>
    <w:p w14:paraId="62FFF059" w14:textId="77777777" w:rsidR="00C22814" w:rsidRPr="0002712A" w:rsidRDefault="008E1FBA" w:rsidP="00F4320E">
      <w:pPr>
        <w:pStyle w:val="BodyText"/>
        <w:widowControl/>
        <w:spacing w:before="120" w:after="120"/>
      </w:pPr>
      <w:r>
        <w:t>Les modifications imposent des charges supplémentaires pour les concepteurs de structures, les promoteurs et les constructeurs résidentiels (sur la base de la modélisation anglaise). L’industrie de la construction de logements semble déjà être au courant de l’existence de telles cartes d’atlas indicatives mises à jour, de nombreuses entreprises étant familiarisées avec les bonnes pratiques en matière d’installation de mesures de protection contre le radon à la suite de la réalisation de travaux dans les zones existantes affectées par le radon. Elles ne devraient pas exiger de nouvelles compétences, il est donc prévu que les coûts se rapporteront aux coûts de familiarisation de la première année et à certains coûts de transition initiaux pour comprendre les besoins dans les zones nouvellement classées comme étant affectées par le radon.</w:t>
      </w:r>
    </w:p>
    <w:p w14:paraId="0FB4771A" w14:textId="77777777" w:rsidR="00AD470F" w:rsidRPr="0002712A" w:rsidRDefault="008E1FBA" w:rsidP="00F4320E">
      <w:pPr>
        <w:pStyle w:val="BodyText"/>
        <w:widowControl/>
        <w:spacing w:before="120" w:after="120"/>
      </w:pPr>
      <w:r>
        <w:t>En s’appuyant sur l’expérience acquise dans le secteur du logement, ainsi que sur les exigences des systèmes de garantie des normes de construction et en suivant la logique exposée dans l’évaluation d’impact initiale (EI) de l’Angleterre basée sur cette meilleure pratique contrefactuelle, la conclusion est qu’un pourcentage de tous les logements neufs et toutes les extensions résidentielles (empreinte au sol affecté à l’appui) peuvent ne pas bénéficier de mesures de protection appropriées contre le radon. Un chiffre de 30 % a été appliqué pour tenir compte d’un tel facteur sur les logements nouvellement construits et les logements nouvellement agrandis.</w:t>
      </w:r>
    </w:p>
    <w:p w14:paraId="1949E216" w14:textId="77777777" w:rsidR="00AD470F" w:rsidRPr="0002712A" w:rsidRDefault="008E1FBA" w:rsidP="00F4320E">
      <w:pPr>
        <w:pStyle w:val="BodyText"/>
        <w:widowControl/>
        <w:spacing w:before="120" w:after="120"/>
      </w:pPr>
      <w:r>
        <w:t>Les coûts liés à la protection contre le radon dans les extensions ont été traités comme un coût pour les entreprises dans le cadre de la présente évaluation (même si l’on s’attend à ce qu’il s’agisse d’un coût qui sera répercuté sur les consommateurs dans un marché concurrentiel). Étant donné que les consommateurs peuvent décider de ne pas entreprendre un projet d’extension face à une hausse des prix, un impact sur les entreprises est à prévoir, bien que l’approche adoptée ici soit susceptible, le cas échéant, de surestimer un tel impact.</w:t>
      </w:r>
    </w:p>
    <w:p w14:paraId="42731DF7" w14:textId="77777777" w:rsidR="00AD470F" w:rsidRPr="0002712A" w:rsidRDefault="008E1FBA" w:rsidP="00F4320E">
      <w:pPr>
        <w:pStyle w:val="BodyText"/>
        <w:widowControl/>
        <w:spacing w:before="120" w:after="120"/>
        <w:jc w:val="both"/>
      </w:pPr>
      <w:r>
        <w:t>Les bénéfices de la modification des recommandations ont été exclus des chiffres clés de l’évaluation d’impact et des calculs des coûts pour les entreprises car ils sont incertains, mais il est clair qu’un tel changement pourrait réduire considérablement le coût net pour les entreprises.</w:t>
      </w:r>
    </w:p>
    <w:p w14:paraId="55515A81" w14:textId="77777777" w:rsidR="00AD470F" w:rsidRPr="0002712A" w:rsidRDefault="008E1FBA" w:rsidP="005D16C7">
      <w:pPr>
        <w:pStyle w:val="Heading1"/>
      </w:pPr>
      <w:bookmarkStart w:id="10" w:name="_Toc49784374"/>
      <w:r>
        <w:t>AUTRES ÉVALUATIONS D’IMPACT</w:t>
      </w:r>
      <w:bookmarkEnd w:id="10"/>
    </w:p>
    <w:p w14:paraId="2D09F589" w14:textId="77777777" w:rsidR="00AD470F" w:rsidRPr="0002712A" w:rsidRDefault="008E1FBA" w:rsidP="00F4320E">
      <w:pPr>
        <w:pStyle w:val="BodyText"/>
        <w:widowControl/>
        <w:spacing w:before="120" w:after="120"/>
      </w:pPr>
      <w:r>
        <w:t>Le ministère considère que les modifications n’auront aucun effet significatif sur la concurrence sur aucun marché.</w:t>
      </w:r>
    </w:p>
    <w:p w14:paraId="721D471B" w14:textId="77777777" w:rsidR="00AD470F" w:rsidRPr="0002712A" w:rsidRDefault="008E1FBA" w:rsidP="00A71A48">
      <w:pPr>
        <w:pStyle w:val="BodyText"/>
        <w:keepLines/>
        <w:widowControl/>
        <w:spacing w:before="120" w:after="120"/>
      </w:pPr>
      <w:r>
        <w:lastRenderedPageBreak/>
        <w:t>Les modifications s’appliquent aux bâtiments de logements concernés (lorsque les dispositions réglementaires relatives à la construction s’appliquent) et ont donc un effet sur le secteur de la construction résidentielle, ses entreprises, ses propriétaires immobiliers, ses promoteurs, etc., sans aucun impact négatif sur l’égalité des chances ou les besoins des clients ruraux.</w:t>
      </w:r>
    </w:p>
    <w:p w14:paraId="683DDBCE" w14:textId="77777777" w:rsidR="00AD470F" w:rsidRPr="0002712A" w:rsidRDefault="008E1FBA" w:rsidP="00F4320E">
      <w:pPr>
        <w:pStyle w:val="BodyText"/>
        <w:widowControl/>
        <w:spacing w:before="120" w:after="120"/>
      </w:pPr>
      <w:r>
        <w:t>Le ministère ne s’attend pas à ce que l’option privilégiée ait un impact sur l’environnement hors des maisons. Elle ne produira pas de gaz à effet de serre.</w:t>
      </w:r>
    </w:p>
    <w:p w14:paraId="28265790" w14:textId="77777777" w:rsidR="00AD470F" w:rsidRPr="00A71A48" w:rsidRDefault="008E1FBA" w:rsidP="00F4320E">
      <w:pPr>
        <w:pStyle w:val="BodyText"/>
        <w:widowControl/>
        <w:spacing w:before="120" w:after="120"/>
        <w:rPr>
          <w:spacing w:val="-4"/>
        </w:rPr>
      </w:pPr>
      <w:r w:rsidRPr="00A71A48">
        <w:rPr>
          <w:spacing w:val="-4"/>
        </w:rPr>
        <w:t>L’option privilégiée concerne principalement l’amélioration de la santé des personnes. Les modifications proposées pourraient avoir un effet positif sur la santé publique et le bien-être, ce qui apportera de nombreux bénéfices sociaux non quantifiables, associés aux personnes ayant évité un cancer qui aurait pu, dans le cas contraire, être provoqué par le radon.</w:t>
      </w:r>
    </w:p>
    <w:p w14:paraId="61F9EE1A" w14:textId="77777777" w:rsidR="00AD470F" w:rsidRPr="0002712A" w:rsidRDefault="008E1FBA" w:rsidP="00F4320E">
      <w:pPr>
        <w:pStyle w:val="BodyText"/>
        <w:widowControl/>
        <w:spacing w:before="120" w:after="120"/>
      </w:pPr>
      <w:r>
        <w:t xml:space="preserve">Le ministère ne pense pas que la proposition puisse avoir des implications sur le développement </w:t>
      </w:r>
      <w:proofErr w:type="gramStart"/>
      <w:r>
        <w:t>durable;</w:t>
      </w:r>
      <w:proofErr w:type="gramEnd"/>
      <w:r>
        <w:t xml:space="preserve"> néanmoins, la garantie que les bâtiments sont construits en prenant des précautions appropriées pour les occupants soutient le principe de la construction des bâtiments adaptés dans des lieux adaptés, appropriés pour les générations à venir.</w:t>
      </w:r>
    </w:p>
    <w:p w14:paraId="4C303D87" w14:textId="77777777" w:rsidR="00AD470F" w:rsidRPr="0002712A" w:rsidRDefault="008E1FBA" w:rsidP="005D16C7">
      <w:pPr>
        <w:pStyle w:val="Heading1"/>
      </w:pPr>
      <w:bookmarkStart w:id="11" w:name="_Toc49784375"/>
      <w:r>
        <w:t>IMPACT SUR LES MICRO- ET PETITES ENTREPRISES</w:t>
      </w:r>
      <w:bookmarkEnd w:id="11"/>
    </w:p>
    <w:p w14:paraId="71B534F6" w14:textId="77777777" w:rsidR="00AD470F" w:rsidRPr="00A71A48" w:rsidRDefault="008E1FBA" w:rsidP="00F4320E">
      <w:pPr>
        <w:pStyle w:val="BodyText"/>
        <w:widowControl/>
        <w:spacing w:before="120" w:after="120"/>
        <w:rPr>
          <w:spacing w:val="-4"/>
        </w:rPr>
      </w:pPr>
      <w:r w:rsidRPr="00A71A48">
        <w:rPr>
          <w:spacing w:val="-4"/>
        </w:rPr>
        <w:t>Même si les coûts de mise en conformité exposés précédemment sont faibles, une attention a été accordée à l’éventualité de la présence d’un coût net pour les petites entreprises. Toutefois, les projets uniques de logements et d’extensions sont généralement entrepris par des personnes individuelles, généralement dans le cadre de contrats passés avec plusieurs entreprises. Ceci a pour effet que si un quelconque coût limité devait être engendré, celui-ci retomberait sur cette ou ces personnes plutôt que sur les entreprises.</w:t>
      </w:r>
    </w:p>
    <w:p w14:paraId="4FBDC82A" w14:textId="77777777" w:rsidR="00AD470F" w:rsidRPr="0002712A" w:rsidRDefault="008E1FBA" w:rsidP="00F4320E">
      <w:pPr>
        <w:pStyle w:val="BodyText"/>
        <w:widowControl/>
        <w:spacing w:before="120" w:after="120"/>
      </w:pPr>
      <w:r>
        <w:t>Il pourrait y avoir des coûts de transition pour les entreprises, en particulier les petits constructeurs réalisant des extensions, bien que l’on considère que l’estimation incluse ici sera surestimée par rapport à la réalité, car de nombreuses entreprises auront déjà une expérience de l’installation de mesures de protection contre le radon après avoir effectué des travaux dans les zones à risques existantes.</w:t>
      </w:r>
    </w:p>
    <w:p w14:paraId="3EB4C468" w14:textId="77777777" w:rsidR="00AD470F" w:rsidRPr="0002712A" w:rsidRDefault="008E1FBA" w:rsidP="00F4320E">
      <w:pPr>
        <w:pStyle w:val="BodyText"/>
        <w:widowControl/>
        <w:spacing w:before="120" w:after="120"/>
      </w:pPr>
      <w:r>
        <w:t>Lorsqu’il a proposé la modification équivalente en Angleterre de la partie C des dispositions réglementaires locales relatives à la construction, le ministère britannique du logement, des communautés et du gouvernement local (MHCLG) a interrogé les entreprises du secteur de la construction concernées. L’objectif était d’évaluer leur réaction face aux modifications proposées. De manière générale, aucune entreprise n’avait de forte objection à formuler à l’encontre des propositions et de l’amendement. Le ministère estime raisonnable de présumer que les micro- et petites entreprises locales devraient pareillement ne pas être touchées par les amendements proposés.</w:t>
      </w:r>
    </w:p>
    <w:p w14:paraId="37DF98C2" w14:textId="77777777" w:rsidR="00AD470F" w:rsidRPr="0002712A" w:rsidRDefault="008E1FBA" w:rsidP="005D16C7">
      <w:pPr>
        <w:pStyle w:val="Heading1"/>
      </w:pPr>
      <w:bookmarkStart w:id="12" w:name="_Toc49784376"/>
      <w:r>
        <w:t>APPLICATION ET SANCTIONS</w:t>
      </w:r>
      <w:bookmarkEnd w:id="12"/>
    </w:p>
    <w:p w14:paraId="17F40F30" w14:textId="77777777" w:rsidR="00AD470F" w:rsidRPr="0002712A" w:rsidRDefault="008E1FBA" w:rsidP="00F4320E">
      <w:pPr>
        <w:pStyle w:val="BodyText"/>
        <w:widowControl/>
        <w:spacing w:before="120" w:after="120"/>
      </w:pPr>
      <w:r>
        <w:t>La réglementation modifiée continuera d’être appliquée par les conseils de districts par le biais des mécanismes existants et des sanctions prévues dans l’ordonnance de 1979 sur les dispositions réglementaires relatives à la construction en Irlande du Nord (l</w:t>
      </w:r>
      <w:proofErr w:type="gramStart"/>
      <w:r>
        <w:t>’«ordonnance</w:t>
      </w:r>
      <w:proofErr w:type="gramEnd"/>
      <w:r>
        <w:t xml:space="preserve"> de 1979», dans sa version modifiée).</w:t>
      </w:r>
    </w:p>
    <w:p w14:paraId="08F76D92" w14:textId="77777777" w:rsidR="00AD470F" w:rsidRPr="0002712A" w:rsidRDefault="008E1FBA" w:rsidP="005D16C7">
      <w:pPr>
        <w:pStyle w:val="Heading1"/>
      </w:pPr>
      <w:bookmarkStart w:id="13" w:name="_Toc49784377"/>
      <w:r>
        <w:lastRenderedPageBreak/>
        <w:t>SUIVI ET RÉEXAMEN</w:t>
      </w:r>
      <w:bookmarkEnd w:id="13"/>
    </w:p>
    <w:p w14:paraId="1733384F" w14:textId="77777777" w:rsidR="00AD470F" w:rsidRPr="0002712A" w:rsidRDefault="008E1FBA" w:rsidP="00A71A48">
      <w:pPr>
        <w:pStyle w:val="BodyText"/>
        <w:keepLines/>
        <w:widowControl/>
        <w:spacing w:before="120" w:after="120"/>
      </w:pPr>
      <w:r>
        <w:t xml:space="preserve">Le MHCLG entreprend des examens des modifications apportées aux dispositions réglementaires relatives à la construction. Les résultats de ces réexamens et de la recherche complémentaire entrepris par le MHCLG (pour le compte de l’Angleterre et des administrations décentralisées) informent de la nécessité d’apporter davantage d’amendements aux dispositions réglementaires relatives à la construction. Il est probable que ces propositions seront examinées à la lumière des futurs développements de PHE ou du BGS liés à la cartographie ou au </w:t>
      </w:r>
      <w:proofErr w:type="spellStart"/>
      <w:r>
        <w:t>reporting</w:t>
      </w:r>
      <w:proofErr w:type="spellEnd"/>
      <w:r>
        <w:t xml:space="preserve"> des risques.</w:t>
      </w:r>
    </w:p>
    <w:p w14:paraId="2303E001" w14:textId="77777777" w:rsidR="00AD470F" w:rsidRPr="0002712A" w:rsidRDefault="008E1FBA" w:rsidP="005D16C7">
      <w:pPr>
        <w:pStyle w:val="Heading1"/>
      </w:pPr>
      <w:bookmarkStart w:id="14" w:name="_Toc49784378"/>
      <w:r>
        <w:t>CONSULTATION</w:t>
      </w:r>
      <w:bookmarkEnd w:id="14"/>
    </w:p>
    <w:p w14:paraId="66B54DC5" w14:textId="77777777" w:rsidR="00C22814" w:rsidRPr="0002712A" w:rsidRDefault="008E1FBA" w:rsidP="00F4320E">
      <w:pPr>
        <w:pStyle w:val="Heading4"/>
        <w:keepNext/>
        <w:keepLines/>
        <w:widowControl/>
        <w:spacing w:before="120" w:after="120"/>
        <w:ind w:left="0"/>
      </w:pPr>
      <w:r>
        <w:t>CONSULTATION GOUVERNEMENTALE</w:t>
      </w:r>
    </w:p>
    <w:p w14:paraId="54755C60" w14:textId="77777777" w:rsidR="00C22814" w:rsidRPr="0002712A" w:rsidRDefault="008E1FBA" w:rsidP="00F4320E">
      <w:pPr>
        <w:pStyle w:val="BodyText"/>
        <w:widowControl/>
        <w:spacing w:before="120" w:after="120"/>
      </w:pPr>
      <w:r>
        <w:t xml:space="preserve">La Building Standards Branch (BSB) a participé à des discussions avec les deux organismes publics spécifiquement chargés de la cartographie du nouvel atlas indicatif du radon en Irlande du Nord, la </w:t>
      </w:r>
      <w:proofErr w:type="spellStart"/>
      <w:r>
        <w:t>Northern</w:t>
      </w:r>
      <w:proofErr w:type="spellEnd"/>
      <w:r>
        <w:t xml:space="preserve"> Ireland </w:t>
      </w:r>
      <w:proofErr w:type="spellStart"/>
      <w:r>
        <w:t>Environmental</w:t>
      </w:r>
      <w:proofErr w:type="spellEnd"/>
      <w:r>
        <w:t xml:space="preserve"> Agency, </w:t>
      </w:r>
      <w:proofErr w:type="spellStart"/>
      <w:r>
        <w:t>Industrial</w:t>
      </w:r>
      <w:proofErr w:type="spellEnd"/>
      <w:r>
        <w:t xml:space="preserve"> Pollution and </w:t>
      </w:r>
      <w:proofErr w:type="spellStart"/>
      <w:r>
        <w:t>Radiochemical</w:t>
      </w:r>
      <w:proofErr w:type="spellEnd"/>
      <w:r>
        <w:t xml:space="preserve"> </w:t>
      </w:r>
      <w:proofErr w:type="spellStart"/>
      <w:r>
        <w:t>Inspectorate</w:t>
      </w:r>
      <w:proofErr w:type="spellEnd"/>
      <w:r>
        <w:t xml:space="preserve"> (NIEA/IPRI) et le Public </w:t>
      </w:r>
      <w:proofErr w:type="spellStart"/>
      <w:r>
        <w:t>Health</w:t>
      </w:r>
      <w:proofErr w:type="spellEnd"/>
      <w:r>
        <w:t xml:space="preserve"> </w:t>
      </w:r>
      <w:proofErr w:type="spellStart"/>
      <w:r>
        <w:t>England</w:t>
      </w:r>
      <w:proofErr w:type="spellEnd"/>
      <w:r>
        <w:t xml:space="preserve"> Centre for Radiation, Chemical and </w:t>
      </w:r>
      <w:proofErr w:type="spellStart"/>
      <w:r>
        <w:t>Environmental</w:t>
      </w:r>
      <w:proofErr w:type="spellEnd"/>
      <w:r>
        <w:t xml:space="preserve"> </w:t>
      </w:r>
      <w:proofErr w:type="spellStart"/>
      <w:r>
        <w:t>Hazards</w:t>
      </w:r>
      <w:proofErr w:type="spellEnd"/>
      <w:r>
        <w:t xml:space="preserve"> (PHE/CRCE).</w:t>
      </w:r>
    </w:p>
    <w:p w14:paraId="3565B89A" w14:textId="77777777" w:rsidR="00C22814" w:rsidRPr="0002712A" w:rsidRDefault="008E1FBA" w:rsidP="00F4320E">
      <w:pPr>
        <w:pStyle w:val="Heading4"/>
        <w:widowControl/>
        <w:spacing w:before="120" w:after="120"/>
        <w:ind w:left="0"/>
      </w:pPr>
      <w:r>
        <w:t>CONSULTATION PUBLIQUE</w:t>
      </w:r>
    </w:p>
    <w:p w14:paraId="1A67AABD" w14:textId="77777777" w:rsidR="00AD470F" w:rsidRPr="00A71A48" w:rsidRDefault="008E1FBA" w:rsidP="00F4320E">
      <w:pPr>
        <w:pStyle w:val="BodyText"/>
        <w:widowControl/>
        <w:spacing w:before="120" w:after="120"/>
        <w:rPr>
          <w:spacing w:val="-4"/>
        </w:rPr>
      </w:pPr>
      <w:r w:rsidRPr="00A71A48">
        <w:rPr>
          <w:spacing w:val="-4"/>
        </w:rPr>
        <w:t>Il existe une obligation légale de consulter le Comité consultatif sur les dispositions réglementaires relatives à la construction en Irlande du Nord (NIBRAC) et d’autres organismes similaires, car il apparaît que le ministère est représentatif des intérêts concernés.</w:t>
      </w:r>
    </w:p>
    <w:p w14:paraId="160DD062" w14:textId="77777777" w:rsidR="00AD470F" w:rsidRPr="0002712A" w:rsidRDefault="008E1FBA" w:rsidP="00F4320E">
      <w:pPr>
        <w:pStyle w:val="BodyText"/>
        <w:widowControl/>
        <w:spacing w:before="120" w:after="120"/>
      </w:pPr>
      <w:r>
        <w:t>Les documents de consultation seront envoyés au NIBRAC parallèlement à la publication de la présente consultation, expliquant la nature de la modification proposée à la partie C des dispositions réglementaires relatives à la construction et la mise à jour du livret technique associé pour s’aligner sur les cartes actuelles des risques liés au radon.</w:t>
      </w:r>
    </w:p>
    <w:p w14:paraId="2AFFEA2A" w14:textId="77777777" w:rsidR="00AD470F" w:rsidRPr="0002712A" w:rsidRDefault="008E1FBA" w:rsidP="00F4320E">
      <w:pPr>
        <w:pStyle w:val="BodyText"/>
        <w:widowControl/>
        <w:spacing w:before="120" w:after="120"/>
      </w:pPr>
      <w:r>
        <w:t>La BSB possède une base de données étendue comprenant des noms de personnes et d’organisations ayant fait part d’un intérêt spécifique envers les dispositions réglementaires relatives à la construction et les directives techniques. Tout comme la mise en contact directe des intervenants connus pour avoir fait part d’un intérêt, les exercices de la présente consultation font également l’objet d’une promotion sur la page d’accueil de la BSB consacrée aux dispositions réglementaires relatives à la construction du site Web du ministère des finances.</w:t>
      </w:r>
    </w:p>
    <w:p w14:paraId="36C70754" w14:textId="77777777" w:rsidR="00AD470F" w:rsidRPr="0002712A" w:rsidRDefault="008E1FBA" w:rsidP="00F4320E">
      <w:pPr>
        <w:widowControl/>
        <w:spacing w:before="120" w:after="120"/>
        <w:rPr>
          <w:sz w:val="24"/>
        </w:rPr>
      </w:pPr>
      <w:r>
        <w:rPr>
          <w:sz w:val="24"/>
          <w:szCs w:val="24"/>
        </w:rPr>
        <w:t>La période de consultation publique durera 8 semaines, commençant le 14 août 2020 et se terminant le 9 octobre </w:t>
      </w:r>
      <w:r>
        <w:rPr>
          <w:b/>
          <w:sz w:val="24"/>
        </w:rPr>
        <w:t>2020</w:t>
      </w:r>
      <w:r>
        <w:rPr>
          <w:sz w:val="24"/>
        </w:rPr>
        <w:t>.</w:t>
      </w:r>
    </w:p>
    <w:p w14:paraId="0C70F297" w14:textId="77777777" w:rsidR="00AD470F" w:rsidRPr="0002712A" w:rsidRDefault="008E1FBA" w:rsidP="00A71A48">
      <w:pPr>
        <w:pStyle w:val="Heading1"/>
        <w:pageBreakBefore/>
      </w:pPr>
      <w:bookmarkStart w:id="15" w:name="_Toc49784379"/>
      <w:r>
        <w:lastRenderedPageBreak/>
        <w:t>POINT DE CONTACT</w:t>
      </w:r>
      <w:bookmarkEnd w:id="15"/>
    </w:p>
    <w:p w14:paraId="641752DC" w14:textId="77777777" w:rsidR="00AD470F" w:rsidRPr="0002712A" w:rsidRDefault="008E1FBA" w:rsidP="00F4320E">
      <w:pPr>
        <w:pStyle w:val="BodyText"/>
        <w:widowControl/>
        <w:spacing w:before="120" w:after="120"/>
      </w:pPr>
      <w:r>
        <w:t xml:space="preserve">La présente évaluation d’impact réglementaire et la réponse des ministères à la consultation publique sont téléchargeables à l’adresse </w:t>
      </w:r>
      <w:hyperlink r:id="rId16">
        <w:r>
          <w:rPr>
            <w:color w:val="0000FF"/>
            <w:u w:val="single" w:color="0000FF"/>
          </w:rPr>
          <w:t>www.finance-ni.gov.uk/articles/building-</w:t>
        </w:r>
      </w:hyperlink>
      <w:hyperlink r:id="rId17">
        <w:r>
          <w:rPr>
            <w:color w:val="0000FF"/>
            <w:u w:val="single" w:color="0000FF"/>
          </w:rPr>
          <w:t>regulations-consultations</w:t>
        </w:r>
        <w:r>
          <w:rPr>
            <w:color w:val="0000FF"/>
          </w:rPr>
          <w:t xml:space="preserve">. </w:t>
        </w:r>
      </w:hyperlink>
      <w:r>
        <w:t xml:space="preserve">Un exemplaire papier peut également être obtenu auprès de Karen </w:t>
      </w:r>
      <w:proofErr w:type="spellStart"/>
      <w:r>
        <w:t>McKernon</w:t>
      </w:r>
      <w:proofErr w:type="spellEnd"/>
      <w:r>
        <w:t xml:space="preserve"> à </w:t>
      </w:r>
      <w:proofErr w:type="gramStart"/>
      <w:r>
        <w:t>l’adresse:</w:t>
      </w:r>
      <w:proofErr w:type="gramEnd"/>
    </w:p>
    <w:p w14:paraId="6DD2B11D" w14:textId="77777777" w:rsidR="00F80B40" w:rsidRPr="0002712A" w:rsidRDefault="00F80B40" w:rsidP="00F4320E">
      <w:pPr>
        <w:pStyle w:val="BodyText"/>
        <w:widowControl/>
        <w:spacing w:before="120" w:after="120"/>
      </w:pPr>
    </w:p>
    <w:p w14:paraId="46E194A7" w14:textId="77777777" w:rsidR="00F80B40" w:rsidRPr="00A04A72" w:rsidRDefault="008E1FBA" w:rsidP="00F80B40">
      <w:pPr>
        <w:pStyle w:val="BodyText"/>
        <w:widowControl/>
        <w:rPr>
          <w:lang w:val="en-GB"/>
        </w:rPr>
      </w:pPr>
      <w:proofErr w:type="spellStart"/>
      <w:r w:rsidRPr="00A04A72">
        <w:rPr>
          <w:lang w:val="en-GB"/>
        </w:rPr>
        <w:t>Ministère</w:t>
      </w:r>
      <w:proofErr w:type="spellEnd"/>
      <w:r w:rsidRPr="00A04A72">
        <w:rPr>
          <w:lang w:val="en-GB"/>
        </w:rPr>
        <w:t xml:space="preserve"> des finances </w:t>
      </w:r>
    </w:p>
    <w:p w14:paraId="5710B2E4" w14:textId="77777777" w:rsidR="00F80B40" w:rsidRPr="00A04A72" w:rsidRDefault="008E1FBA" w:rsidP="00F80B40">
      <w:pPr>
        <w:pStyle w:val="BodyText"/>
        <w:widowControl/>
        <w:rPr>
          <w:lang w:val="en-GB"/>
        </w:rPr>
      </w:pPr>
      <w:r w:rsidRPr="00A04A72">
        <w:rPr>
          <w:lang w:val="en-GB"/>
        </w:rPr>
        <w:t xml:space="preserve">Properties Division </w:t>
      </w:r>
    </w:p>
    <w:p w14:paraId="36ABC812" w14:textId="77777777" w:rsidR="00C22814" w:rsidRPr="00A04A72" w:rsidRDefault="008E1FBA" w:rsidP="00F80B40">
      <w:pPr>
        <w:pStyle w:val="BodyText"/>
        <w:widowControl/>
        <w:rPr>
          <w:lang w:val="en-GB"/>
        </w:rPr>
      </w:pPr>
      <w:r w:rsidRPr="00A04A72">
        <w:rPr>
          <w:lang w:val="en-GB"/>
        </w:rPr>
        <w:t>Building Standards Branch</w:t>
      </w:r>
    </w:p>
    <w:p w14:paraId="77271BF3" w14:textId="0EB68241" w:rsidR="00F80B40" w:rsidRPr="00A04A72" w:rsidRDefault="008E1FBA" w:rsidP="00F80B40">
      <w:pPr>
        <w:pStyle w:val="BodyText"/>
        <w:widowControl/>
        <w:rPr>
          <w:lang w:val="en-GB"/>
        </w:rPr>
      </w:pPr>
      <w:r w:rsidRPr="00A04A72">
        <w:rPr>
          <w:lang w:val="en-GB"/>
        </w:rPr>
        <w:t>6</w:t>
      </w:r>
      <w:r w:rsidRPr="00A04A72">
        <w:rPr>
          <w:szCs w:val="40"/>
          <w:vertAlign w:val="superscript"/>
          <w:lang w:val="en-GB"/>
        </w:rPr>
        <w:t>e</w:t>
      </w:r>
      <w:r w:rsidRPr="00A04A72">
        <w:rPr>
          <w:lang w:val="en-GB"/>
        </w:rPr>
        <w:t> </w:t>
      </w:r>
      <w:proofErr w:type="spellStart"/>
      <w:r w:rsidRPr="00A04A72">
        <w:rPr>
          <w:lang w:val="en-GB"/>
        </w:rPr>
        <w:t>étage</w:t>
      </w:r>
      <w:proofErr w:type="spellEnd"/>
      <w:r w:rsidRPr="00A04A72">
        <w:rPr>
          <w:lang w:val="en-GB"/>
        </w:rPr>
        <w:t xml:space="preserve">, Goodwood House, </w:t>
      </w:r>
    </w:p>
    <w:p w14:paraId="32682912" w14:textId="77777777" w:rsidR="00C22814" w:rsidRPr="00A04A72" w:rsidRDefault="008E1FBA" w:rsidP="00F80B40">
      <w:pPr>
        <w:pStyle w:val="BodyText"/>
        <w:widowControl/>
        <w:rPr>
          <w:lang w:val="en-GB"/>
        </w:rPr>
      </w:pPr>
      <w:r w:rsidRPr="00A04A72">
        <w:rPr>
          <w:lang w:val="en-GB"/>
        </w:rPr>
        <w:t>44-58, May Street</w:t>
      </w:r>
    </w:p>
    <w:p w14:paraId="60FC71AD" w14:textId="77777777" w:rsidR="00F80B40" w:rsidRPr="0002712A" w:rsidRDefault="008E1FBA" w:rsidP="00F80B40">
      <w:pPr>
        <w:pStyle w:val="BodyText"/>
        <w:widowControl/>
      </w:pPr>
      <w:r>
        <w:t xml:space="preserve">Belfast </w:t>
      </w:r>
    </w:p>
    <w:p w14:paraId="4FA1E764" w14:textId="77777777" w:rsidR="00C22814" w:rsidRPr="0002712A" w:rsidRDefault="008E1FBA" w:rsidP="00F80B40">
      <w:pPr>
        <w:pStyle w:val="BodyText"/>
        <w:widowControl/>
      </w:pPr>
      <w:r>
        <w:t>BT1 4NN</w:t>
      </w:r>
      <w:r>
        <w:br/>
        <w:t>Royaume-Uni</w:t>
      </w:r>
    </w:p>
    <w:p w14:paraId="1136D69A" w14:textId="77777777" w:rsidR="00C22814" w:rsidRPr="0002712A" w:rsidRDefault="008E1FBA" w:rsidP="00F80B40">
      <w:pPr>
        <w:pStyle w:val="BodyText"/>
        <w:widowControl/>
      </w:pPr>
      <w:proofErr w:type="gramStart"/>
      <w:r>
        <w:t>Tél.:</w:t>
      </w:r>
      <w:proofErr w:type="gramEnd"/>
      <w:r>
        <w:t xml:space="preserve"> (+44)28 9025 7048</w:t>
      </w:r>
    </w:p>
    <w:p w14:paraId="7FD37B4D" w14:textId="77777777" w:rsidR="00C22814" w:rsidRPr="0002712A" w:rsidRDefault="008E1FBA" w:rsidP="00F80B40">
      <w:pPr>
        <w:pStyle w:val="BodyText"/>
        <w:widowControl/>
      </w:pPr>
      <w:proofErr w:type="gramStart"/>
      <w:r>
        <w:t>Email:</w:t>
      </w:r>
      <w:proofErr w:type="gramEnd"/>
      <w:r>
        <w:t xml:space="preserve"> </w:t>
      </w:r>
      <w:hyperlink r:id="rId18">
        <w:r>
          <w:rPr>
            <w:color w:val="0000FF"/>
            <w:u w:val="single" w:color="0000FF"/>
          </w:rPr>
          <w:t>karen.mckernon@finance-ni.gov.uk</w:t>
        </w:r>
      </w:hyperlink>
    </w:p>
    <w:p w14:paraId="6F2E435D" w14:textId="77777777" w:rsidR="00AD470F" w:rsidRPr="0002712A" w:rsidRDefault="008E1FBA" w:rsidP="00176446">
      <w:pPr>
        <w:pStyle w:val="Heading1"/>
        <w:pageBreakBefore/>
        <w:jc w:val="right"/>
      </w:pPr>
      <w:bookmarkStart w:id="16" w:name="_Toc49784380"/>
      <w:r>
        <w:lastRenderedPageBreak/>
        <w:t>Annexe 1</w:t>
      </w:r>
      <w:bookmarkEnd w:id="16"/>
    </w:p>
    <w:p w14:paraId="5CDB3381" w14:textId="77777777" w:rsidR="00AD470F" w:rsidRPr="0002712A" w:rsidRDefault="008E1FBA" w:rsidP="00F4320E">
      <w:pPr>
        <w:keepNext/>
        <w:keepLines/>
        <w:widowControl/>
        <w:spacing w:before="120" w:after="120"/>
        <w:rPr>
          <w:b/>
          <w:sz w:val="28"/>
        </w:rPr>
      </w:pPr>
      <w:r>
        <w:rPr>
          <w:b/>
          <w:sz w:val="28"/>
        </w:rPr>
        <w:t>MODIFICATION DE LA PARTIE C (Préparation du site et résistance aux contaminants et à l’humidité) Révision de la politique des dispositions réglementaires relatives à la construction avec les cartes actuelles des risques liés au radon, y compris la modification du livret technique C</w:t>
      </w:r>
    </w:p>
    <w:p w14:paraId="6053CB48" w14:textId="77777777" w:rsidR="00AD470F" w:rsidRPr="0002712A" w:rsidRDefault="008E1FBA" w:rsidP="004F3736">
      <w:pPr>
        <w:keepNext/>
        <w:keepLines/>
        <w:widowControl/>
        <w:spacing w:before="240" w:after="240"/>
        <w:rPr>
          <w:b/>
          <w:sz w:val="28"/>
        </w:rPr>
      </w:pPr>
      <w:r>
        <w:rPr>
          <w:b/>
          <w:sz w:val="28"/>
        </w:rPr>
        <w:t>CONTEXTE</w:t>
      </w:r>
    </w:p>
    <w:p w14:paraId="09AA66D2" w14:textId="77777777" w:rsidR="00AD470F" w:rsidRPr="0002712A" w:rsidRDefault="008E1FBA" w:rsidP="00F4320E">
      <w:pPr>
        <w:pStyle w:val="BodyText"/>
        <w:widowControl/>
        <w:spacing w:before="120" w:after="120"/>
        <w:ind w:left="567" w:hanging="567"/>
      </w:pPr>
      <w:r>
        <w:t>C1.</w:t>
      </w:r>
      <w:r>
        <w:tab/>
        <w:t>Les dispositions réglementaires de l’Irlande du Nord relatives à la construction exigent une protection contre le radon dans les nouvelles habitations situées dans les zones à risque potentiel de radon (≥1 %). PHE publie des atlas de cartes indicatives (</w:t>
      </w:r>
      <w:proofErr w:type="spellStart"/>
      <w:r>
        <w:t>probabilistiques</w:t>
      </w:r>
      <w:proofErr w:type="spellEnd"/>
      <w:r>
        <w:t>) sur l’activité du radon pour le Royaume-Uni, à des fins d’évaluation de la nécessité de telles mesures de protection.</w:t>
      </w:r>
    </w:p>
    <w:p w14:paraId="69373BB6" w14:textId="77777777" w:rsidR="00AD470F" w:rsidRPr="0002712A" w:rsidRDefault="008E1FBA" w:rsidP="00F4320E">
      <w:pPr>
        <w:pStyle w:val="BodyText"/>
        <w:widowControl/>
        <w:spacing w:before="120" w:after="120"/>
        <w:ind w:left="567"/>
      </w:pPr>
      <w:r>
        <w:t>Nous avons pour intention de rendre claires les dispositions réglementaires relatives à la construction et les recommandations statutaires qui les accompagnent en ce qui concerne les risques actuels liés au radon, et de garantir que les bâtiments font l’objet de mesures adaptées pour prévenir la pénétration de radon et donc prévenir les cancers du poumon liés au radon. Les recommandations actuelles font référence à des cartes de radon publiées en 2009 alors que des cartes plus détaillées ont été publiées en 2015. En modifiant les recommandations du livret technique C, le ministère garantit la mise en œuvre de mesures contre le radon fondées sur l’évaluation la plus récente du risque lié au radon.</w:t>
      </w:r>
    </w:p>
    <w:p w14:paraId="06FAA284" w14:textId="77777777" w:rsidR="00AD470F" w:rsidRPr="0002712A" w:rsidRDefault="008E1FBA" w:rsidP="004F3736">
      <w:pPr>
        <w:keepNext/>
        <w:keepLines/>
        <w:widowControl/>
        <w:spacing w:before="240" w:after="240"/>
        <w:rPr>
          <w:b/>
          <w:sz w:val="28"/>
        </w:rPr>
      </w:pPr>
      <w:r>
        <w:rPr>
          <w:b/>
          <w:sz w:val="28"/>
        </w:rPr>
        <w:t>ÉVALUATION DES RISQUES</w:t>
      </w:r>
    </w:p>
    <w:p w14:paraId="58395CEC" w14:textId="77777777" w:rsidR="00AD470F" w:rsidRPr="00A71A48" w:rsidRDefault="008E1FBA" w:rsidP="00F4320E">
      <w:pPr>
        <w:pStyle w:val="BodyText"/>
        <w:widowControl/>
        <w:spacing w:before="120" w:after="120"/>
        <w:ind w:left="567" w:hanging="567"/>
        <w:rPr>
          <w:spacing w:val="-4"/>
        </w:rPr>
      </w:pPr>
      <w:r w:rsidRPr="00A71A48">
        <w:rPr>
          <w:spacing w:val="-4"/>
        </w:rPr>
        <w:t>C2.</w:t>
      </w:r>
      <w:r w:rsidRPr="00A71A48">
        <w:rPr>
          <w:spacing w:val="-4"/>
        </w:rPr>
        <w:tab/>
        <w:t>Le ministère a pris en compte la première EI anglaise de 2012 qui utilisait la différence proportionnelle des cartes du radon 1999-2007 entre les zones affectées (moyenne de risque générique sur une grille de 1 km). Pourtant, l’évaluation économique finale de l’EI de 2013 utilisait la différence proportionnelle entre les zones affectées des rapports de risque 1999/2011 sur le radon selon le code postal GIS (</w:t>
      </w:r>
      <w:proofErr w:type="spellStart"/>
      <w:r w:rsidRPr="00A71A48">
        <w:rPr>
          <w:spacing w:val="-4"/>
        </w:rPr>
        <w:t>Géographical</w:t>
      </w:r>
      <w:proofErr w:type="spellEnd"/>
      <w:r w:rsidRPr="00A71A48">
        <w:rPr>
          <w:spacing w:val="-4"/>
        </w:rPr>
        <w:t xml:space="preserve"> Information System) disponible sur le site web d’</w:t>
      </w:r>
      <w:proofErr w:type="spellStart"/>
      <w:r w:rsidRPr="00A71A48">
        <w:rPr>
          <w:spacing w:val="-4"/>
        </w:rPr>
        <w:t>UKRadon</w:t>
      </w:r>
      <w:proofErr w:type="spellEnd"/>
      <w:proofErr w:type="gramStart"/>
      <w:r w:rsidRPr="00A71A48">
        <w:rPr>
          <w:i/>
          <w:spacing w:val="-4"/>
        </w:rPr>
        <w:t xml:space="preserve"> «car</w:t>
      </w:r>
      <w:proofErr w:type="gramEnd"/>
      <w:r w:rsidRPr="00A71A48">
        <w:rPr>
          <w:i/>
          <w:spacing w:val="-4"/>
        </w:rPr>
        <w:t xml:space="preserve"> l’atlas indicatif du radon se base sur le risque le plus élevé dans un carré de 1 km alors que le rapport sur les risques liés au radon présente une plus grande granularité »</w:t>
      </w:r>
      <w:r w:rsidRPr="00A71A48">
        <w:rPr>
          <w:spacing w:val="-4"/>
        </w:rPr>
        <w:t xml:space="preserve">. En termes réels, le niveau de détail </w:t>
      </w:r>
      <w:r w:rsidRPr="00A71A48">
        <w:rPr>
          <w:i/>
          <w:spacing w:val="-4"/>
        </w:rPr>
        <w:t xml:space="preserve">indicatif </w:t>
      </w:r>
      <w:r w:rsidRPr="00A71A48">
        <w:rPr>
          <w:spacing w:val="-4"/>
        </w:rPr>
        <w:t xml:space="preserve">de la carte de l’atlas est défini à 1 km, tandis que le niveau de détail </w:t>
      </w:r>
      <w:r w:rsidRPr="00A71A48">
        <w:rPr>
          <w:i/>
          <w:spacing w:val="-4"/>
        </w:rPr>
        <w:t xml:space="preserve">définitif </w:t>
      </w:r>
      <w:r w:rsidRPr="00A71A48">
        <w:rPr>
          <w:spacing w:val="-4"/>
        </w:rPr>
        <w:t>du rapport du code postal GIS est défini à 25 m.</w:t>
      </w:r>
    </w:p>
    <w:p w14:paraId="2BAEA1B4" w14:textId="77777777" w:rsidR="00AD470F" w:rsidRPr="0002712A" w:rsidRDefault="008E1FBA" w:rsidP="00F4320E">
      <w:pPr>
        <w:pStyle w:val="BodyText"/>
        <w:widowControl/>
        <w:spacing w:before="120" w:after="120"/>
        <w:ind w:left="567"/>
      </w:pPr>
      <w:r>
        <w:t>L’Irlande du Nord n’est pas dans la même position que l’Angleterre car (a) celle-ci propose un accès autorisé gratuit par les autorités locales aux données de rapport de risque par rapport au code postal GIS spécifique au site; et (b) les rapports sur le risque du radon «</w:t>
      </w:r>
      <w:proofErr w:type="spellStart"/>
      <w:r>
        <w:t>Georeport</w:t>
      </w:r>
      <w:proofErr w:type="spellEnd"/>
      <w:r>
        <w:t>» spécifique au GIS du site ne sont actuellement pas disponibles comme rapport standard en Irlande du Nord, ainsi les coûts de l’EIR seront développés en utilisant les données de grille indicatives de la carte de l’atlas sur 1 km (une telle approche conduira inévitablement à des niveaux plus élevés de mesures de protection contre le radon).</w:t>
      </w:r>
    </w:p>
    <w:p w14:paraId="657E334E" w14:textId="77777777" w:rsidR="00AD470F" w:rsidRPr="0002712A" w:rsidRDefault="008E1FBA" w:rsidP="00A71A48">
      <w:pPr>
        <w:pStyle w:val="BodyText"/>
        <w:keepLines/>
        <w:widowControl/>
        <w:spacing w:before="120" w:after="120"/>
        <w:ind w:left="567" w:hanging="567"/>
      </w:pPr>
      <w:r>
        <w:lastRenderedPageBreak/>
        <w:t>C3.</w:t>
      </w:r>
      <w:r>
        <w:tab/>
        <w:t>Le ministère a également envisagé les bénéfices évoqués dans l’EI anglaise finale de 2013, tout en décidant d’exclure les économies prévues concernant les bénéfices pour la santé en tant que déductions tangibles des coûts d’impact direct sur les entreprises (en raison des incertitudes potentielles associées à l’estimation des bénéfices prévus pour la santé), néanmoins l’EI de 2013 a développé plus en détail les valeurs QALY (</w:t>
      </w:r>
      <w:proofErr w:type="spellStart"/>
      <w:r>
        <w:t>Quality</w:t>
      </w:r>
      <w:proofErr w:type="spellEnd"/>
      <w:r>
        <w:t xml:space="preserve"> </w:t>
      </w:r>
      <w:proofErr w:type="spellStart"/>
      <w:r>
        <w:t>Adjusted</w:t>
      </w:r>
      <w:proofErr w:type="spellEnd"/>
      <w:r>
        <w:t xml:space="preserve"> Life </w:t>
      </w:r>
      <w:proofErr w:type="spellStart"/>
      <w:r>
        <w:t>Years</w:t>
      </w:r>
      <w:proofErr w:type="spellEnd"/>
      <w:r>
        <w:t>) du bénéfice initial pour la santé et a appliqué une analyse de sensibilité plus poussée.</w:t>
      </w:r>
    </w:p>
    <w:p w14:paraId="35832B07" w14:textId="77777777" w:rsidR="00AD470F" w:rsidRPr="0002712A" w:rsidRDefault="008E1FBA" w:rsidP="00F4320E">
      <w:pPr>
        <w:pStyle w:val="BodyText"/>
        <w:widowControl/>
        <w:spacing w:before="120" w:after="120"/>
        <w:ind w:left="567"/>
      </w:pPr>
      <w:r>
        <w:t>L’Irlande du Nord n’est pas dans la même position que l’Angleterre avec son accès aux calculs économiques du groupe consultatif indépendant concernant les effets du radon ionisant sur la santé, et puisqu’il n’y a pas eu de modélisation spécifique pour l’Irlande du Nord ou de modélisation pour un niveau d’action potentiel à hauteur de 1 % de risque de radon, il n’y a pas non plus eu d’interprétation des valeurs QALY pour l’Irlande du Nord.</w:t>
      </w:r>
    </w:p>
    <w:p w14:paraId="04167068" w14:textId="77777777" w:rsidR="00AD470F" w:rsidRPr="0002712A" w:rsidRDefault="008E1FBA" w:rsidP="004F3736">
      <w:pPr>
        <w:keepNext/>
        <w:keepLines/>
        <w:widowControl/>
        <w:spacing w:before="240" w:after="240"/>
        <w:rPr>
          <w:b/>
          <w:sz w:val="28"/>
        </w:rPr>
      </w:pPr>
      <w:r>
        <w:rPr>
          <w:b/>
          <w:sz w:val="28"/>
        </w:rPr>
        <w:t>OPTIONS</w:t>
      </w:r>
    </w:p>
    <w:p w14:paraId="6BE2F67B" w14:textId="77777777" w:rsidR="00AD470F" w:rsidRPr="00A71A48" w:rsidRDefault="008E1FBA" w:rsidP="00F4320E">
      <w:pPr>
        <w:pStyle w:val="BodyText"/>
        <w:widowControl/>
        <w:spacing w:before="120" w:after="120"/>
        <w:ind w:left="567" w:hanging="567"/>
        <w:rPr>
          <w:spacing w:val="-4"/>
        </w:rPr>
      </w:pPr>
      <w:r w:rsidRPr="00A71A48">
        <w:rPr>
          <w:spacing w:val="-4"/>
        </w:rPr>
        <w:t>C4.</w:t>
      </w:r>
      <w:r w:rsidRPr="00A71A48">
        <w:rPr>
          <w:spacing w:val="-4"/>
        </w:rPr>
        <w:tab/>
        <w:t xml:space="preserve">La disposition 25 des actuelles dispositions réglementaires de 2012 relatives à la construction (Irlande du Nord) (version modifiée) et du livret technique C sur le radon font référence à la revue et à l’atlas HPA de 2009. Ainsi, concernant la façon d’envisager comment mettre à jour une telle référence, seules deux options ont été </w:t>
      </w:r>
      <w:proofErr w:type="gramStart"/>
      <w:r w:rsidRPr="00A71A48">
        <w:rPr>
          <w:spacing w:val="-4"/>
        </w:rPr>
        <w:t>examinées:</w:t>
      </w:r>
      <w:proofErr w:type="gramEnd"/>
    </w:p>
    <w:p w14:paraId="7D16CF6E" w14:textId="77777777" w:rsidR="00AD470F" w:rsidRPr="0002712A" w:rsidRDefault="008E1FBA" w:rsidP="00F4320E">
      <w:pPr>
        <w:pStyle w:val="BodyText"/>
        <w:widowControl/>
        <w:spacing w:before="120" w:after="120"/>
        <w:ind w:left="567"/>
      </w:pPr>
      <w:r>
        <w:t>Option </w:t>
      </w:r>
      <w:proofErr w:type="gramStart"/>
      <w:r>
        <w:t>1:</w:t>
      </w:r>
      <w:proofErr w:type="gramEnd"/>
      <w:r>
        <w:t xml:space="preserve"> «Ne rien faire», continuer à référencer les cartes obsolètes du radon et s’en remettre à l’industrie de la construction résidentielle pour suivre les bonnes pratiques; ou</w:t>
      </w:r>
    </w:p>
    <w:p w14:paraId="6F20ADD0" w14:textId="77777777" w:rsidR="00AD470F" w:rsidRPr="0002712A" w:rsidRDefault="008E1FBA" w:rsidP="00F4320E">
      <w:pPr>
        <w:pStyle w:val="BodyText"/>
        <w:widowControl/>
        <w:spacing w:before="120" w:after="120"/>
        <w:ind w:left="567"/>
      </w:pPr>
      <w:r>
        <w:t>Option </w:t>
      </w:r>
      <w:proofErr w:type="gramStart"/>
      <w:r>
        <w:t>2:</w:t>
      </w:r>
      <w:proofErr w:type="gramEnd"/>
      <w:r>
        <w:t xml:space="preserve"> Modifier le règlement d’application et d’interprétation, ainsi que les recommandations d’accompagnement existantes dans le livret technique, pour faire référence aux cartes les plus à jour et garantir que les mesures de protection sont correctement ciblées sur les habitations des zones affectées.</w:t>
      </w:r>
    </w:p>
    <w:p w14:paraId="53B8F255" w14:textId="77777777" w:rsidR="00AD470F" w:rsidRPr="0002712A" w:rsidRDefault="008E1FBA" w:rsidP="00F4320E">
      <w:pPr>
        <w:pStyle w:val="BodyText"/>
        <w:keepNext/>
        <w:keepLines/>
        <w:widowControl/>
        <w:spacing w:before="120" w:after="120"/>
        <w:ind w:left="567" w:hanging="567"/>
      </w:pPr>
      <w:r>
        <w:t>C5.</w:t>
      </w:r>
      <w:r>
        <w:tab/>
        <w:t>L’option</w:t>
      </w:r>
      <w:proofErr w:type="gramStart"/>
      <w:r>
        <w:t xml:space="preserve"> «Ne</w:t>
      </w:r>
      <w:proofErr w:type="gramEnd"/>
      <w:r>
        <w:t xml:space="preserve"> rien faire» n’a pas été envisagée, parce que:</w:t>
      </w:r>
    </w:p>
    <w:p w14:paraId="793584C3" w14:textId="77777777" w:rsidR="00AD470F" w:rsidRPr="0002712A" w:rsidRDefault="008E1FBA" w:rsidP="00F4320E">
      <w:pPr>
        <w:pStyle w:val="ListParagraph"/>
        <w:widowControl/>
        <w:numPr>
          <w:ilvl w:val="0"/>
          <w:numId w:val="6"/>
        </w:numPr>
        <w:tabs>
          <w:tab w:val="left" w:pos="993"/>
        </w:tabs>
        <w:spacing w:before="120" w:after="120"/>
        <w:ind w:left="993" w:hanging="426"/>
        <w:rPr>
          <w:sz w:val="24"/>
        </w:rPr>
      </w:pPr>
      <w:proofErr w:type="gramStart"/>
      <w:r>
        <w:rPr>
          <w:sz w:val="24"/>
        </w:rPr>
        <w:t>elle</w:t>
      </w:r>
      <w:proofErr w:type="gramEnd"/>
      <w:r>
        <w:rPr>
          <w:sz w:val="24"/>
        </w:rPr>
        <w:t xml:space="preserve"> sape la logique d’une intervention réglementaire ciblée si les dispositions ne sont pas ciblées en se basant sur les informations les plus récentes et les plus précises;</w:t>
      </w:r>
    </w:p>
    <w:p w14:paraId="15331D89" w14:textId="77777777" w:rsidR="00AD470F" w:rsidRPr="0002712A" w:rsidRDefault="008E1FBA" w:rsidP="00F4320E">
      <w:pPr>
        <w:pStyle w:val="ListParagraph"/>
        <w:widowControl/>
        <w:numPr>
          <w:ilvl w:val="0"/>
          <w:numId w:val="6"/>
        </w:numPr>
        <w:tabs>
          <w:tab w:val="left" w:pos="993"/>
        </w:tabs>
        <w:spacing w:before="120" w:after="120"/>
        <w:ind w:left="993" w:hanging="426"/>
        <w:rPr>
          <w:sz w:val="24"/>
        </w:rPr>
      </w:pPr>
      <w:proofErr w:type="gramStart"/>
      <w:r>
        <w:rPr>
          <w:sz w:val="24"/>
        </w:rPr>
        <w:t>en</w:t>
      </w:r>
      <w:proofErr w:type="gramEnd"/>
      <w:r>
        <w:rPr>
          <w:sz w:val="24"/>
        </w:rPr>
        <w:t xml:space="preserve"> conséquence, certaines habitations ou extensions résidentielles devant être protégées n’entraîneraient pas une augmentation potentielle de l’incidence du cancer du poumon; et</w:t>
      </w:r>
    </w:p>
    <w:p w14:paraId="6500CB70" w14:textId="77777777" w:rsidR="00AD470F" w:rsidRPr="0002712A" w:rsidRDefault="008E1FBA" w:rsidP="00F4320E">
      <w:pPr>
        <w:pStyle w:val="ListParagraph"/>
        <w:widowControl/>
        <w:numPr>
          <w:ilvl w:val="0"/>
          <w:numId w:val="6"/>
        </w:numPr>
        <w:tabs>
          <w:tab w:val="left" w:pos="993"/>
        </w:tabs>
        <w:spacing w:before="120" w:after="120"/>
        <w:ind w:left="993" w:hanging="426"/>
        <w:rPr>
          <w:sz w:val="24"/>
        </w:rPr>
      </w:pPr>
      <w:proofErr w:type="gramStart"/>
      <w:r>
        <w:rPr>
          <w:sz w:val="24"/>
        </w:rPr>
        <w:t>certains</w:t>
      </w:r>
      <w:proofErr w:type="gramEnd"/>
      <w:r>
        <w:rPr>
          <w:sz w:val="24"/>
        </w:rPr>
        <w:t xml:space="preserve"> logements intégreraient une protection contre le radon alors qu’elle n’est pas nécessaire.</w:t>
      </w:r>
    </w:p>
    <w:p w14:paraId="6A896A24" w14:textId="77777777" w:rsidR="00AD470F" w:rsidRPr="0002712A" w:rsidRDefault="008E1FBA" w:rsidP="00F4320E">
      <w:pPr>
        <w:pStyle w:val="BodyText"/>
        <w:widowControl/>
        <w:spacing w:before="120" w:after="120"/>
        <w:ind w:left="567"/>
      </w:pPr>
      <w:r>
        <w:t>L’option 2 est préférée pour éviter les impacts négatifs établis dans l’option</w:t>
      </w:r>
      <w:proofErr w:type="gramStart"/>
      <w:r>
        <w:t xml:space="preserve"> «Ne</w:t>
      </w:r>
      <w:proofErr w:type="gramEnd"/>
      <w:r>
        <w:t xml:space="preserve"> rien faire» ci-dessus. Ceci nécessitera des mesures de protection «de </w:t>
      </w:r>
      <w:proofErr w:type="gramStart"/>
      <w:r>
        <w:t>base»</w:t>
      </w:r>
      <w:proofErr w:type="gramEnd"/>
      <w:r>
        <w:t xml:space="preserve"> (zone 1) ou «complètes» (zone 2) contre le radon, selon le cas, à mettre en place dans les nouvelles habitations et extensions résidentielles dans les zones de risque de niveau d’action du radon nouvellement détectées. Ceci maintient tout en augmentant la politique actuelle d’intervention ciblée dans les zones à risque élevé et dispose d’avantages clairs pour la santé par rapport à la situation actuelle.</w:t>
      </w:r>
    </w:p>
    <w:p w14:paraId="34B9DAD8" w14:textId="77777777" w:rsidR="00AD470F" w:rsidRPr="0002712A" w:rsidRDefault="008E1FBA" w:rsidP="00F4320E">
      <w:pPr>
        <w:pStyle w:val="BodyText"/>
        <w:widowControl/>
        <w:spacing w:before="120" w:after="120"/>
        <w:ind w:left="567" w:hanging="567"/>
      </w:pPr>
      <w:r>
        <w:t>C6.</w:t>
      </w:r>
      <w:r>
        <w:tab/>
        <w:t>L’analyse PHE menée sur les deux ensembles de cartes du radon indique que la carte mise à jour des risques liés au radon augmente le nombre de propriétés dans une zone à risque de radon identifiée d’environ 65 000 foyers. Ceci représente une augmentation d’environ 8,9 % du nombre total de logements dans la zone affectée en Irlande du Nord.</w:t>
      </w:r>
    </w:p>
    <w:p w14:paraId="590D5C4C" w14:textId="77777777" w:rsidR="00AD470F" w:rsidRPr="0002712A" w:rsidRDefault="008E1FBA" w:rsidP="00F4320E">
      <w:pPr>
        <w:pStyle w:val="BodyText"/>
        <w:widowControl/>
        <w:spacing w:before="120" w:after="120"/>
        <w:ind w:left="567"/>
      </w:pPr>
      <w:r>
        <w:lastRenderedPageBreak/>
        <w:t>Les cartes du radon publiées par PHE en 2015 sont compilées avec une résolution plus détaillée que les cartes de 2009. Le chiffre net correspond à la différence entre la carte actuelle des habitations dans les zones de risque de niveau d’action du radon (155 000), moins les habitations des zones de risque de niveau d’action du radon de la carte précédente (90 000).</w:t>
      </w:r>
    </w:p>
    <w:p w14:paraId="709AA28D" w14:textId="77777777" w:rsidR="00AD470F" w:rsidRPr="0002712A" w:rsidRDefault="008E1FBA" w:rsidP="00F4320E">
      <w:pPr>
        <w:pStyle w:val="BodyText"/>
        <w:widowControl/>
        <w:spacing w:before="120" w:after="120"/>
        <w:ind w:left="567" w:hanging="567"/>
      </w:pPr>
      <w:r>
        <w:rPr>
          <w:sz w:val="23"/>
        </w:rPr>
        <w:t>C7.</w:t>
      </w:r>
      <w:r>
        <w:rPr>
          <w:sz w:val="23"/>
        </w:rPr>
        <w:tab/>
      </w:r>
      <w:r>
        <w:t xml:space="preserve">En élaborant le présent projet d’EIR, le ministère s’est appuyé sur les travaux menés par PHE et l’EI anglaise finale de 2013. Ceci a permis de mettre en évidence le fait qu’il existe effectivement deux options ou méthodes possibles de décider si un site particulier a besoin d’une protection contre le </w:t>
      </w:r>
      <w:proofErr w:type="gramStart"/>
      <w:r>
        <w:t>radon:</w:t>
      </w:r>
      <w:proofErr w:type="gramEnd"/>
      <w:r>
        <w:t xml:space="preserve"> soit en utilisant les informations de plus haut niveau fournies par l’atlas indicatif du radon, soit en utilisant les informations définitives des rapports sur les risques par GIS, fournies (le cas échéant) pour un coût minime.</w:t>
      </w:r>
    </w:p>
    <w:p w14:paraId="775AFE58" w14:textId="77777777" w:rsidR="00AD470F" w:rsidRPr="0002712A" w:rsidRDefault="008E1FBA" w:rsidP="00F4320E">
      <w:pPr>
        <w:pStyle w:val="BodyText"/>
        <w:widowControl/>
        <w:spacing w:before="120" w:after="120"/>
        <w:ind w:left="567"/>
      </w:pPr>
      <w:r>
        <w:t xml:space="preserve">Contrairement au scénario anglais, le </w:t>
      </w:r>
      <w:proofErr w:type="spellStart"/>
      <w:r>
        <w:t>Northern</w:t>
      </w:r>
      <w:proofErr w:type="spellEnd"/>
      <w:r>
        <w:t xml:space="preserve"> Ireland Building Control ne dispose pas d’un accès autorisé gratuit aux évaluations définitives du rapport de risque, et l’industrie de la construction résidentielle semble dépendre de l’approche des cartes indicatives</w:t>
      </w:r>
      <w:proofErr w:type="gramStart"/>
      <w:r>
        <w:t xml:space="preserve"> «traditionnelles</w:t>
      </w:r>
      <w:proofErr w:type="gramEnd"/>
      <w:r>
        <w:t xml:space="preserve">» du radon. Historiquement, en Irlande du Nord, avec la disponibilité des rapports sur les risques liés aux codes postaux GIS spécifiques aux sites à partir de 2009, il n’y a pas eu d’adoption effective d’un tel service de </w:t>
      </w:r>
      <w:proofErr w:type="spellStart"/>
      <w:r>
        <w:t>reporting</w:t>
      </w:r>
      <w:proofErr w:type="spellEnd"/>
      <w:r>
        <w:t xml:space="preserve"> </w:t>
      </w:r>
      <w:proofErr w:type="spellStart"/>
      <w:r>
        <w:t>UKRadon</w:t>
      </w:r>
      <w:proofErr w:type="spellEnd"/>
      <w:r>
        <w:t xml:space="preserve"> par l’industrie. Les rapports sur les risques liés au radon spécifiques au site du BGS (</w:t>
      </w:r>
      <w:proofErr w:type="spellStart"/>
      <w:r>
        <w:t>Georeports</w:t>
      </w:r>
      <w:proofErr w:type="spellEnd"/>
      <w:r>
        <w:t>, où un code postal n’est pas disponible) ne sont actuellement pas disponibles pour l’Irlande du Nord en tant que service de déclaration standard du BGS. Par la suite, l’ébauche de l’EIR sera élaborée afin de refléter la méthodologie actuelle appliquée par l’industrie, mais le ministère profitera de l’occasion pour référencer les alternatives de déclaration des risques liés au radon dans le document BR211, dans le but de guider le contrôle des bâtiments, les promoteurs et les particuliers à prendre des décisions éclairées concernant la protection contre le radon sur la base des données locales les plus appropriées.</w:t>
      </w:r>
    </w:p>
    <w:p w14:paraId="78DC715F" w14:textId="77777777" w:rsidR="00C22814" w:rsidRPr="0002712A" w:rsidRDefault="008E1FBA" w:rsidP="004F3736">
      <w:pPr>
        <w:keepNext/>
        <w:keepLines/>
        <w:widowControl/>
        <w:spacing w:before="240" w:after="240"/>
        <w:rPr>
          <w:b/>
          <w:sz w:val="28"/>
        </w:rPr>
      </w:pPr>
      <w:r>
        <w:rPr>
          <w:b/>
          <w:sz w:val="28"/>
        </w:rPr>
        <w:t>BÉNÉFICES</w:t>
      </w:r>
    </w:p>
    <w:p w14:paraId="3BF65002" w14:textId="77777777" w:rsidR="00AD470F" w:rsidRPr="0002712A" w:rsidRDefault="008E1FBA" w:rsidP="003F4974">
      <w:pPr>
        <w:pStyle w:val="Heading4"/>
        <w:keepNext/>
        <w:keepLines/>
        <w:widowControl/>
        <w:spacing w:before="240" w:after="240"/>
        <w:ind w:left="0"/>
      </w:pPr>
      <w:r>
        <w:t>Option </w:t>
      </w:r>
      <w:proofErr w:type="gramStart"/>
      <w:r>
        <w:t>1:</w:t>
      </w:r>
      <w:proofErr w:type="gramEnd"/>
      <w:r>
        <w:t xml:space="preserve"> Ne rien faire</w:t>
      </w:r>
    </w:p>
    <w:p w14:paraId="7368385C" w14:textId="77777777" w:rsidR="00AD470F" w:rsidRPr="0002712A" w:rsidRDefault="008E1FBA" w:rsidP="00F4320E">
      <w:pPr>
        <w:pStyle w:val="BodyText"/>
        <w:widowControl/>
        <w:spacing w:before="120" w:after="120"/>
        <w:ind w:left="567" w:hanging="567"/>
      </w:pPr>
      <w:r>
        <w:t>C8.</w:t>
      </w:r>
      <w:r>
        <w:tab/>
        <w:t>L’option 1 n’engendre aucun bénéfice. L’utilisation de cartes de risques obsolètes pourrait conduire à ce que les logements concernés ne soient pas ciblés pour une protection appropriée, avec un risque potentiel accru d’incidence du cancer du poumon associé. L’utilisation remplacée des cartes des risques serait incompatible avec les exigences réglementaires en matière de construction d’autres juridictions, ainsi qu’avec les normes actuelles de l’industrie de la construction résidentielle.</w:t>
      </w:r>
    </w:p>
    <w:p w14:paraId="0047273F" w14:textId="77777777" w:rsidR="00AD470F" w:rsidRPr="0002712A" w:rsidRDefault="008E1FBA" w:rsidP="003F4974">
      <w:pPr>
        <w:pStyle w:val="Heading4"/>
        <w:keepNext/>
        <w:keepLines/>
        <w:widowControl/>
        <w:spacing w:before="240" w:after="240"/>
        <w:ind w:left="0"/>
      </w:pPr>
      <w:r>
        <w:lastRenderedPageBreak/>
        <w:t>Option </w:t>
      </w:r>
      <w:proofErr w:type="gramStart"/>
      <w:r>
        <w:t>2:</w:t>
      </w:r>
      <w:proofErr w:type="gramEnd"/>
      <w:r>
        <w:t xml:space="preserve"> Révision de la politique des dispositions réglementaires relatives à la construction avec les cartes actuelles des risques liés au radon, y compris la modification des recommandations du livret technique C d’accompagnement</w:t>
      </w:r>
    </w:p>
    <w:p w14:paraId="44B95F3F" w14:textId="77777777" w:rsidR="00AD470F" w:rsidRPr="0002712A" w:rsidRDefault="008E1FBA" w:rsidP="003F4974">
      <w:pPr>
        <w:pStyle w:val="Heading4"/>
        <w:keepNext/>
        <w:keepLines/>
        <w:widowControl/>
        <w:spacing w:before="240" w:after="240"/>
        <w:ind w:left="0"/>
      </w:pPr>
      <w:proofErr w:type="gramStart"/>
      <w:r>
        <w:t>Bénéfices:</w:t>
      </w:r>
      <w:proofErr w:type="gramEnd"/>
      <w:r>
        <w:t xml:space="preserve"> Mesures de protection dans les nouvelles maisons et extensions résidentielles ciblées</w:t>
      </w:r>
    </w:p>
    <w:p w14:paraId="1687D90B" w14:textId="77777777" w:rsidR="00AD470F" w:rsidRPr="0002712A" w:rsidRDefault="008E1FBA" w:rsidP="00A71A48">
      <w:pPr>
        <w:pStyle w:val="BodyText"/>
        <w:keepLines/>
        <w:widowControl/>
        <w:spacing w:before="120" w:after="120"/>
        <w:ind w:left="567" w:hanging="567"/>
      </w:pPr>
      <w:r>
        <w:t>C9.</w:t>
      </w:r>
      <w:r>
        <w:tab/>
        <w:t>Le radon est lié au cancer des poumons, et par conséquent, l’avantage de l’exigence fourniture de mesures de protection contre le radon va entraîner la diminution du nombre de cancers du poumon. Il est connu que le radon et le tabagisme peuvent provoquer le cancer du poumon et que l’association du radon et du tabagisme augmente le risque dans une relation de multiplication. Les personnes ont environ un risque 25 fois supérieur de souffrir d’un cancer du poumon dans une atmosphère à taux élevé en radon si elles fument. En effet, la plupart des cancers du poumon liés au radon surviennent chez les fumeurs.</w:t>
      </w:r>
    </w:p>
    <w:p w14:paraId="749E4519" w14:textId="77777777" w:rsidR="00AD470F" w:rsidRPr="00B945EA" w:rsidRDefault="008E1FBA" w:rsidP="00F4320E">
      <w:pPr>
        <w:pStyle w:val="BodyText"/>
        <w:widowControl/>
        <w:spacing w:before="120" w:after="120"/>
        <w:ind w:left="567" w:hanging="567"/>
      </w:pPr>
      <w:r>
        <w:t>C10.</w:t>
      </w:r>
      <w:r>
        <w:tab/>
        <w:t>Dans une large population, les cancers du poumon que l’on peut attribuer au radon vont par conséquent se produire chez les fumeurs et les non-fumeurs, et le risque moyen pour la population sera une moyenne pondérée des risques pour les fumeurs et les non-fumeurs. L’Agence de protection de la santé avait précédemment estimé que ce risque augmente de 16 % pour 100 Bq m-³. Les taux de survie de cancer du poumon restent faibles, ainsi l’avantage principal pour la santé d’une protection accrue contre le radon correspondant aux années de vie supplémentaires gagnées émanant de la diminution du nombre de cancers.</w:t>
      </w:r>
    </w:p>
    <w:p w14:paraId="76CDC292" w14:textId="77777777" w:rsidR="00AD470F" w:rsidRPr="00A71A48" w:rsidRDefault="008E1FBA" w:rsidP="00882B76">
      <w:pPr>
        <w:pStyle w:val="BodyText"/>
        <w:widowControl/>
        <w:spacing w:before="120" w:after="120"/>
        <w:ind w:left="567" w:hanging="567"/>
        <w:rPr>
          <w:spacing w:val="-4"/>
        </w:rPr>
      </w:pPr>
      <w:r w:rsidRPr="00A71A48">
        <w:rPr>
          <w:spacing w:val="-4"/>
        </w:rPr>
        <w:t>C11.</w:t>
      </w:r>
      <w:r w:rsidRPr="00A71A48">
        <w:rPr>
          <w:spacing w:val="-4"/>
        </w:rPr>
        <w:tab/>
        <w:t>Il est établi que les mesures de protection contre le radon diminuent les niveaux de radon dans les bâtiments résidentiels et l’exposition des occupants au radon. Différentes études ont différents avis sur l’efficacité des membranes dans la diminution des niveaux de radon. Le travail de l’EI anglaise de 2013 sur le nombre de cancers du poumon évités, suit les conclusions de l’étude</w:t>
      </w:r>
      <w:proofErr w:type="gramStart"/>
      <w:r w:rsidRPr="00A71A48">
        <w:rPr>
          <w:spacing w:val="-4"/>
        </w:rPr>
        <w:t xml:space="preserve"> «Gray</w:t>
      </w:r>
      <w:proofErr w:type="gramEnd"/>
      <w:r w:rsidRPr="00A71A48">
        <w:rPr>
          <w:spacing w:val="-4"/>
        </w:rPr>
        <w:t xml:space="preserve"> et al» et suppose une réduction moyenne de 50 % du niveau de radon lorsqu’une membrane est installée. L’EI anglaise a pris en compte l’occupation typique, la prévalence du tabagisme, les cancers du poumon potentiels annuels évités, les bénéfices actualisés/retardés, avec des valeurs QALY adoptées élaborées à partir de calculs économiques sur la santé HPA de 2009 spécifiques à l’Angleterre</w:t>
      </w:r>
      <w:r w:rsidR="00C27FB9" w:rsidRPr="00A71A48">
        <w:rPr>
          <w:spacing w:val="-4"/>
          <w:vertAlign w:val="superscript"/>
        </w:rPr>
        <w:footnoteReference w:id="5"/>
      </w:r>
      <w:r w:rsidRPr="00A71A48">
        <w:rPr>
          <w:spacing w:val="-4"/>
        </w:rPr>
        <w:t>. Le ministère n’a pas l’intention de modéliser les prévisions et calculs économiques spéculatifs sur la santé pour l’Irlande du Nord, comme indiqué au paragraphe C3. Néanmoins, les recherches menées dans le cadre de l’enquête sur l’état des logements des cadres en Irlande du Nord suggèrent que les mesures de protection basées sur la carte de l’atlas du radon publiée en 2015 pourraient augmenter les économies annuelles potentielles de la NHS.</w:t>
      </w:r>
    </w:p>
    <w:p w14:paraId="4EAE49DC" w14:textId="77777777" w:rsidR="00AD470F" w:rsidRPr="0002712A" w:rsidRDefault="008E1FBA" w:rsidP="00F4320E">
      <w:pPr>
        <w:pStyle w:val="BodyText"/>
        <w:widowControl/>
        <w:spacing w:before="120" w:after="120"/>
        <w:ind w:left="567" w:hanging="567"/>
      </w:pPr>
      <w:r>
        <w:t>C12.</w:t>
      </w:r>
      <w:r>
        <w:tab/>
        <w:t>Le rapport HPA de 2009 sur le radon et la santé publique, tableau 4.5 (cancers du poumon induits par le radon survenant chaque année), estime que 25 % des cas de cancer du poumon sont causés par un niveau d’exposition dépassant le niveau d’intervention actuel de 200 Bq m-³. Puisque les cancers du poumon causés par l’exposition au radon équivalent à 30 décès par an en Irlande du Nord, cela pourrait suggérer que 7 à 8 cancers du poumon induits par le radon en Irlande du Nord sont susceptibles d’être ciblés proportionnellement dans les 20 % des nouveaux foyers concernés, où l’installation d’une membrane de protection de base contre le radon pourrait réduire de 50 % les niveaux d’exposition au radon.</w:t>
      </w:r>
    </w:p>
    <w:p w14:paraId="0F544947" w14:textId="77777777" w:rsidR="00C22814" w:rsidRPr="0002712A" w:rsidRDefault="008E1FBA" w:rsidP="004F3736">
      <w:pPr>
        <w:keepNext/>
        <w:keepLines/>
        <w:widowControl/>
        <w:spacing w:before="240" w:after="240"/>
        <w:rPr>
          <w:b/>
          <w:sz w:val="28"/>
        </w:rPr>
      </w:pPr>
      <w:r>
        <w:rPr>
          <w:b/>
          <w:sz w:val="28"/>
        </w:rPr>
        <w:lastRenderedPageBreak/>
        <w:t>COÛTS</w:t>
      </w:r>
    </w:p>
    <w:p w14:paraId="2F8BDFCB" w14:textId="77777777" w:rsidR="00AD470F" w:rsidRPr="0002712A" w:rsidRDefault="008E1FBA" w:rsidP="003F4974">
      <w:pPr>
        <w:pStyle w:val="Heading4"/>
        <w:keepNext/>
        <w:keepLines/>
        <w:widowControl/>
        <w:spacing w:before="240" w:after="240"/>
        <w:ind w:left="0"/>
      </w:pPr>
      <w:r>
        <w:t>OPTION </w:t>
      </w:r>
      <w:proofErr w:type="gramStart"/>
      <w:r>
        <w:t>1:</w:t>
      </w:r>
      <w:proofErr w:type="gramEnd"/>
      <w:r>
        <w:t xml:space="preserve"> Ne rien faire</w:t>
      </w:r>
    </w:p>
    <w:p w14:paraId="24152EA9" w14:textId="77777777" w:rsidR="00AD470F" w:rsidRPr="0002712A" w:rsidRDefault="008E1FBA" w:rsidP="00F4320E">
      <w:pPr>
        <w:pStyle w:val="BodyText"/>
        <w:widowControl/>
        <w:spacing w:before="120" w:after="120"/>
        <w:ind w:left="567" w:hanging="567"/>
      </w:pPr>
      <w:r>
        <w:t>C13.</w:t>
      </w:r>
      <w:r>
        <w:tab/>
        <w:t xml:space="preserve">Cette option n’impose aucun coût de mise en œuvre à l’industrie de la construction résidentielle et n’impose aucun coût de transition, 70 % des meilleures pratiques suggérées dans l’industrie faisant déjà référence aux normes BR211 mises à jour qui incluent les cartes indicatives du radon d’Irlande du Nord mises à jour. Néanmoins, le gouvernement prévoit qu’environ 30 % de l’industrie n’applique pas les meilleures pratiques mises à </w:t>
      </w:r>
      <w:proofErr w:type="gramStart"/>
      <w:r>
        <w:t>jour:</w:t>
      </w:r>
      <w:proofErr w:type="gramEnd"/>
      <w:r>
        <w:t xml:space="preserve"> une telle position néglige de traiter ce pourcentage de foyers des zones affectées qui ne reçoivent pas les mesures de protection appropriées contre le radon.</w:t>
      </w:r>
    </w:p>
    <w:p w14:paraId="5BABE0E9" w14:textId="77777777" w:rsidR="00AD470F" w:rsidRPr="0002712A" w:rsidRDefault="008E1FBA" w:rsidP="003F4974">
      <w:pPr>
        <w:pStyle w:val="Heading4"/>
        <w:keepNext/>
        <w:keepLines/>
        <w:widowControl/>
        <w:spacing w:before="240" w:after="240"/>
        <w:ind w:left="0"/>
      </w:pPr>
      <w:r>
        <w:t>OPTION </w:t>
      </w:r>
      <w:proofErr w:type="gramStart"/>
      <w:r>
        <w:t>2:</w:t>
      </w:r>
      <w:proofErr w:type="gramEnd"/>
      <w:r>
        <w:t xml:space="preserve"> Révision de la politique des dispositions réglementaires relatives à la construction avec les cartes actuelles des risques liés au radon, y compris la modification des recommandations du livret technique C d’accompagnement</w:t>
      </w:r>
    </w:p>
    <w:p w14:paraId="6BE02A7A" w14:textId="77777777" w:rsidR="00AD470F" w:rsidRPr="0002712A" w:rsidRDefault="008E1FBA" w:rsidP="003F4974">
      <w:pPr>
        <w:pStyle w:val="Heading4"/>
        <w:keepNext/>
        <w:keepLines/>
        <w:widowControl/>
        <w:spacing w:before="240" w:after="240"/>
        <w:ind w:left="0"/>
      </w:pPr>
      <w:r>
        <w:t>OPTION </w:t>
      </w:r>
      <w:proofErr w:type="gramStart"/>
      <w:r>
        <w:t>2:</w:t>
      </w:r>
      <w:proofErr w:type="gramEnd"/>
      <w:r>
        <w:t xml:space="preserve"> Coûts de transition</w:t>
      </w:r>
    </w:p>
    <w:p w14:paraId="11CA7060" w14:textId="77777777" w:rsidR="00AD470F" w:rsidRPr="0002712A" w:rsidRDefault="008E1FBA" w:rsidP="00F4320E">
      <w:pPr>
        <w:pStyle w:val="BodyText"/>
        <w:widowControl/>
        <w:spacing w:before="120" w:after="120"/>
        <w:ind w:left="567" w:hanging="567"/>
      </w:pPr>
      <w:r>
        <w:t>C14.</w:t>
      </w:r>
      <w:r>
        <w:tab/>
        <w:t>Le ministère s’attend à des coûts de transition mineurs, basés sur une estimation du nombre de petites entreprises opérant dans les zones nouvellement classées comme exposées au radon. Il s’agit probablement d’une surestimation, car de nombreuses entreprises connaissent les bonnes pratiques en matière d’installation de mesures de protection contre le radon à la suite de la réalisation de travaux dans les zones de radon existantes dans la province.</w:t>
      </w:r>
    </w:p>
    <w:p w14:paraId="1E45D5A3" w14:textId="77777777" w:rsidR="00AD470F" w:rsidRPr="0002712A" w:rsidRDefault="008E1FBA" w:rsidP="00F4320E">
      <w:pPr>
        <w:pStyle w:val="BodyText"/>
        <w:widowControl/>
        <w:spacing w:before="120" w:after="120"/>
        <w:ind w:left="567" w:hanging="567"/>
      </w:pPr>
      <w:r>
        <w:t>C15.</w:t>
      </w:r>
      <w:r>
        <w:tab/>
        <w:t>La modélisation DCLG et les commentaires issus de la consultation ont fixé les coûts de transition pour trois entreprises clés de la construction résidentielle. En supposant que les sociétés d’ingénierie structurelle, les promoteurs immobiliers et les entrepreneurs en construction soient également susceptibles d’être situés dans les zones affectées par le radon, ceci suggère une estimation de 422 entreprises.</w:t>
      </w:r>
      <w:r w:rsidR="00C27FB9" w:rsidRPr="0002712A">
        <w:rPr>
          <w:rStyle w:val="FootnoteReference"/>
        </w:rPr>
        <w:footnoteReference w:id="6"/>
      </w:r>
      <w:r>
        <w:t>, qui pourraient faire face à des coûts de transition pour comprendre les exigences dans de nouveaux domaines.</w:t>
      </w:r>
    </w:p>
    <w:p w14:paraId="7821A1FB" w14:textId="77777777" w:rsidR="00AD470F" w:rsidRPr="0002712A" w:rsidRDefault="008E1FBA" w:rsidP="00F4320E">
      <w:pPr>
        <w:pStyle w:val="BodyText"/>
        <w:widowControl/>
        <w:spacing w:before="120" w:after="120"/>
        <w:ind w:left="567" w:hanging="567"/>
      </w:pPr>
      <w:r>
        <w:t>C16.</w:t>
      </w:r>
      <w:r>
        <w:tab/>
        <w:t>Les taux horaires ont été calculés à partir de l’étude de 2017 sur les salaires du marché en Irlande du Nord pour le cas moyen/central (médiane de 50 %), puis en ajoutant des frais généraux de 30 % et une pondération moyenne entre ces taux de salaire et les taux de salaire de l’industrie fournis par un consultant anglais, ce qui équivaut à la modélisation anglaise précédente à pondération intermédiaire entre les taux élaborés par le consultant et les taux de salaire dérivés de l’Enquête annuelle sur les heures et les gains (</w:t>
      </w:r>
      <w:proofErr w:type="spellStart"/>
      <w:r>
        <w:t>Annual</w:t>
      </w:r>
      <w:proofErr w:type="spellEnd"/>
      <w:r>
        <w:t xml:space="preserve"> Survey of </w:t>
      </w:r>
      <w:proofErr w:type="spellStart"/>
      <w:r>
        <w:t>Hours</w:t>
      </w:r>
      <w:proofErr w:type="spellEnd"/>
      <w:r>
        <w:t xml:space="preserve"> and </w:t>
      </w:r>
      <w:proofErr w:type="spellStart"/>
      <w:r>
        <w:t>Earnings</w:t>
      </w:r>
      <w:proofErr w:type="spellEnd"/>
      <w:r>
        <w:t>, ou ASHE). Ceci reflète la valeur d’un professionnel établie par le marché, y compris le salaire, sur les coûts et autres coûts commerciaux pour l’organisation, et constitue le taux qu’une entreprise facturerait à quelqu’un d’autre par heure de travail d’une personne. Une telle approche est largement utilisée dans l’industrie de la construction. Cependant, plus généralement dans les évaluations d’impact, l’ASHE constitue la base visant à estimer le coût en temps d’une personne (plus une estimation supplémentaire de 30 % pour les frais généraux supplémentaires tels que les cotisations de retraite et les cotisations d’assurance nationale).</w:t>
      </w:r>
    </w:p>
    <w:p w14:paraId="3D501D3C" w14:textId="77777777" w:rsidR="00AD470F" w:rsidRPr="0002712A" w:rsidRDefault="008E1FBA" w:rsidP="00F4320E">
      <w:pPr>
        <w:pStyle w:val="BodyText"/>
        <w:widowControl/>
        <w:spacing w:before="120" w:after="120"/>
        <w:ind w:left="567" w:hanging="567"/>
      </w:pPr>
      <w:r>
        <w:lastRenderedPageBreak/>
        <w:t>C17.</w:t>
      </w:r>
      <w:r>
        <w:tab/>
        <w:t>Le ministère estime qu’il faudra une demi-heure aux 422 sociétés d’ingénierie structurelle, promoteurs immobiliers et entrepreneurs en construction pour se familiariser avec le changement de carte. Un taux de salaire horaire médian dans les professions concernées à hauteur de 37,11 GBP</w:t>
      </w:r>
      <w:r w:rsidR="00C27FB9" w:rsidRPr="0002712A">
        <w:rPr>
          <w:rStyle w:val="FootnoteReference"/>
        </w:rPr>
        <w:footnoteReference w:id="7"/>
      </w:r>
      <w:r>
        <w:t xml:space="preserve"> entraîne sur un an un coût de familiarisation unique de 7 850 GBP. Le consultant de l’EI anglaise a inclus un exercice à petite échelle pour tester l’hypothèse de familiarisation, qui a été entrepris avec un certain nombre de petits entrepreneurs, entraînant la conclusion qu’il existait</w:t>
      </w:r>
      <w:proofErr w:type="gramStart"/>
      <w:r>
        <w:t xml:space="preserve"> «un</w:t>
      </w:r>
      <w:proofErr w:type="gramEnd"/>
      <w:r>
        <w:t xml:space="preserve"> consensus général sur le temps de familiarisation du personnel avec la réglementation et les cartes (que certaines entreprises avaient déjà entrepris)».</w:t>
      </w:r>
    </w:p>
    <w:p w14:paraId="457E54CC" w14:textId="77777777" w:rsidR="00AD470F" w:rsidRPr="0002712A" w:rsidRDefault="008E1FBA" w:rsidP="00882B76">
      <w:pPr>
        <w:pStyle w:val="BodyText"/>
        <w:widowControl/>
        <w:spacing w:before="120" w:after="120"/>
        <w:ind w:left="567" w:hanging="567"/>
      </w:pPr>
      <w:r>
        <w:t>C18.</w:t>
      </w:r>
      <w:r>
        <w:tab/>
        <w:t>Les petits entrepreneurs en construction résidentielle peuvent avoir besoin de certaines compétences et de formation. En supposant qu’une telle formation prenne une journée, le coût estimé, en termes de temps perdu et de formation elle-même, pour 39 entrepreneurs s’élèverait à 14 550 GBP sur un an de coût de familiarisation unique. Un tel coût se base sur un coût direct de formation de 225 GBP et une perte de revenu de 8 heures sur la base des taux de salaire horaires mixtes. Cependant, cette analyse sera probablement extrêmement prudente, car beaucoup auront de l’expérience en matière d’installation de mesure de protection contre le radon dans les anciennes zones cartographiques.</w:t>
      </w:r>
    </w:p>
    <w:p w14:paraId="1A87F353" w14:textId="77777777" w:rsidR="00C22814" w:rsidRPr="0002712A" w:rsidRDefault="008E1FBA" w:rsidP="00882B76">
      <w:pPr>
        <w:pStyle w:val="Heading4"/>
        <w:keepNext/>
        <w:keepLines/>
        <w:widowControl/>
        <w:spacing w:before="120" w:after="120"/>
        <w:ind w:left="270"/>
      </w:pPr>
      <w:r>
        <w:t>Analyse des coûts de familiarisation et de transition</w:t>
      </w:r>
    </w:p>
    <w:tbl>
      <w:tblPr>
        <w:tblW w:w="4863"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7333"/>
        <w:gridCol w:w="2027"/>
      </w:tblGrid>
      <w:tr w:rsidR="00C22814" w:rsidRPr="00A71A48" w14:paraId="4BFDDC9F" w14:textId="77777777" w:rsidTr="00882B76">
        <w:tc>
          <w:tcPr>
            <w:tcW w:w="3917" w:type="pct"/>
          </w:tcPr>
          <w:p w14:paraId="6C8E6921" w14:textId="77777777" w:rsidR="00C22814" w:rsidRPr="00A71A48" w:rsidRDefault="008E1FBA" w:rsidP="00882B76">
            <w:pPr>
              <w:pStyle w:val="TableParagraph"/>
              <w:keepNext/>
              <w:keepLines/>
              <w:widowControl/>
              <w:rPr>
                <w:b/>
                <w:spacing w:val="-4"/>
                <w:sz w:val="24"/>
              </w:rPr>
            </w:pPr>
            <w:r w:rsidRPr="00A71A48">
              <w:rPr>
                <w:b/>
                <w:spacing w:val="-4"/>
                <w:sz w:val="24"/>
              </w:rPr>
              <w:t>Nouvelles zones affectées Coûts pour les entreprises de construction résidentielle</w:t>
            </w:r>
          </w:p>
        </w:tc>
        <w:tc>
          <w:tcPr>
            <w:tcW w:w="1083" w:type="pct"/>
          </w:tcPr>
          <w:p w14:paraId="2E63F6C0" w14:textId="77777777" w:rsidR="00C22814" w:rsidRPr="00A71A48" w:rsidRDefault="00C22814" w:rsidP="00882B76">
            <w:pPr>
              <w:pStyle w:val="TableParagraph"/>
              <w:keepNext/>
              <w:keepLines/>
              <w:widowControl/>
              <w:rPr>
                <w:rFonts w:ascii="Times New Roman"/>
                <w:spacing w:val="-4"/>
                <w:sz w:val="20"/>
              </w:rPr>
            </w:pPr>
          </w:p>
        </w:tc>
      </w:tr>
      <w:tr w:rsidR="00C22814" w:rsidRPr="00A71A48" w14:paraId="6D0AFE38" w14:textId="77777777" w:rsidTr="00882B76">
        <w:tc>
          <w:tcPr>
            <w:tcW w:w="3917" w:type="pct"/>
          </w:tcPr>
          <w:p w14:paraId="6505946E" w14:textId="77777777" w:rsidR="00882B76" w:rsidRPr="00A71A48" w:rsidRDefault="008E1FBA" w:rsidP="00882B76">
            <w:pPr>
              <w:pStyle w:val="TableParagraph"/>
              <w:widowControl/>
              <w:rPr>
                <w:spacing w:val="-4"/>
                <w:sz w:val="24"/>
              </w:rPr>
            </w:pPr>
            <w:r w:rsidRPr="00A71A48">
              <w:rPr>
                <w:spacing w:val="-4"/>
                <w:sz w:val="24"/>
              </w:rPr>
              <w:t>Suggestion d’une étude sur les salaires du marché actuel au Royaume-</w:t>
            </w:r>
            <w:proofErr w:type="gramStart"/>
            <w:r w:rsidRPr="00A71A48">
              <w:rPr>
                <w:spacing w:val="-4"/>
                <w:sz w:val="24"/>
              </w:rPr>
              <w:t>Uni:</w:t>
            </w:r>
            <w:proofErr w:type="gramEnd"/>
            <w:r w:rsidRPr="00A71A48">
              <w:rPr>
                <w:spacing w:val="-4"/>
                <w:sz w:val="24"/>
              </w:rPr>
              <w:t xml:space="preserve"> </w:t>
            </w:r>
          </w:p>
          <w:p w14:paraId="221C238B" w14:textId="77777777" w:rsidR="00C22814" w:rsidRPr="00A71A48" w:rsidRDefault="008E1FBA" w:rsidP="00882B76">
            <w:pPr>
              <w:pStyle w:val="TableParagraph"/>
              <w:widowControl/>
              <w:rPr>
                <w:spacing w:val="-4"/>
                <w:sz w:val="24"/>
              </w:rPr>
            </w:pPr>
            <w:r w:rsidRPr="00A71A48">
              <w:rPr>
                <w:spacing w:val="-4"/>
                <w:sz w:val="24"/>
              </w:rPr>
              <w:t>Ingénieur en structure</w:t>
            </w:r>
          </w:p>
          <w:p w14:paraId="2C8C4E55" w14:textId="77777777" w:rsidR="00C22814" w:rsidRPr="00A71A48" w:rsidRDefault="008E1FBA" w:rsidP="00882B76">
            <w:pPr>
              <w:pStyle w:val="TableParagraph"/>
              <w:widowControl/>
              <w:ind w:left="332" w:hanging="270"/>
              <w:rPr>
                <w:spacing w:val="-4"/>
                <w:sz w:val="24"/>
              </w:rPr>
            </w:pPr>
            <w:r w:rsidRPr="00A71A48">
              <w:rPr>
                <w:spacing w:val="-4"/>
                <w:sz w:val="24"/>
              </w:rPr>
              <w:t>-</w:t>
            </w:r>
            <w:r w:rsidRPr="00A71A48">
              <w:rPr>
                <w:spacing w:val="-4"/>
                <w:sz w:val="24"/>
              </w:rPr>
              <w:tab/>
            </w:r>
            <w:proofErr w:type="gramStart"/>
            <w:r w:rsidRPr="00A71A48">
              <w:rPr>
                <w:spacing w:val="-4"/>
                <w:sz w:val="24"/>
              </w:rPr>
              <w:t>Soit:</w:t>
            </w:r>
            <w:proofErr w:type="gramEnd"/>
            <w:r w:rsidRPr="00A71A48">
              <w:rPr>
                <w:spacing w:val="-4"/>
                <w:sz w:val="24"/>
              </w:rPr>
              <w:t xml:space="preserve"> 19,65 GBP + 5,90 GBP (30 %) = 25,55 GBP, soit 64,00 GBP (ECH)</w:t>
            </w:r>
          </w:p>
          <w:p w14:paraId="1DA5ED9F" w14:textId="77777777" w:rsidR="00C22814" w:rsidRPr="00A71A48" w:rsidRDefault="008E1FBA" w:rsidP="00882B76">
            <w:pPr>
              <w:pStyle w:val="TableParagraph"/>
              <w:widowControl/>
              <w:rPr>
                <w:spacing w:val="-4"/>
                <w:sz w:val="24"/>
              </w:rPr>
            </w:pPr>
            <w:r w:rsidRPr="00A71A48">
              <w:rPr>
                <w:spacing w:val="-4"/>
                <w:sz w:val="24"/>
              </w:rPr>
              <w:t>Constructeur résidentiel</w:t>
            </w:r>
          </w:p>
          <w:p w14:paraId="01999EF8" w14:textId="77777777" w:rsidR="00C22814" w:rsidRPr="00A71A48" w:rsidRDefault="008E1FBA" w:rsidP="00882B76">
            <w:pPr>
              <w:pStyle w:val="TableParagraph"/>
              <w:widowControl/>
              <w:ind w:left="332" w:hanging="270"/>
              <w:rPr>
                <w:spacing w:val="-4"/>
                <w:sz w:val="24"/>
              </w:rPr>
            </w:pPr>
            <w:r w:rsidRPr="00A71A48">
              <w:rPr>
                <w:spacing w:val="-4"/>
                <w:sz w:val="24"/>
              </w:rPr>
              <w:t>-</w:t>
            </w:r>
            <w:r w:rsidRPr="00A71A48">
              <w:rPr>
                <w:spacing w:val="-4"/>
                <w:sz w:val="24"/>
              </w:rPr>
              <w:tab/>
            </w:r>
            <w:proofErr w:type="gramStart"/>
            <w:r w:rsidRPr="00A71A48">
              <w:rPr>
                <w:spacing w:val="-4"/>
                <w:sz w:val="24"/>
              </w:rPr>
              <w:t>Soit:</w:t>
            </w:r>
            <w:proofErr w:type="gramEnd"/>
            <w:r w:rsidRPr="00A71A48">
              <w:rPr>
                <w:spacing w:val="-4"/>
                <w:sz w:val="24"/>
              </w:rPr>
              <w:t xml:space="preserve"> 12,24 GBP + 3,67 GBP (30 %) = 15,91 GBP, soit 21,00 GBP (ECH)</w:t>
            </w:r>
          </w:p>
          <w:p w14:paraId="7D743807" w14:textId="77777777" w:rsidR="00C22814" w:rsidRPr="00A71A48" w:rsidRDefault="008E1FBA" w:rsidP="00882B76">
            <w:pPr>
              <w:pStyle w:val="TableParagraph"/>
              <w:widowControl/>
              <w:rPr>
                <w:spacing w:val="-4"/>
                <w:sz w:val="24"/>
              </w:rPr>
            </w:pPr>
            <w:r w:rsidRPr="00A71A48">
              <w:rPr>
                <w:spacing w:val="-4"/>
                <w:sz w:val="24"/>
              </w:rPr>
              <w:t>Promoteur de projet</w:t>
            </w:r>
          </w:p>
          <w:p w14:paraId="6E965DA0" w14:textId="77777777" w:rsidR="00C22814" w:rsidRPr="00A71A48" w:rsidRDefault="008E1FBA" w:rsidP="00882B76">
            <w:pPr>
              <w:pStyle w:val="TableParagraph"/>
              <w:widowControl/>
              <w:ind w:left="332" w:hanging="270"/>
              <w:rPr>
                <w:spacing w:val="-4"/>
                <w:sz w:val="24"/>
              </w:rPr>
            </w:pPr>
            <w:r w:rsidRPr="00A71A48">
              <w:rPr>
                <w:spacing w:val="-4"/>
                <w:sz w:val="24"/>
              </w:rPr>
              <w:t>-</w:t>
            </w:r>
            <w:r w:rsidRPr="00A71A48">
              <w:rPr>
                <w:spacing w:val="-4"/>
                <w:sz w:val="24"/>
              </w:rPr>
              <w:tab/>
            </w:r>
            <w:proofErr w:type="gramStart"/>
            <w:r w:rsidRPr="00A71A48">
              <w:rPr>
                <w:spacing w:val="-4"/>
                <w:sz w:val="24"/>
              </w:rPr>
              <w:t>Soit:</w:t>
            </w:r>
            <w:proofErr w:type="gramEnd"/>
            <w:r w:rsidRPr="00A71A48">
              <w:rPr>
                <w:spacing w:val="-4"/>
                <w:sz w:val="24"/>
              </w:rPr>
              <w:t xml:space="preserve"> 20,13 GBP + 6,04 GBP (30 %) = 26,17 GBP soit 70,00 GBP (ECH)</w:t>
            </w:r>
          </w:p>
          <w:p w14:paraId="1992BCE3" w14:textId="77777777" w:rsidR="00882B76" w:rsidRPr="00A71A48" w:rsidRDefault="00882B76" w:rsidP="00882B76">
            <w:pPr>
              <w:pStyle w:val="TableParagraph"/>
              <w:widowControl/>
              <w:ind w:left="332" w:hanging="270"/>
              <w:rPr>
                <w:spacing w:val="-4"/>
                <w:sz w:val="24"/>
              </w:rPr>
            </w:pPr>
          </w:p>
          <w:p w14:paraId="2D650A63" w14:textId="77777777" w:rsidR="00882B76" w:rsidRPr="00A71A48" w:rsidRDefault="00882B76" w:rsidP="00882B76">
            <w:pPr>
              <w:pStyle w:val="TableParagraph"/>
              <w:widowControl/>
              <w:rPr>
                <w:spacing w:val="-4"/>
                <w:sz w:val="24"/>
              </w:rPr>
            </w:pPr>
            <w:r w:rsidRPr="00A71A48">
              <w:rPr>
                <w:spacing w:val="-4"/>
                <w:sz w:val="24"/>
              </w:rPr>
              <w:t xml:space="preserve">Ainsi, taux horaire médian pondéré entre les trois professions de la construction résidentielle </w:t>
            </w:r>
            <w:proofErr w:type="gramStart"/>
            <w:r w:rsidRPr="00A71A48">
              <w:rPr>
                <w:spacing w:val="-4"/>
                <w:sz w:val="24"/>
              </w:rPr>
              <w:t>concernées:</w:t>
            </w:r>
            <w:proofErr w:type="gramEnd"/>
          </w:p>
          <w:p w14:paraId="184C3B1A" w14:textId="77777777" w:rsidR="00882B76"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(44,78 GBP + 18,46 GBP + 48,09 GBP) ÷ 3 = 37,11 GBP par heure en moyenne</w:t>
            </w:r>
          </w:p>
          <w:p w14:paraId="3F8424B2" w14:textId="77777777" w:rsidR="00882B76" w:rsidRPr="00A71A48" w:rsidRDefault="00882B76" w:rsidP="00882B76">
            <w:pPr>
              <w:pStyle w:val="TableParagraph"/>
              <w:widowControl/>
              <w:ind w:left="332" w:hanging="270"/>
              <w:rPr>
                <w:spacing w:val="-4"/>
                <w:sz w:val="24"/>
              </w:rPr>
            </w:pPr>
          </w:p>
        </w:tc>
        <w:tc>
          <w:tcPr>
            <w:tcW w:w="1083" w:type="pct"/>
          </w:tcPr>
          <w:p w14:paraId="4B8088BF" w14:textId="77777777" w:rsidR="00882B76" w:rsidRPr="00A71A48" w:rsidRDefault="00882B76" w:rsidP="00882B76">
            <w:pPr>
              <w:pStyle w:val="TableParagraph"/>
              <w:widowControl/>
              <w:rPr>
                <w:spacing w:val="-4"/>
                <w:sz w:val="24"/>
              </w:rPr>
            </w:pPr>
          </w:p>
          <w:p w14:paraId="1D0AD730" w14:textId="77777777" w:rsidR="00882B76" w:rsidRPr="00A71A48" w:rsidRDefault="00882B76" w:rsidP="00882B76">
            <w:pPr>
              <w:pStyle w:val="TableParagraph"/>
              <w:widowControl/>
              <w:rPr>
                <w:spacing w:val="-4"/>
                <w:sz w:val="24"/>
              </w:rPr>
            </w:pPr>
          </w:p>
          <w:p w14:paraId="43EE1112" w14:textId="77777777" w:rsidR="00AD470F" w:rsidRPr="00A71A48" w:rsidRDefault="008E1FBA" w:rsidP="00882B76">
            <w:pPr>
              <w:pStyle w:val="TableParagraph"/>
              <w:widowControl/>
              <w:rPr>
                <w:spacing w:val="-4"/>
                <w:sz w:val="24"/>
              </w:rPr>
            </w:pPr>
            <w:r w:rsidRPr="00A71A48">
              <w:rPr>
                <w:spacing w:val="-4"/>
                <w:sz w:val="24"/>
              </w:rPr>
              <w:t>44,78 GBP (ingénieur)</w:t>
            </w:r>
          </w:p>
          <w:p w14:paraId="1F11C811" w14:textId="77777777" w:rsidR="00882B76" w:rsidRPr="00A71A48" w:rsidRDefault="00882B76" w:rsidP="00882B76">
            <w:pPr>
              <w:pStyle w:val="TableParagraph"/>
              <w:widowControl/>
              <w:rPr>
                <w:spacing w:val="-4"/>
                <w:sz w:val="24"/>
              </w:rPr>
            </w:pPr>
          </w:p>
          <w:p w14:paraId="0834F691" w14:textId="77777777" w:rsidR="00AD470F" w:rsidRPr="00A71A48" w:rsidRDefault="008E1FBA" w:rsidP="00882B76">
            <w:pPr>
              <w:pStyle w:val="TableParagraph"/>
              <w:widowControl/>
              <w:rPr>
                <w:spacing w:val="-4"/>
                <w:sz w:val="24"/>
              </w:rPr>
            </w:pPr>
            <w:r w:rsidRPr="00A71A48">
              <w:rPr>
                <w:spacing w:val="-4"/>
                <w:sz w:val="24"/>
              </w:rPr>
              <w:t>18,46 GBP (constructeur)</w:t>
            </w:r>
          </w:p>
          <w:p w14:paraId="72E3C99A" w14:textId="77777777" w:rsidR="00882B76" w:rsidRPr="00A71A48" w:rsidRDefault="00882B76" w:rsidP="00882B76">
            <w:pPr>
              <w:pStyle w:val="TableParagraph"/>
              <w:widowControl/>
              <w:rPr>
                <w:spacing w:val="-4"/>
                <w:sz w:val="24"/>
              </w:rPr>
            </w:pPr>
          </w:p>
          <w:p w14:paraId="27BA0A3D" w14:textId="77777777" w:rsidR="00C22814" w:rsidRPr="00A71A48" w:rsidRDefault="008E1FBA" w:rsidP="00882B76">
            <w:pPr>
              <w:pStyle w:val="TableParagraph"/>
              <w:widowControl/>
              <w:rPr>
                <w:spacing w:val="-4"/>
                <w:sz w:val="24"/>
              </w:rPr>
            </w:pPr>
            <w:r w:rsidRPr="00A71A48">
              <w:rPr>
                <w:spacing w:val="-4"/>
                <w:sz w:val="24"/>
              </w:rPr>
              <w:t>48,09 GBP (promoteur)</w:t>
            </w:r>
          </w:p>
          <w:p w14:paraId="27279237" w14:textId="77777777" w:rsidR="00882B76" w:rsidRPr="00A71A48" w:rsidRDefault="00882B76" w:rsidP="00882B76">
            <w:pPr>
              <w:pStyle w:val="TableParagraph"/>
              <w:widowControl/>
              <w:rPr>
                <w:spacing w:val="-4"/>
                <w:sz w:val="24"/>
              </w:rPr>
            </w:pPr>
          </w:p>
          <w:p w14:paraId="34210978" w14:textId="77777777" w:rsidR="00882B76" w:rsidRPr="00A71A48" w:rsidRDefault="00882B76" w:rsidP="00882B76">
            <w:pPr>
              <w:pStyle w:val="TableParagraph"/>
              <w:widowControl/>
              <w:rPr>
                <w:spacing w:val="-4"/>
                <w:sz w:val="24"/>
              </w:rPr>
            </w:pPr>
          </w:p>
          <w:p w14:paraId="727510FD" w14:textId="77777777" w:rsidR="00882B76" w:rsidRPr="00A71A48" w:rsidRDefault="00882B76" w:rsidP="00882B76">
            <w:pPr>
              <w:pStyle w:val="TableParagraph"/>
              <w:widowControl/>
              <w:rPr>
                <w:spacing w:val="-4"/>
                <w:sz w:val="24"/>
              </w:rPr>
            </w:pPr>
          </w:p>
          <w:p w14:paraId="1019B64B" w14:textId="77777777" w:rsidR="00882B76" w:rsidRPr="00A71A48" w:rsidRDefault="00882B76" w:rsidP="00882B76">
            <w:pPr>
              <w:pStyle w:val="TableParagraph"/>
              <w:widowControl/>
              <w:rPr>
                <w:spacing w:val="-4"/>
                <w:sz w:val="24"/>
              </w:rPr>
            </w:pPr>
            <w:r w:rsidRPr="00A71A48">
              <w:rPr>
                <w:spacing w:val="-4"/>
                <w:sz w:val="24"/>
              </w:rPr>
              <w:t>= 37,11 GBP</w:t>
            </w:r>
          </w:p>
          <w:p w14:paraId="457322CD" w14:textId="77777777" w:rsidR="00882B76" w:rsidRPr="00A71A48" w:rsidRDefault="00882B76" w:rsidP="00882B76">
            <w:pPr>
              <w:pStyle w:val="TableParagraph"/>
              <w:widowControl/>
              <w:rPr>
                <w:spacing w:val="-4"/>
                <w:sz w:val="24"/>
              </w:rPr>
            </w:pPr>
          </w:p>
        </w:tc>
      </w:tr>
      <w:tr w:rsidR="00C22814" w:rsidRPr="00A71A48" w14:paraId="4AEC2C92" w14:textId="77777777" w:rsidTr="00882B76">
        <w:tc>
          <w:tcPr>
            <w:tcW w:w="3917" w:type="pct"/>
          </w:tcPr>
          <w:p w14:paraId="59C78BD3" w14:textId="77777777" w:rsidR="00C22814" w:rsidRPr="00A71A48" w:rsidRDefault="008E1FBA" w:rsidP="00882B76">
            <w:pPr>
              <w:pStyle w:val="TableParagraph"/>
              <w:widowControl/>
              <w:rPr>
                <w:spacing w:val="-4"/>
                <w:sz w:val="24"/>
              </w:rPr>
            </w:pPr>
            <w:r w:rsidRPr="00A71A48">
              <w:rPr>
                <w:spacing w:val="-4"/>
                <w:sz w:val="24"/>
              </w:rPr>
              <w:t xml:space="preserve">Réplication de la modélisation de l’EI anglaise de </w:t>
            </w:r>
            <w:proofErr w:type="gramStart"/>
            <w:r w:rsidRPr="00A71A48">
              <w:rPr>
                <w:spacing w:val="-4"/>
                <w:sz w:val="24"/>
              </w:rPr>
              <w:t>2013;</w:t>
            </w:r>
            <w:proofErr w:type="gramEnd"/>
          </w:p>
          <w:p w14:paraId="574C03A1"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Entreprises résidentielles affectées en Irlande du </w:t>
            </w:r>
            <w:proofErr w:type="gramStart"/>
            <w:r w:rsidRPr="00A71A48">
              <w:rPr>
                <w:spacing w:val="-4"/>
                <w:sz w:val="24"/>
              </w:rPr>
              <w:t>Nord:</w:t>
            </w:r>
            <w:proofErr w:type="gramEnd"/>
            <w:r w:rsidRPr="00A71A48">
              <w:rPr>
                <w:spacing w:val="-4"/>
                <w:sz w:val="24"/>
              </w:rPr>
              <w:t xml:space="preserve"> 422</w:t>
            </w:r>
          </w:p>
          <w:p w14:paraId="1A34197F"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Salaire horaire moyen des 3 professions </w:t>
            </w:r>
            <w:proofErr w:type="gramStart"/>
            <w:r w:rsidRPr="00A71A48">
              <w:rPr>
                <w:spacing w:val="-4"/>
                <w:sz w:val="24"/>
              </w:rPr>
              <w:t>concernées:</w:t>
            </w:r>
            <w:proofErr w:type="gramEnd"/>
            <w:r w:rsidRPr="00A71A48">
              <w:rPr>
                <w:spacing w:val="-4"/>
                <w:sz w:val="24"/>
              </w:rPr>
              <w:t xml:space="preserve"> 37,11 GBP</w:t>
            </w:r>
          </w:p>
          <w:p w14:paraId="5BC2E717"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½ heure de familiarisation au changement de carte</w:t>
            </w:r>
          </w:p>
          <w:p w14:paraId="5F2841E8" w14:textId="77777777" w:rsidR="00C22814" w:rsidRPr="00A71A48" w:rsidRDefault="008E1FBA" w:rsidP="00882B76">
            <w:pPr>
              <w:pStyle w:val="TableParagraph"/>
              <w:widowControl/>
              <w:ind w:left="332" w:hanging="270"/>
              <w:rPr>
                <w:spacing w:val="-4"/>
                <w:sz w:val="24"/>
              </w:rPr>
            </w:pPr>
            <w:r w:rsidRPr="00A71A48">
              <w:rPr>
                <w:spacing w:val="-4"/>
                <w:sz w:val="24"/>
              </w:rPr>
              <w:t>-</w:t>
            </w:r>
            <w:r w:rsidRPr="00A71A48">
              <w:rPr>
                <w:spacing w:val="-4"/>
                <w:sz w:val="24"/>
              </w:rPr>
              <w:tab/>
            </w:r>
            <w:proofErr w:type="gramStart"/>
            <w:r w:rsidRPr="00A71A48">
              <w:rPr>
                <w:spacing w:val="-4"/>
                <w:sz w:val="24"/>
              </w:rPr>
              <w:t>Soit:</w:t>
            </w:r>
            <w:proofErr w:type="gramEnd"/>
            <w:r w:rsidRPr="00A71A48">
              <w:rPr>
                <w:spacing w:val="-4"/>
                <w:sz w:val="24"/>
              </w:rPr>
              <w:t xml:space="preserve"> (422 x 37,11) x 0,5 = 7 830 GBP</w:t>
            </w:r>
          </w:p>
          <w:p w14:paraId="26755858" w14:textId="77777777" w:rsidR="00882B76" w:rsidRPr="00A71A48" w:rsidRDefault="00882B76" w:rsidP="00882B76">
            <w:pPr>
              <w:pStyle w:val="TableParagraph"/>
              <w:widowControl/>
              <w:ind w:left="332" w:hanging="270"/>
              <w:rPr>
                <w:spacing w:val="-4"/>
                <w:sz w:val="24"/>
              </w:rPr>
            </w:pPr>
          </w:p>
        </w:tc>
        <w:tc>
          <w:tcPr>
            <w:tcW w:w="1083" w:type="pct"/>
          </w:tcPr>
          <w:p w14:paraId="7ECAF37E" w14:textId="77777777" w:rsidR="00C22814" w:rsidRPr="00A71A48" w:rsidRDefault="00C22814" w:rsidP="00882B76">
            <w:pPr>
              <w:pStyle w:val="TableParagraph"/>
              <w:widowControl/>
              <w:rPr>
                <w:rFonts w:ascii="Times New Roman"/>
                <w:spacing w:val="-4"/>
              </w:rPr>
            </w:pPr>
          </w:p>
        </w:tc>
      </w:tr>
      <w:tr w:rsidR="00C22814" w:rsidRPr="00A71A48" w14:paraId="5770CC1B" w14:textId="77777777" w:rsidTr="00882B76">
        <w:tc>
          <w:tcPr>
            <w:tcW w:w="3917" w:type="pct"/>
          </w:tcPr>
          <w:p w14:paraId="6176CA5C" w14:textId="77777777" w:rsidR="00C22814" w:rsidRPr="00A71A48" w:rsidRDefault="008E1FBA" w:rsidP="00A71A48">
            <w:pPr>
              <w:pStyle w:val="TableParagraph"/>
              <w:keepNext/>
              <w:widowControl/>
              <w:ind w:left="3212"/>
              <w:rPr>
                <w:b/>
                <w:spacing w:val="-4"/>
                <w:sz w:val="24"/>
              </w:rPr>
            </w:pPr>
            <w:r w:rsidRPr="00A71A48">
              <w:rPr>
                <w:b/>
                <w:spacing w:val="-4"/>
                <w:sz w:val="24"/>
              </w:rPr>
              <w:lastRenderedPageBreak/>
              <w:t>Coût total pour les entreprises de construction (familiarisation année 1)</w:t>
            </w:r>
          </w:p>
        </w:tc>
        <w:tc>
          <w:tcPr>
            <w:tcW w:w="1083" w:type="pct"/>
          </w:tcPr>
          <w:p w14:paraId="253E05CA" w14:textId="77777777" w:rsidR="00C22814" w:rsidRPr="00A71A48" w:rsidRDefault="008E1FBA" w:rsidP="00A71A48">
            <w:pPr>
              <w:pStyle w:val="TableParagraph"/>
              <w:keepNext/>
              <w:widowControl/>
              <w:jc w:val="center"/>
              <w:rPr>
                <w:b/>
                <w:spacing w:val="-4"/>
                <w:sz w:val="24"/>
              </w:rPr>
            </w:pPr>
            <w:r w:rsidRPr="00A71A48">
              <w:rPr>
                <w:b/>
                <w:spacing w:val="-4"/>
                <w:sz w:val="24"/>
              </w:rPr>
              <w:t>= 7 850 GBP</w:t>
            </w:r>
          </w:p>
        </w:tc>
      </w:tr>
      <w:tr w:rsidR="00C22814" w:rsidRPr="00A71A48" w14:paraId="77D5B13A" w14:textId="77777777" w:rsidTr="00882B76">
        <w:tc>
          <w:tcPr>
            <w:tcW w:w="3917" w:type="pct"/>
          </w:tcPr>
          <w:p w14:paraId="1D530AB7" w14:textId="77777777" w:rsidR="00C22814" w:rsidRPr="00A71A48" w:rsidRDefault="008E1FBA" w:rsidP="00882B76">
            <w:pPr>
              <w:pStyle w:val="TableParagraph"/>
              <w:widowControl/>
              <w:rPr>
                <w:spacing w:val="-4"/>
                <w:sz w:val="24"/>
              </w:rPr>
            </w:pPr>
            <w:r w:rsidRPr="00A71A48">
              <w:rPr>
                <w:spacing w:val="-4"/>
                <w:sz w:val="24"/>
              </w:rPr>
              <w:t>Bulletin de construction trimestriel 2016-2017 d’Irlande du Nord (emplois pour les professions de la construction)</w:t>
            </w:r>
          </w:p>
          <w:p w14:paraId="15CEDF55"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Construction de bâtiments résidentiels = 4 841 salariés</w:t>
            </w:r>
          </w:p>
          <w:p w14:paraId="3C5A72FB"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Augmentation des nouvelles zones affectées par le radon en Irlande du </w:t>
            </w:r>
            <w:proofErr w:type="gramStart"/>
            <w:r w:rsidRPr="00A71A48">
              <w:rPr>
                <w:spacing w:val="-4"/>
                <w:sz w:val="24"/>
              </w:rPr>
              <w:t>Nord:</w:t>
            </w:r>
            <w:proofErr w:type="gramEnd"/>
            <w:r w:rsidRPr="00A71A48">
              <w:rPr>
                <w:spacing w:val="-4"/>
                <w:sz w:val="24"/>
              </w:rPr>
              <w:t xml:space="preserve"> 8,9 %</w:t>
            </w:r>
          </w:p>
          <w:p w14:paraId="74F9DC60"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Scénario </w:t>
            </w:r>
            <w:proofErr w:type="gramStart"/>
            <w:r w:rsidRPr="00A71A48">
              <w:rPr>
                <w:spacing w:val="-4"/>
                <w:sz w:val="24"/>
              </w:rPr>
              <w:t>contrefactuel:</w:t>
            </w:r>
            <w:proofErr w:type="gramEnd"/>
            <w:r w:rsidRPr="00A71A48">
              <w:rPr>
                <w:spacing w:val="-4"/>
                <w:sz w:val="24"/>
              </w:rPr>
              <w:t xml:space="preserve"> 30 % n’appliquant pas les bonnes pratiques</w:t>
            </w:r>
          </w:p>
          <w:p w14:paraId="30883CDF" w14:textId="77777777" w:rsidR="00AD470F"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Nouveaux employés sans expérience des anciennes ou nouvelles cartes du radon, chiffre prudent de 30 %</w:t>
            </w:r>
          </w:p>
          <w:p w14:paraId="7594035C" w14:textId="77777777" w:rsidR="00882B76" w:rsidRPr="00A71A48" w:rsidRDefault="00882B76" w:rsidP="00882B76">
            <w:pPr>
              <w:pStyle w:val="TableParagraph"/>
              <w:widowControl/>
              <w:ind w:left="332" w:hanging="270"/>
              <w:rPr>
                <w:spacing w:val="-4"/>
                <w:sz w:val="24"/>
              </w:rPr>
            </w:pPr>
          </w:p>
          <w:p w14:paraId="4A51E425" w14:textId="77777777" w:rsidR="00C22814" w:rsidRPr="00A71A48" w:rsidRDefault="008E1FBA" w:rsidP="00882B76">
            <w:pPr>
              <w:pStyle w:val="TableParagraph"/>
              <w:widowControl/>
              <w:jc w:val="right"/>
              <w:rPr>
                <w:spacing w:val="-4"/>
                <w:sz w:val="24"/>
              </w:rPr>
            </w:pPr>
            <w:proofErr w:type="gramStart"/>
            <w:r w:rsidRPr="00A71A48">
              <w:rPr>
                <w:spacing w:val="-4"/>
                <w:sz w:val="24"/>
              </w:rPr>
              <w:t>Soit:</w:t>
            </w:r>
            <w:proofErr w:type="gramEnd"/>
            <w:r w:rsidRPr="00A71A48">
              <w:rPr>
                <w:spacing w:val="-4"/>
                <w:sz w:val="24"/>
              </w:rPr>
              <w:t xml:space="preserve"> 4 841 x (0,09 x 0,3 x 0,3 %) = 39 petits entrepreneurs en Irlande du Nord</w:t>
            </w:r>
          </w:p>
          <w:p w14:paraId="42AA45DE" w14:textId="77777777" w:rsidR="00C22814" w:rsidRPr="00A71A48" w:rsidRDefault="008E1FBA" w:rsidP="00882B76">
            <w:pPr>
              <w:pStyle w:val="TableParagraph"/>
              <w:widowControl/>
              <w:jc w:val="right"/>
              <w:rPr>
                <w:spacing w:val="-4"/>
                <w:sz w:val="24"/>
              </w:rPr>
            </w:pPr>
            <w:r w:rsidRPr="00A71A48">
              <w:rPr>
                <w:spacing w:val="-4"/>
                <w:sz w:val="24"/>
              </w:rPr>
              <w:t>(</w:t>
            </w:r>
            <w:proofErr w:type="gramStart"/>
            <w:r w:rsidRPr="00A71A48">
              <w:rPr>
                <w:spacing w:val="-4"/>
                <w:sz w:val="24"/>
              </w:rPr>
              <w:t>nécessitent</w:t>
            </w:r>
            <w:proofErr w:type="gramEnd"/>
            <w:r w:rsidRPr="00A71A48">
              <w:rPr>
                <w:spacing w:val="-4"/>
                <w:sz w:val="24"/>
              </w:rPr>
              <w:t xml:space="preserve"> une mise à niveau et une formation)</w:t>
            </w:r>
          </w:p>
          <w:p w14:paraId="19473B1B" w14:textId="77777777" w:rsidR="00882B76" w:rsidRPr="00A71A48" w:rsidRDefault="00882B76" w:rsidP="00882B76">
            <w:pPr>
              <w:pStyle w:val="TableParagraph"/>
              <w:widowControl/>
              <w:jc w:val="right"/>
              <w:rPr>
                <w:spacing w:val="-4"/>
                <w:sz w:val="24"/>
              </w:rPr>
            </w:pPr>
          </w:p>
        </w:tc>
        <w:tc>
          <w:tcPr>
            <w:tcW w:w="1083" w:type="pct"/>
          </w:tcPr>
          <w:p w14:paraId="5CB32C09" w14:textId="77777777" w:rsidR="00882B76" w:rsidRPr="00A71A48" w:rsidRDefault="00882B76" w:rsidP="00882B76">
            <w:pPr>
              <w:pStyle w:val="TableParagraph"/>
              <w:widowControl/>
              <w:jc w:val="center"/>
              <w:rPr>
                <w:spacing w:val="-4"/>
                <w:sz w:val="24"/>
              </w:rPr>
            </w:pPr>
          </w:p>
          <w:p w14:paraId="60AD3C12" w14:textId="77777777" w:rsidR="00882B76" w:rsidRPr="00A71A48" w:rsidRDefault="00882B76" w:rsidP="00882B76">
            <w:pPr>
              <w:pStyle w:val="TableParagraph"/>
              <w:widowControl/>
              <w:jc w:val="center"/>
              <w:rPr>
                <w:spacing w:val="-4"/>
                <w:sz w:val="24"/>
              </w:rPr>
            </w:pPr>
          </w:p>
          <w:p w14:paraId="70E66078" w14:textId="77777777" w:rsidR="00882B76" w:rsidRPr="00A71A48" w:rsidRDefault="00882B76" w:rsidP="00882B76">
            <w:pPr>
              <w:pStyle w:val="TableParagraph"/>
              <w:widowControl/>
              <w:jc w:val="center"/>
              <w:rPr>
                <w:spacing w:val="-4"/>
                <w:sz w:val="24"/>
              </w:rPr>
            </w:pPr>
          </w:p>
          <w:p w14:paraId="510FC4F1" w14:textId="77777777" w:rsidR="00882B76" w:rsidRPr="00A71A48" w:rsidRDefault="00882B76" w:rsidP="00882B76">
            <w:pPr>
              <w:pStyle w:val="TableParagraph"/>
              <w:widowControl/>
              <w:jc w:val="center"/>
              <w:rPr>
                <w:spacing w:val="-4"/>
                <w:sz w:val="24"/>
              </w:rPr>
            </w:pPr>
          </w:p>
          <w:p w14:paraId="65033A60" w14:textId="77777777" w:rsidR="00882B76" w:rsidRPr="00A71A48" w:rsidRDefault="00882B76" w:rsidP="00882B76">
            <w:pPr>
              <w:pStyle w:val="TableParagraph"/>
              <w:widowControl/>
              <w:jc w:val="center"/>
              <w:rPr>
                <w:spacing w:val="-4"/>
                <w:sz w:val="24"/>
              </w:rPr>
            </w:pPr>
          </w:p>
          <w:p w14:paraId="47E35322" w14:textId="77777777" w:rsidR="00882B76" w:rsidRPr="00A71A48" w:rsidRDefault="00882B76" w:rsidP="00882B76">
            <w:pPr>
              <w:pStyle w:val="TableParagraph"/>
              <w:widowControl/>
              <w:jc w:val="center"/>
              <w:rPr>
                <w:spacing w:val="-4"/>
                <w:sz w:val="24"/>
              </w:rPr>
            </w:pPr>
          </w:p>
          <w:p w14:paraId="76F92C85" w14:textId="77777777" w:rsidR="00882B76" w:rsidRPr="00A71A48" w:rsidRDefault="00882B76" w:rsidP="00882B76">
            <w:pPr>
              <w:pStyle w:val="TableParagraph"/>
              <w:widowControl/>
              <w:jc w:val="center"/>
              <w:rPr>
                <w:spacing w:val="-4"/>
                <w:sz w:val="24"/>
              </w:rPr>
            </w:pPr>
          </w:p>
          <w:p w14:paraId="502DDD1B" w14:textId="77777777" w:rsidR="00882B76" w:rsidRPr="00A71A48" w:rsidRDefault="00882B76" w:rsidP="00882B76">
            <w:pPr>
              <w:pStyle w:val="TableParagraph"/>
              <w:widowControl/>
              <w:jc w:val="center"/>
              <w:rPr>
                <w:spacing w:val="-4"/>
                <w:sz w:val="24"/>
              </w:rPr>
            </w:pPr>
          </w:p>
          <w:p w14:paraId="0A883924" w14:textId="77777777" w:rsidR="00882B76" w:rsidRPr="00A71A48" w:rsidRDefault="00882B76" w:rsidP="00882B76">
            <w:pPr>
              <w:pStyle w:val="TableParagraph"/>
              <w:widowControl/>
              <w:jc w:val="center"/>
              <w:rPr>
                <w:spacing w:val="-4"/>
                <w:sz w:val="24"/>
              </w:rPr>
            </w:pPr>
          </w:p>
          <w:p w14:paraId="2704D5DF" w14:textId="77777777" w:rsidR="00C22814" w:rsidRPr="00A71A48" w:rsidRDefault="008E1FBA" w:rsidP="00882B76">
            <w:pPr>
              <w:pStyle w:val="TableParagraph"/>
              <w:widowControl/>
              <w:jc w:val="center"/>
              <w:rPr>
                <w:spacing w:val="-4"/>
                <w:sz w:val="24"/>
              </w:rPr>
            </w:pPr>
            <w:r w:rsidRPr="00A71A48">
              <w:rPr>
                <w:spacing w:val="-4"/>
                <w:sz w:val="24"/>
              </w:rPr>
              <w:t>= 39</w:t>
            </w:r>
          </w:p>
          <w:p w14:paraId="7F8DA3E6" w14:textId="77777777" w:rsidR="00882B76" w:rsidRPr="00A71A48" w:rsidRDefault="00882B76" w:rsidP="00882B76">
            <w:pPr>
              <w:pStyle w:val="TableParagraph"/>
              <w:widowControl/>
              <w:jc w:val="center"/>
              <w:rPr>
                <w:spacing w:val="-4"/>
                <w:sz w:val="24"/>
              </w:rPr>
            </w:pPr>
          </w:p>
        </w:tc>
      </w:tr>
      <w:tr w:rsidR="00C22814" w:rsidRPr="00A71A48" w14:paraId="16DFEAD3" w14:textId="77777777" w:rsidTr="00882B76">
        <w:tc>
          <w:tcPr>
            <w:tcW w:w="3917" w:type="pct"/>
          </w:tcPr>
          <w:p w14:paraId="5BFCF5E1" w14:textId="77777777" w:rsidR="00C22814" w:rsidRPr="00A71A48" w:rsidRDefault="008E1FBA" w:rsidP="00882B76">
            <w:pPr>
              <w:pStyle w:val="TableParagraph"/>
              <w:widowControl/>
              <w:rPr>
                <w:spacing w:val="-4"/>
                <w:sz w:val="24"/>
              </w:rPr>
            </w:pPr>
            <w:r w:rsidRPr="00A71A48">
              <w:rPr>
                <w:spacing w:val="-4"/>
                <w:sz w:val="24"/>
              </w:rPr>
              <w:t>La modélisation de l’EI anglaise de 2013 supposait un coût direct de formation de</w:t>
            </w:r>
          </w:p>
          <w:p w14:paraId="1271A3AA" w14:textId="77777777" w:rsidR="00AD470F" w:rsidRPr="00A71A48" w:rsidRDefault="008E1FBA" w:rsidP="00882B76">
            <w:pPr>
              <w:pStyle w:val="TableParagraph"/>
              <w:widowControl/>
              <w:rPr>
                <w:spacing w:val="-4"/>
                <w:sz w:val="24"/>
              </w:rPr>
            </w:pPr>
            <w:r w:rsidRPr="00A71A48">
              <w:rPr>
                <w:spacing w:val="-4"/>
                <w:sz w:val="24"/>
              </w:rPr>
              <w:t>225 GBP et une perte de revenu de 8 heures sur la base d’un taux horaire pondéré.</w:t>
            </w:r>
          </w:p>
          <w:p w14:paraId="2CA06BF4" w14:textId="77777777" w:rsidR="00882B76" w:rsidRPr="00A71A48" w:rsidRDefault="00882B76" w:rsidP="00882B76">
            <w:pPr>
              <w:pStyle w:val="TableParagraph"/>
              <w:widowControl/>
              <w:rPr>
                <w:spacing w:val="-4"/>
                <w:sz w:val="24"/>
              </w:rPr>
            </w:pPr>
          </w:p>
          <w:p w14:paraId="215A3626" w14:textId="77777777" w:rsidR="00C22814" w:rsidRPr="00A71A48" w:rsidRDefault="008E1FBA" w:rsidP="00882B76">
            <w:pPr>
              <w:pStyle w:val="TableParagraph"/>
              <w:widowControl/>
              <w:rPr>
                <w:spacing w:val="-4"/>
                <w:sz w:val="24"/>
              </w:rPr>
            </w:pPr>
            <w:r w:rsidRPr="00A71A48">
              <w:rPr>
                <w:spacing w:val="-4"/>
                <w:sz w:val="24"/>
              </w:rPr>
              <w:t xml:space="preserve">Réplication de la modélisation EI anglaise </w:t>
            </w:r>
            <w:proofErr w:type="gramStart"/>
            <w:r w:rsidRPr="00A71A48">
              <w:rPr>
                <w:spacing w:val="-4"/>
                <w:sz w:val="24"/>
              </w:rPr>
              <w:t>2013;</w:t>
            </w:r>
            <w:proofErr w:type="gramEnd"/>
          </w:p>
          <w:p w14:paraId="1CDC26B9"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Petits entrepreneurs résidentiels concernés en Irlande du </w:t>
            </w:r>
            <w:proofErr w:type="gramStart"/>
            <w:r w:rsidRPr="00A71A48">
              <w:rPr>
                <w:spacing w:val="-4"/>
                <w:sz w:val="24"/>
              </w:rPr>
              <w:t>Nord:</w:t>
            </w:r>
            <w:proofErr w:type="gramEnd"/>
            <w:r w:rsidRPr="00A71A48">
              <w:rPr>
                <w:spacing w:val="-4"/>
                <w:sz w:val="24"/>
              </w:rPr>
              <w:t xml:space="preserve"> 39</w:t>
            </w:r>
          </w:p>
          <w:p w14:paraId="44C655A8"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Salaire horaire pondéré pour un constructeur </w:t>
            </w:r>
            <w:proofErr w:type="gramStart"/>
            <w:r w:rsidRPr="00A71A48">
              <w:rPr>
                <w:spacing w:val="-4"/>
                <w:sz w:val="24"/>
              </w:rPr>
              <w:t>résidentiel:</w:t>
            </w:r>
            <w:proofErr w:type="gramEnd"/>
            <w:r w:rsidRPr="00A71A48">
              <w:rPr>
                <w:spacing w:val="-4"/>
                <w:sz w:val="24"/>
              </w:rPr>
              <w:t xml:space="preserve"> 18,46 GBP</w:t>
            </w:r>
          </w:p>
          <w:p w14:paraId="07D0EEB1" w14:textId="77777777" w:rsidR="00C22814"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Perte de </w:t>
            </w:r>
            <w:proofErr w:type="gramStart"/>
            <w:r w:rsidRPr="00A71A48">
              <w:rPr>
                <w:spacing w:val="-4"/>
                <w:sz w:val="24"/>
              </w:rPr>
              <w:t>revenus:</w:t>
            </w:r>
            <w:proofErr w:type="gramEnd"/>
            <w:r w:rsidRPr="00A71A48">
              <w:rPr>
                <w:spacing w:val="-4"/>
                <w:sz w:val="24"/>
              </w:rPr>
              <w:t xml:space="preserve"> 8 heures de formation</w:t>
            </w:r>
          </w:p>
          <w:p w14:paraId="7561BBE9" w14:textId="77777777" w:rsidR="00AD470F" w:rsidRPr="00A71A48" w:rsidRDefault="00882B76" w:rsidP="00882B76">
            <w:pPr>
              <w:pStyle w:val="TableParagraph"/>
              <w:widowControl/>
              <w:ind w:left="332" w:hanging="270"/>
              <w:rPr>
                <w:spacing w:val="-4"/>
                <w:sz w:val="24"/>
              </w:rPr>
            </w:pPr>
            <w:r w:rsidRPr="00A71A48">
              <w:rPr>
                <w:spacing w:val="-4"/>
                <w:sz w:val="24"/>
              </w:rPr>
              <w:t>-</w:t>
            </w:r>
            <w:r w:rsidRPr="00A71A48">
              <w:rPr>
                <w:spacing w:val="-4"/>
                <w:sz w:val="24"/>
              </w:rPr>
              <w:tab/>
              <w:t xml:space="preserve">Coût de la </w:t>
            </w:r>
            <w:proofErr w:type="gramStart"/>
            <w:r w:rsidRPr="00A71A48">
              <w:rPr>
                <w:spacing w:val="-4"/>
                <w:sz w:val="24"/>
              </w:rPr>
              <w:t>formation:</w:t>
            </w:r>
            <w:proofErr w:type="gramEnd"/>
            <w:r w:rsidRPr="00A71A48">
              <w:rPr>
                <w:spacing w:val="-4"/>
                <w:sz w:val="24"/>
              </w:rPr>
              <w:t xml:space="preserve"> 225 GBP</w:t>
            </w:r>
          </w:p>
          <w:p w14:paraId="4172E204" w14:textId="77777777" w:rsidR="00882B76" w:rsidRPr="00A71A48" w:rsidRDefault="00882B76" w:rsidP="00882B76">
            <w:pPr>
              <w:pStyle w:val="TableParagraph"/>
              <w:widowControl/>
              <w:numPr>
                <w:ilvl w:val="0"/>
                <w:numId w:val="3"/>
              </w:numPr>
              <w:tabs>
                <w:tab w:val="left" w:pos="527"/>
                <w:tab w:val="left" w:pos="528"/>
              </w:tabs>
              <w:ind w:left="0" w:hanging="361"/>
              <w:rPr>
                <w:spacing w:val="-4"/>
                <w:sz w:val="24"/>
              </w:rPr>
            </w:pPr>
          </w:p>
          <w:p w14:paraId="6F557D68" w14:textId="77777777" w:rsidR="00882B76" w:rsidRPr="00A71A48" w:rsidRDefault="008E1FBA" w:rsidP="00882B76">
            <w:pPr>
              <w:pStyle w:val="TableParagraph"/>
              <w:widowControl/>
              <w:ind w:left="422" w:hanging="450"/>
              <w:rPr>
                <w:spacing w:val="-4"/>
                <w:sz w:val="24"/>
              </w:rPr>
            </w:pPr>
            <w:proofErr w:type="gramStart"/>
            <w:r w:rsidRPr="00A71A48">
              <w:rPr>
                <w:spacing w:val="-4"/>
                <w:sz w:val="24"/>
              </w:rPr>
              <w:t>Soit:</w:t>
            </w:r>
            <w:proofErr w:type="gramEnd"/>
            <w:r w:rsidRPr="00A71A48">
              <w:rPr>
                <w:spacing w:val="-4"/>
                <w:sz w:val="24"/>
              </w:rPr>
              <w:t xml:space="preserve"> (18,46 x 8) + 225 = 373 GBP </w:t>
            </w:r>
          </w:p>
          <w:p w14:paraId="3DB8E356" w14:textId="5976226B" w:rsidR="00C22814" w:rsidRPr="00A71A48" w:rsidRDefault="008E1FBA" w:rsidP="00E124BF">
            <w:pPr>
              <w:pStyle w:val="TableParagraph"/>
              <w:widowControl/>
              <w:ind w:left="422"/>
              <w:rPr>
                <w:spacing w:val="-4"/>
                <w:sz w:val="24"/>
              </w:rPr>
            </w:pPr>
            <w:r w:rsidRPr="00A71A48">
              <w:rPr>
                <w:spacing w:val="-4"/>
                <w:sz w:val="24"/>
              </w:rPr>
              <w:t>39 x</w:t>
            </w:r>
            <w:r w:rsidR="00A04A72" w:rsidRPr="00A71A48">
              <w:rPr>
                <w:spacing w:val="-4"/>
                <w:sz w:val="24"/>
              </w:rPr>
              <w:t> </w:t>
            </w:r>
            <w:r w:rsidRPr="00A71A48">
              <w:rPr>
                <w:spacing w:val="-4"/>
                <w:sz w:val="24"/>
              </w:rPr>
              <w:t>373 = 14 547 GBP</w:t>
            </w:r>
          </w:p>
        </w:tc>
        <w:tc>
          <w:tcPr>
            <w:tcW w:w="1083" w:type="pct"/>
          </w:tcPr>
          <w:p w14:paraId="78F62B16" w14:textId="77777777" w:rsidR="00C22814" w:rsidRPr="00A71A48" w:rsidRDefault="00C22814" w:rsidP="00882B76">
            <w:pPr>
              <w:pStyle w:val="TableParagraph"/>
              <w:widowControl/>
              <w:rPr>
                <w:rFonts w:ascii="Times New Roman"/>
                <w:spacing w:val="-4"/>
              </w:rPr>
            </w:pPr>
          </w:p>
        </w:tc>
      </w:tr>
      <w:tr w:rsidR="00C22814" w:rsidRPr="00A71A48" w14:paraId="36912658" w14:textId="77777777" w:rsidTr="00882B76">
        <w:tc>
          <w:tcPr>
            <w:tcW w:w="3917" w:type="pct"/>
          </w:tcPr>
          <w:p w14:paraId="27404FA2" w14:textId="77777777" w:rsidR="00C22814" w:rsidRPr="00A71A48" w:rsidRDefault="008E1FBA" w:rsidP="00E124BF">
            <w:pPr>
              <w:pStyle w:val="TableParagraph"/>
              <w:widowControl/>
              <w:ind w:left="2852"/>
              <w:rPr>
                <w:b/>
                <w:spacing w:val="-4"/>
                <w:sz w:val="24"/>
              </w:rPr>
            </w:pPr>
            <w:r w:rsidRPr="00A71A48">
              <w:rPr>
                <w:b/>
                <w:spacing w:val="-4"/>
                <w:sz w:val="24"/>
              </w:rPr>
              <w:t>Coût total de formation des petits entrepreneurs (familiarisation année 1)</w:t>
            </w:r>
          </w:p>
        </w:tc>
        <w:tc>
          <w:tcPr>
            <w:tcW w:w="1083" w:type="pct"/>
          </w:tcPr>
          <w:p w14:paraId="693BCF6B" w14:textId="77777777" w:rsidR="00C22814" w:rsidRPr="00A71A48" w:rsidRDefault="008E1FBA" w:rsidP="00882B76">
            <w:pPr>
              <w:pStyle w:val="TableParagraph"/>
              <w:widowControl/>
              <w:jc w:val="center"/>
              <w:rPr>
                <w:b/>
                <w:spacing w:val="-4"/>
                <w:sz w:val="24"/>
              </w:rPr>
            </w:pPr>
            <w:r w:rsidRPr="00A71A48">
              <w:rPr>
                <w:b/>
                <w:spacing w:val="-4"/>
                <w:sz w:val="24"/>
              </w:rPr>
              <w:t>= 14 550 GBP</w:t>
            </w:r>
          </w:p>
        </w:tc>
      </w:tr>
    </w:tbl>
    <w:p w14:paraId="7978DC13" w14:textId="77777777" w:rsidR="00AD470F" w:rsidRPr="0002712A" w:rsidRDefault="008E1FBA" w:rsidP="003F4974">
      <w:pPr>
        <w:pStyle w:val="Heading4"/>
        <w:keepNext/>
        <w:keepLines/>
        <w:widowControl/>
        <w:spacing w:before="240" w:after="240"/>
        <w:ind w:left="0"/>
      </w:pPr>
      <w:r>
        <w:t>OPTION </w:t>
      </w:r>
      <w:proofErr w:type="gramStart"/>
      <w:r>
        <w:t>2:</w:t>
      </w:r>
      <w:proofErr w:type="gramEnd"/>
      <w:r>
        <w:t xml:space="preserve"> Mesures de protection dans les nouvelles maisons ciblées</w:t>
      </w:r>
    </w:p>
    <w:p w14:paraId="2C9FCA80" w14:textId="77777777" w:rsidR="00C22814" w:rsidRPr="0002712A" w:rsidRDefault="008E1FBA" w:rsidP="00F4320E">
      <w:pPr>
        <w:pStyle w:val="BodyText"/>
        <w:widowControl/>
        <w:spacing w:before="120" w:after="120"/>
        <w:ind w:left="567" w:hanging="567"/>
      </w:pPr>
      <w:r>
        <w:t>C19.</w:t>
      </w:r>
      <w:r>
        <w:tab/>
        <w:t>L’EI anglaise de 2013 concernait les logements considérés à la fois comme des nouvelles maisons et des nouveaux appartements (affectés au niveau du sol), tandis que les chiffres de construction de nouveaux appartements en 2012 en Angleterre ont continué d’augmenter à 38 % des logements achevés, une tendance constante au cours de leur période de projection de 10 ans. En revanche, le développement de logements neufs en Irlande du Nord représente plus de 90 % de la construction résidentielle, et de la même manière, les stocks de logements existants en Irlande du Nord diminuent avec un programme continu de conversion d’appartements et de maisonnettes en parc de logements. La conception de blocs urbains plats d’appartements suggérerait également que les installations situées au rez-de-chaussée sont généralement d’utilisation commune (parking/caves) ou une location commerciale. Sur cette base, les coûts proposés pour les nouvelles propriétés affectées en Irlande du Nord sont limités aux habitations construites.</w:t>
      </w:r>
    </w:p>
    <w:p w14:paraId="0928653F" w14:textId="77777777" w:rsidR="00AD470F" w:rsidRPr="0002712A" w:rsidRDefault="008E1FBA" w:rsidP="00A71A48">
      <w:pPr>
        <w:pStyle w:val="BodyText"/>
        <w:keepLines/>
        <w:widowControl/>
        <w:spacing w:before="120" w:after="120"/>
        <w:ind w:left="567" w:hanging="567"/>
      </w:pPr>
      <w:r>
        <w:lastRenderedPageBreak/>
        <w:t>C20.</w:t>
      </w:r>
      <w:r>
        <w:tab/>
        <w:t xml:space="preserve">Les estimations du coût supplémentaire de mesures de base contre le radon pour les maisons neuves (c’est à dire au-delà du coût d’installation d’une membrane classique étanche à l’humidité) varient en fonction de la taille, du type et de la construction proposée du bâtiment. La modélisation de l’EI anglaise de 2013 a établi les divers éléments de protection contre le radon pertinents pour la présente évaluation, ainsi que le coût total de protection contre le radon «de base et </w:t>
      </w:r>
      <w:proofErr w:type="gramStart"/>
      <w:r>
        <w:t>complète»</w:t>
      </w:r>
      <w:proofErr w:type="gramEnd"/>
      <w:r>
        <w:t xml:space="preserve"> dans divers types de propriétés. Le ministère a examiné les coûts unitaires des habitations et a calculé en moyenne l’estimation des coûts des mesures de protection contre le radon «de </w:t>
      </w:r>
      <w:proofErr w:type="gramStart"/>
      <w:r>
        <w:t>base»</w:t>
      </w:r>
      <w:proofErr w:type="gramEnd"/>
      <w:r>
        <w:t xml:space="preserve"> (zone 1) à hauteur de 400 GBP, et ceux des mesures de protection contre le radon «complètes» (zone 2) à hauteur 500 GBP (coût supplémentaire dû à l’installation du puisard).</w:t>
      </w:r>
    </w:p>
    <w:p w14:paraId="6DC0E612" w14:textId="77777777" w:rsidR="00AD470F" w:rsidRPr="00A71A48" w:rsidRDefault="008E1FBA" w:rsidP="00F4320E">
      <w:pPr>
        <w:pStyle w:val="BodyText"/>
        <w:widowControl/>
        <w:spacing w:before="120" w:after="120"/>
        <w:ind w:left="567" w:hanging="567"/>
        <w:rPr>
          <w:spacing w:val="-4"/>
        </w:rPr>
      </w:pPr>
      <w:r w:rsidRPr="00A71A48">
        <w:rPr>
          <w:spacing w:val="-4"/>
        </w:rPr>
        <w:t>C21.</w:t>
      </w:r>
      <w:r w:rsidRPr="00A71A48">
        <w:rPr>
          <w:spacing w:val="-4"/>
        </w:rPr>
        <w:tab/>
        <w:t>Le nombre de nouvelles maisons supposées être construites en présentant des mesures de protection contre le radon a été estimé à partir du nombre d’achèvements de maisons neuves en 2018</w:t>
      </w:r>
      <w:r w:rsidR="00C27FB9" w:rsidRPr="00A71A48">
        <w:rPr>
          <w:rStyle w:val="FootnoteReference"/>
          <w:spacing w:val="-4"/>
        </w:rPr>
        <w:footnoteReference w:id="8"/>
      </w:r>
      <w:r w:rsidRPr="00A71A48">
        <w:rPr>
          <w:spacing w:val="-4"/>
        </w:rPr>
        <w:t xml:space="preserve"> (qui s’élève à près de 6 900 nouvelles habitations). Ceci suggère que 610 maisons supplémentaires auraient dû être construites en 2018 avec des mesures de protection contre le radon à la suite des changements de carte en 2015. Ceci était basé sur une analyse approximative des nouvelles maisons provenant du District Council Building Control et de la proportion estimée dans les zones affectées par le radon. Cependant, en supposant un scénario contrefactuel selon lequel les bonnes pratiques de l’industrie de la construction constitueraient en l’accomplissement de 70 %</w:t>
      </w:r>
      <w:r w:rsidR="00C27FB9" w:rsidRPr="00A71A48">
        <w:rPr>
          <w:rStyle w:val="FootnoteReference"/>
          <w:spacing w:val="-4"/>
        </w:rPr>
        <w:footnoteReference w:id="9"/>
      </w:r>
      <w:r w:rsidRPr="00A71A48">
        <w:rPr>
          <w:spacing w:val="-4"/>
        </w:rPr>
        <w:t xml:space="preserve"> de cet objectif, le ministère a calculé les coûts de réglementation comme l’augmentation incrémentielle des coûts qui se produirait en cas de modification des</w:t>
      </w:r>
      <w:proofErr w:type="gramStart"/>
      <w:r w:rsidRPr="00A71A48">
        <w:rPr>
          <w:spacing w:val="-4"/>
        </w:rPr>
        <w:t xml:space="preserve"> «zones</w:t>
      </w:r>
      <w:proofErr w:type="gramEnd"/>
      <w:r w:rsidRPr="00A71A48">
        <w:rPr>
          <w:spacing w:val="-4"/>
        </w:rPr>
        <w:t xml:space="preserve"> affectées par le radon» suite à la mise à jour du livret technique C, pour s’assurer que le reste (jusqu’à 30 %) présente des mesures de protection appropriées. Ceci a conduit à un nombre estimé de nouvelles maisons ciblées à construire dans les zones affectées par le radon à hauteur de 184 en 2018, selon la modélisation des prévisions sur un an</w:t>
      </w:r>
      <w:r w:rsidR="00C27FB9" w:rsidRPr="00A71A48">
        <w:rPr>
          <w:rStyle w:val="FootnoteReference"/>
          <w:spacing w:val="-4"/>
        </w:rPr>
        <w:footnoteReference w:id="10"/>
      </w:r>
      <w:r w:rsidRPr="00A71A48">
        <w:rPr>
          <w:spacing w:val="-4"/>
        </w:rPr>
        <w:t>.</w:t>
      </w:r>
    </w:p>
    <w:p w14:paraId="1C47259F" w14:textId="77777777" w:rsidR="00AD470F" w:rsidRPr="00A71A48" w:rsidRDefault="008E1FBA" w:rsidP="00F4320E">
      <w:pPr>
        <w:pStyle w:val="BodyText"/>
        <w:widowControl/>
        <w:spacing w:before="120" w:after="120"/>
        <w:ind w:left="567" w:hanging="567"/>
        <w:rPr>
          <w:spacing w:val="-4"/>
        </w:rPr>
      </w:pPr>
      <w:r w:rsidRPr="00A71A48">
        <w:rPr>
          <w:spacing w:val="-4"/>
          <w:sz w:val="23"/>
        </w:rPr>
        <w:t>C22.</w:t>
      </w:r>
      <w:r w:rsidRPr="00A71A48">
        <w:rPr>
          <w:spacing w:val="-4"/>
          <w:sz w:val="23"/>
        </w:rPr>
        <w:tab/>
      </w:r>
      <w:r w:rsidRPr="00A71A48">
        <w:rPr>
          <w:spacing w:val="-4"/>
        </w:rPr>
        <w:t xml:space="preserve">En comparant les cartes supplémentaires des risques liés au radon avec les prévisions immobilières, les données prédictives de PHE des zones à risque de radon en Irlande du Nord en 2015 suggèrent que 90 % des nouvelles maisons concernées nécessiteront des mesures de protection «de </w:t>
      </w:r>
      <w:proofErr w:type="gramStart"/>
      <w:r w:rsidRPr="00A71A48">
        <w:rPr>
          <w:spacing w:val="-4"/>
        </w:rPr>
        <w:t>base»</w:t>
      </w:r>
      <w:proofErr w:type="gramEnd"/>
      <w:r w:rsidRPr="00A71A48">
        <w:rPr>
          <w:spacing w:val="-4"/>
        </w:rPr>
        <w:t xml:space="preserve"> et 10 % nécessiteront des mesures «complètes» conformément aux directives du document BR211 de 2015. Les calculs ont également considéré que 23 % des constructions neuves en Irlande du Nord seraient des constructions à ossature bois</w:t>
      </w:r>
      <w:r w:rsidR="00C27FB9" w:rsidRPr="00A71A48">
        <w:rPr>
          <w:rStyle w:val="FootnoteReference"/>
          <w:spacing w:val="-4"/>
        </w:rPr>
        <w:footnoteReference w:id="11"/>
      </w:r>
      <w:r w:rsidRPr="00A71A48">
        <w:rPr>
          <w:spacing w:val="-4"/>
        </w:rPr>
        <w:t>.</w:t>
      </w:r>
    </w:p>
    <w:p w14:paraId="707AF995" w14:textId="128292FB" w:rsidR="00C22814" w:rsidRPr="0002712A" w:rsidRDefault="008E1FBA" w:rsidP="00F4320E">
      <w:pPr>
        <w:pStyle w:val="BodyText"/>
        <w:widowControl/>
        <w:spacing w:before="120" w:after="120"/>
        <w:ind w:left="567"/>
      </w:pPr>
      <w:r>
        <w:t xml:space="preserve">Une structure typique au niveau du sol à ossature bois impliquerait l’ajout de linteaux en continu, combiné à un </w:t>
      </w:r>
      <w:proofErr w:type="spellStart"/>
      <w:r>
        <w:t>dpm</w:t>
      </w:r>
      <w:proofErr w:type="spellEnd"/>
      <w:r>
        <w:t xml:space="preserve"> de calibre</w:t>
      </w:r>
      <w:r w:rsidR="00A04A72">
        <w:t> </w:t>
      </w:r>
      <w:r>
        <w:t xml:space="preserve">1 200 avec des joints rodés/scellés, ce qui équivaut en fait à des mesures de protection «de </w:t>
      </w:r>
      <w:proofErr w:type="gramStart"/>
      <w:r>
        <w:t>base»</w:t>
      </w:r>
      <w:proofErr w:type="gramEnd"/>
      <w:r>
        <w:t xml:space="preserve"> contre le radon selon BR211. Ainsi, sur les 166 maisons ciblées par les mesures «de </w:t>
      </w:r>
      <w:proofErr w:type="gramStart"/>
      <w:r>
        <w:t>base»</w:t>
      </w:r>
      <w:proofErr w:type="gramEnd"/>
      <w:r>
        <w:t>, 38 devraient être de construction à ossature bois et déjà inclure des matériaux de barrière de protection équivalents, réduisant par la suite les coûts des mesures de radon «de base» à 100 GBP (pour la main-d’œuvre supplémentaire).</w:t>
      </w:r>
    </w:p>
    <w:p w14:paraId="38C5CB81" w14:textId="77777777" w:rsidR="00AD470F" w:rsidRPr="0002712A" w:rsidRDefault="008E1FBA" w:rsidP="007F11E3">
      <w:pPr>
        <w:pStyle w:val="Heading4"/>
        <w:keepNext/>
        <w:keepLines/>
        <w:widowControl/>
        <w:spacing w:before="240" w:after="240"/>
        <w:ind w:left="0"/>
        <w:jc w:val="center"/>
      </w:pPr>
      <w:r>
        <w:lastRenderedPageBreak/>
        <w:t>Analyse des coûts des maisons neuves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7332"/>
        <w:gridCol w:w="2292"/>
      </w:tblGrid>
      <w:tr w:rsidR="00C22814" w:rsidRPr="00A71A48" w14:paraId="4408A824" w14:textId="77777777" w:rsidTr="00152CD4">
        <w:tc>
          <w:tcPr>
            <w:tcW w:w="3809" w:type="pct"/>
          </w:tcPr>
          <w:p w14:paraId="171CEFCE" w14:textId="77777777" w:rsidR="00C22814" w:rsidRPr="00A71A48" w:rsidRDefault="008E1FBA" w:rsidP="007F11E3">
            <w:pPr>
              <w:pStyle w:val="TableParagraph"/>
              <w:keepNext/>
              <w:keepLines/>
              <w:widowControl/>
              <w:rPr>
                <w:b/>
                <w:spacing w:val="-4"/>
                <w:sz w:val="24"/>
              </w:rPr>
            </w:pPr>
            <w:r w:rsidRPr="00A71A48">
              <w:rPr>
                <w:b/>
                <w:spacing w:val="-4"/>
                <w:sz w:val="24"/>
              </w:rPr>
              <w:t>Maisons neuves concernées</w:t>
            </w:r>
          </w:p>
        </w:tc>
        <w:tc>
          <w:tcPr>
            <w:tcW w:w="1191" w:type="pct"/>
          </w:tcPr>
          <w:p w14:paraId="4C286071" w14:textId="77777777" w:rsidR="00C22814" w:rsidRPr="00A71A48" w:rsidRDefault="00C22814" w:rsidP="007F11E3">
            <w:pPr>
              <w:pStyle w:val="TableParagraph"/>
              <w:keepNext/>
              <w:keepLines/>
              <w:widowControl/>
              <w:jc w:val="center"/>
              <w:rPr>
                <w:rFonts w:ascii="Times New Roman"/>
                <w:spacing w:val="-4"/>
                <w:sz w:val="20"/>
              </w:rPr>
            </w:pPr>
          </w:p>
        </w:tc>
      </w:tr>
      <w:tr w:rsidR="00C22814" w:rsidRPr="00A71A48" w14:paraId="53918326" w14:textId="77777777" w:rsidTr="00152CD4">
        <w:tc>
          <w:tcPr>
            <w:tcW w:w="3809" w:type="pct"/>
          </w:tcPr>
          <w:p w14:paraId="1B2745CC" w14:textId="77777777" w:rsidR="00C22814" w:rsidRPr="00A71A48" w:rsidRDefault="008E1FBA" w:rsidP="007F11E3">
            <w:pPr>
              <w:pStyle w:val="TableParagraph"/>
              <w:widowControl/>
              <w:rPr>
                <w:spacing w:val="-4"/>
                <w:sz w:val="24"/>
              </w:rPr>
            </w:pPr>
            <w:r w:rsidRPr="00A71A48">
              <w:rPr>
                <w:spacing w:val="-4"/>
                <w:sz w:val="24"/>
              </w:rPr>
              <w:t>Achèvement des nouvelles constructions en Irlande du Nord en 2018 (Building Control Stats), équivalant à 90 % des achèvements de logements</w:t>
            </w:r>
          </w:p>
          <w:p w14:paraId="4CAD58FB" w14:textId="77777777" w:rsidR="007F11E3" w:rsidRPr="00A71A48" w:rsidRDefault="007F11E3" w:rsidP="007F11E3">
            <w:pPr>
              <w:pStyle w:val="TableParagraph"/>
              <w:widowControl/>
              <w:rPr>
                <w:spacing w:val="-4"/>
                <w:sz w:val="24"/>
              </w:rPr>
            </w:pPr>
          </w:p>
        </w:tc>
        <w:tc>
          <w:tcPr>
            <w:tcW w:w="1191" w:type="pct"/>
          </w:tcPr>
          <w:p w14:paraId="313B8607" w14:textId="77777777" w:rsidR="00C22814" w:rsidRPr="00A71A48" w:rsidRDefault="008E1FBA" w:rsidP="007F11E3">
            <w:pPr>
              <w:pStyle w:val="TableParagraph"/>
              <w:widowControl/>
              <w:jc w:val="center"/>
              <w:rPr>
                <w:spacing w:val="-4"/>
                <w:sz w:val="24"/>
              </w:rPr>
            </w:pPr>
            <w:r w:rsidRPr="00A71A48">
              <w:rPr>
                <w:spacing w:val="-4"/>
                <w:sz w:val="24"/>
              </w:rPr>
              <w:t>6 886</w:t>
            </w:r>
          </w:p>
        </w:tc>
      </w:tr>
      <w:tr w:rsidR="00C22814" w:rsidRPr="00A71A48" w14:paraId="277AF622" w14:textId="77777777" w:rsidTr="00152CD4">
        <w:tc>
          <w:tcPr>
            <w:tcW w:w="3809" w:type="pct"/>
          </w:tcPr>
          <w:p w14:paraId="10612306" w14:textId="50BE5584" w:rsidR="007F11E3" w:rsidRPr="00A71A48" w:rsidRDefault="008E1FBA" w:rsidP="007F11E3">
            <w:pPr>
              <w:pStyle w:val="TableParagraph"/>
              <w:widowControl/>
              <w:rPr>
                <w:spacing w:val="-4"/>
                <w:sz w:val="24"/>
              </w:rPr>
            </w:pPr>
            <w:r w:rsidRPr="00A71A48">
              <w:rPr>
                <w:spacing w:val="-4"/>
                <w:sz w:val="24"/>
              </w:rPr>
              <w:t>Différence d’utilisation de la carte</w:t>
            </w:r>
            <w:r w:rsidR="00A04A72" w:rsidRPr="00A71A48">
              <w:rPr>
                <w:spacing w:val="-4"/>
                <w:sz w:val="24"/>
              </w:rPr>
              <w:t> </w:t>
            </w:r>
            <w:r w:rsidRPr="00A71A48">
              <w:rPr>
                <w:spacing w:val="-4"/>
                <w:sz w:val="24"/>
              </w:rPr>
              <w:t xml:space="preserve">2015 vs 2009 en % </w:t>
            </w:r>
          </w:p>
          <w:p w14:paraId="798944F7" w14:textId="77777777" w:rsidR="00C22814" w:rsidRPr="00A71A48" w:rsidRDefault="008E1FBA" w:rsidP="007F11E3">
            <w:pPr>
              <w:pStyle w:val="TableParagraph"/>
              <w:widowControl/>
              <w:rPr>
                <w:spacing w:val="-4"/>
                <w:sz w:val="24"/>
              </w:rPr>
            </w:pPr>
            <w:r w:rsidRPr="00A71A48">
              <w:rPr>
                <w:spacing w:val="-4"/>
                <w:sz w:val="24"/>
              </w:rPr>
              <w:t>6 886 nouvelles maisons à 20,0 % = 1 377 maisons</w:t>
            </w:r>
          </w:p>
          <w:p w14:paraId="2227A2E1" w14:textId="77777777" w:rsidR="00C22814" w:rsidRPr="00A71A48" w:rsidRDefault="008E1FBA" w:rsidP="007F11E3">
            <w:pPr>
              <w:pStyle w:val="TableParagraph"/>
              <w:widowControl/>
              <w:rPr>
                <w:spacing w:val="-4"/>
                <w:sz w:val="24"/>
              </w:rPr>
            </w:pPr>
            <w:r w:rsidRPr="00A71A48">
              <w:rPr>
                <w:spacing w:val="-4"/>
                <w:sz w:val="24"/>
              </w:rPr>
              <w:t>6 886 nouvelles maisons à 11,1 % = 765 maisons</w:t>
            </w:r>
          </w:p>
          <w:p w14:paraId="65A061FC" w14:textId="77777777" w:rsidR="00C22814" w:rsidRPr="00A71A48" w:rsidRDefault="008E1FBA" w:rsidP="007F11E3">
            <w:pPr>
              <w:pStyle w:val="TableParagraph"/>
              <w:widowControl/>
              <w:ind w:left="1947"/>
              <w:rPr>
                <w:spacing w:val="-4"/>
                <w:sz w:val="24"/>
              </w:rPr>
            </w:pPr>
            <w:r w:rsidRPr="00A71A48">
              <w:rPr>
                <w:spacing w:val="-4"/>
                <w:sz w:val="24"/>
              </w:rPr>
              <w:t>Différence = 612 nouvelles maisons supplémentaires nécessitant des mesures en plus par rapport à la carte de 2009</w:t>
            </w:r>
          </w:p>
          <w:p w14:paraId="54DBEEFD" w14:textId="77777777" w:rsidR="007F11E3" w:rsidRPr="00A71A48" w:rsidRDefault="007F11E3" w:rsidP="007F11E3">
            <w:pPr>
              <w:pStyle w:val="TableParagraph"/>
              <w:widowControl/>
              <w:ind w:left="1947"/>
              <w:rPr>
                <w:spacing w:val="-4"/>
                <w:sz w:val="24"/>
              </w:rPr>
            </w:pPr>
          </w:p>
        </w:tc>
        <w:tc>
          <w:tcPr>
            <w:tcW w:w="1191" w:type="pct"/>
          </w:tcPr>
          <w:p w14:paraId="146C5613" w14:textId="77777777" w:rsidR="007F11E3" w:rsidRPr="00A71A48" w:rsidRDefault="007F11E3" w:rsidP="007F11E3">
            <w:pPr>
              <w:pStyle w:val="TableParagraph"/>
              <w:widowControl/>
              <w:jc w:val="center"/>
              <w:rPr>
                <w:spacing w:val="-4"/>
                <w:sz w:val="24"/>
              </w:rPr>
            </w:pPr>
          </w:p>
          <w:p w14:paraId="1B2EDB8A" w14:textId="77777777" w:rsidR="007F11E3" w:rsidRPr="00A71A48" w:rsidRDefault="007F11E3" w:rsidP="007F11E3">
            <w:pPr>
              <w:pStyle w:val="TableParagraph"/>
              <w:widowControl/>
              <w:jc w:val="center"/>
              <w:rPr>
                <w:spacing w:val="-4"/>
                <w:sz w:val="24"/>
              </w:rPr>
            </w:pPr>
          </w:p>
          <w:p w14:paraId="6FA8FF4B" w14:textId="77777777" w:rsidR="007F11E3" w:rsidRPr="00A71A48" w:rsidRDefault="007F11E3" w:rsidP="007F11E3">
            <w:pPr>
              <w:pStyle w:val="TableParagraph"/>
              <w:widowControl/>
              <w:jc w:val="center"/>
              <w:rPr>
                <w:spacing w:val="-4"/>
                <w:sz w:val="24"/>
              </w:rPr>
            </w:pPr>
          </w:p>
          <w:p w14:paraId="4156C8FF" w14:textId="77777777" w:rsidR="007F11E3" w:rsidRPr="00A71A48" w:rsidRDefault="007F11E3" w:rsidP="007F11E3">
            <w:pPr>
              <w:pStyle w:val="TableParagraph"/>
              <w:widowControl/>
              <w:jc w:val="center"/>
              <w:rPr>
                <w:spacing w:val="-4"/>
                <w:sz w:val="24"/>
              </w:rPr>
            </w:pPr>
          </w:p>
          <w:p w14:paraId="3969B614" w14:textId="77777777" w:rsidR="00C22814" w:rsidRPr="00A71A48" w:rsidRDefault="008E1FBA" w:rsidP="007F11E3">
            <w:pPr>
              <w:pStyle w:val="TableParagraph"/>
              <w:widowControl/>
              <w:jc w:val="center"/>
              <w:rPr>
                <w:spacing w:val="-4"/>
                <w:sz w:val="24"/>
              </w:rPr>
            </w:pPr>
            <w:r w:rsidRPr="00A71A48">
              <w:rPr>
                <w:spacing w:val="-4"/>
                <w:sz w:val="24"/>
              </w:rPr>
              <w:t>612</w:t>
            </w:r>
          </w:p>
        </w:tc>
      </w:tr>
      <w:tr w:rsidR="00C22814" w:rsidRPr="00A71A48" w14:paraId="68695354" w14:textId="77777777" w:rsidTr="00152CD4">
        <w:tc>
          <w:tcPr>
            <w:tcW w:w="3809" w:type="pct"/>
          </w:tcPr>
          <w:p w14:paraId="33413A2A" w14:textId="77777777" w:rsidR="00C22814" w:rsidRPr="00A71A48" w:rsidRDefault="008E1FBA" w:rsidP="007F11E3">
            <w:pPr>
              <w:pStyle w:val="TableParagraph"/>
              <w:widowControl/>
              <w:ind w:hanging="60"/>
              <w:rPr>
                <w:spacing w:val="-4"/>
                <w:sz w:val="24"/>
              </w:rPr>
            </w:pPr>
            <w:r w:rsidRPr="00A71A48">
              <w:rPr>
                <w:spacing w:val="-4"/>
                <w:sz w:val="24"/>
              </w:rPr>
              <w:t xml:space="preserve">Application des bonnes pratiques des nouvelles cartes dans le scénario </w:t>
            </w:r>
            <w:proofErr w:type="gramStart"/>
            <w:r w:rsidRPr="00A71A48">
              <w:rPr>
                <w:spacing w:val="-4"/>
                <w:sz w:val="24"/>
              </w:rPr>
              <w:t>contrefactuel:</w:t>
            </w:r>
            <w:proofErr w:type="gramEnd"/>
            <w:r w:rsidRPr="00A71A48">
              <w:rPr>
                <w:spacing w:val="-4"/>
                <w:sz w:val="24"/>
              </w:rPr>
              <w:t xml:space="preserve"> 70 % des 612 maisons supplémentaires construites avec des mesures de protection appropriées pour les «zones affectées», les 30 % restants devront être ciblés;</w:t>
            </w:r>
          </w:p>
          <w:p w14:paraId="68611F7E" w14:textId="77777777" w:rsidR="00C22814" w:rsidRPr="00A71A48" w:rsidRDefault="008E1FBA" w:rsidP="007F11E3">
            <w:pPr>
              <w:pStyle w:val="TableParagraph"/>
              <w:widowControl/>
              <w:rPr>
                <w:spacing w:val="-4"/>
                <w:sz w:val="24"/>
              </w:rPr>
            </w:pPr>
            <w:r w:rsidRPr="00A71A48">
              <w:rPr>
                <w:spacing w:val="-4"/>
                <w:sz w:val="24"/>
              </w:rPr>
              <w:t>612 x 30 % = 184 maisons (sans protection appropriée)</w:t>
            </w:r>
          </w:p>
          <w:p w14:paraId="7102147D" w14:textId="77777777" w:rsidR="007F11E3" w:rsidRPr="00A71A48" w:rsidRDefault="007F11E3" w:rsidP="007F11E3">
            <w:pPr>
              <w:pStyle w:val="TableParagraph"/>
              <w:widowControl/>
              <w:rPr>
                <w:spacing w:val="-4"/>
                <w:sz w:val="24"/>
              </w:rPr>
            </w:pPr>
          </w:p>
        </w:tc>
        <w:tc>
          <w:tcPr>
            <w:tcW w:w="1191" w:type="pct"/>
          </w:tcPr>
          <w:p w14:paraId="77D8F8F1" w14:textId="77777777" w:rsidR="007F11E3" w:rsidRPr="00A71A48" w:rsidRDefault="007F11E3" w:rsidP="007F11E3">
            <w:pPr>
              <w:pStyle w:val="TableParagraph"/>
              <w:widowControl/>
              <w:jc w:val="center"/>
              <w:rPr>
                <w:spacing w:val="-4"/>
                <w:sz w:val="24"/>
              </w:rPr>
            </w:pPr>
          </w:p>
          <w:p w14:paraId="59D3275E" w14:textId="77777777" w:rsidR="007F11E3" w:rsidRPr="00A71A48" w:rsidRDefault="007F11E3" w:rsidP="007F11E3">
            <w:pPr>
              <w:pStyle w:val="TableParagraph"/>
              <w:widowControl/>
              <w:jc w:val="center"/>
              <w:rPr>
                <w:spacing w:val="-4"/>
                <w:sz w:val="24"/>
              </w:rPr>
            </w:pPr>
          </w:p>
          <w:p w14:paraId="149A17B2" w14:textId="77777777" w:rsidR="007F11E3" w:rsidRPr="00A71A48" w:rsidRDefault="007F11E3" w:rsidP="007F11E3">
            <w:pPr>
              <w:pStyle w:val="TableParagraph"/>
              <w:widowControl/>
              <w:jc w:val="center"/>
              <w:rPr>
                <w:spacing w:val="-4"/>
                <w:sz w:val="24"/>
              </w:rPr>
            </w:pPr>
          </w:p>
          <w:p w14:paraId="768BB345" w14:textId="77777777" w:rsidR="00C22814" w:rsidRPr="00A71A48" w:rsidRDefault="008E1FBA" w:rsidP="007F11E3">
            <w:pPr>
              <w:pStyle w:val="TableParagraph"/>
              <w:widowControl/>
              <w:jc w:val="center"/>
              <w:rPr>
                <w:spacing w:val="-4"/>
                <w:sz w:val="24"/>
              </w:rPr>
            </w:pPr>
            <w:r w:rsidRPr="00A71A48">
              <w:rPr>
                <w:spacing w:val="-4"/>
                <w:sz w:val="24"/>
              </w:rPr>
              <w:t>184</w:t>
            </w:r>
          </w:p>
        </w:tc>
      </w:tr>
      <w:tr w:rsidR="00C22814" w:rsidRPr="00A71A48" w14:paraId="6A331A49" w14:textId="77777777" w:rsidTr="00152CD4">
        <w:tc>
          <w:tcPr>
            <w:tcW w:w="3809" w:type="pct"/>
          </w:tcPr>
          <w:p w14:paraId="2BAEA1B2" w14:textId="77777777" w:rsidR="00AD470F" w:rsidRPr="00A71A48" w:rsidRDefault="008E1FBA" w:rsidP="007F11E3">
            <w:pPr>
              <w:pStyle w:val="TableParagraph"/>
              <w:widowControl/>
              <w:rPr>
                <w:spacing w:val="-4"/>
                <w:sz w:val="24"/>
              </w:rPr>
            </w:pPr>
            <w:r w:rsidRPr="00A71A48">
              <w:rPr>
                <w:spacing w:val="-4"/>
                <w:sz w:val="24"/>
              </w:rPr>
              <w:t xml:space="preserve">Les données prédictives de PHE concernant les zones à risque de radon en Irlande du Nord en 2015 suggèrent que 90 % des nouvelles maisons concernées nécessiteront des mesures de protection «de </w:t>
            </w:r>
            <w:proofErr w:type="gramStart"/>
            <w:r w:rsidRPr="00A71A48">
              <w:rPr>
                <w:spacing w:val="-4"/>
                <w:sz w:val="24"/>
              </w:rPr>
              <w:t>base»</w:t>
            </w:r>
            <w:proofErr w:type="gramEnd"/>
            <w:r w:rsidRPr="00A71A48">
              <w:rPr>
                <w:spacing w:val="-4"/>
                <w:sz w:val="24"/>
              </w:rPr>
              <w:t xml:space="preserve"> et 10 % nécessiteront des mesures de protection «complètes»</w:t>
            </w:r>
          </w:p>
          <w:p w14:paraId="657DFDE2" w14:textId="77777777" w:rsidR="007F11E3" w:rsidRPr="00A71A48" w:rsidRDefault="007F11E3" w:rsidP="007F11E3">
            <w:pPr>
              <w:pStyle w:val="TableParagraph"/>
              <w:widowControl/>
              <w:rPr>
                <w:spacing w:val="-4"/>
                <w:sz w:val="24"/>
              </w:rPr>
            </w:pPr>
          </w:p>
          <w:p w14:paraId="2D81A73C" w14:textId="77777777" w:rsidR="00C22814" w:rsidRPr="00A71A48" w:rsidRDefault="008E1FBA" w:rsidP="007F11E3">
            <w:pPr>
              <w:pStyle w:val="TableParagraph"/>
              <w:widowControl/>
              <w:rPr>
                <w:spacing w:val="-4"/>
                <w:sz w:val="24"/>
              </w:rPr>
            </w:pPr>
            <w:r w:rsidRPr="00A71A48">
              <w:rPr>
                <w:spacing w:val="-4"/>
                <w:sz w:val="24"/>
              </w:rPr>
              <w:t xml:space="preserve">Soit 184 x 90 % = 166 maisons nécessitant des mesures de protection «de </w:t>
            </w:r>
            <w:proofErr w:type="gramStart"/>
            <w:r w:rsidRPr="00A71A48">
              <w:rPr>
                <w:spacing w:val="-4"/>
                <w:sz w:val="24"/>
              </w:rPr>
              <w:t>base»</w:t>
            </w:r>
            <w:proofErr w:type="gramEnd"/>
            <w:r w:rsidRPr="00A71A48">
              <w:rPr>
                <w:spacing w:val="-4"/>
                <w:sz w:val="24"/>
              </w:rPr>
              <w:t>, &amp;</w:t>
            </w:r>
          </w:p>
          <w:p w14:paraId="61F9845C" w14:textId="77777777" w:rsidR="00C22814" w:rsidRPr="00A71A48" w:rsidRDefault="008E1FBA" w:rsidP="007F11E3">
            <w:pPr>
              <w:pStyle w:val="TableParagraph"/>
              <w:widowControl/>
              <w:rPr>
                <w:spacing w:val="-4"/>
                <w:sz w:val="24"/>
              </w:rPr>
            </w:pPr>
            <w:r w:rsidRPr="00A71A48">
              <w:rPr>
                <w:spacing w:val="-4"/>
                <w:sz w:val="24"/>
              </w:rPr>
              <w:t>184 x 10 % = 18 maisons nécessitant des mesures de protection</w:t>
            </w:r>
            <w:proofErr w:type="gramStart"/>
            <w:r w:rsidRPr="00A71A48">
              <w:rPr>
                <w:spacing w:val="-4"/>
                <w:sz w:val="24"/>
              </w:rPr>
              <w:t xml:space="preserve"> «complètes</w:t>
            </w:r>
            <w:proofErr w:type="gramEnd"/>
            <w:r w:rsidRPr="00A71A48">
              <w:rPr>
                <w:spacing w:val="-4"/>
                <w:sz w:val="24"/>
              </w:rPr>
              <w:t>»</w:t>
            </w:r>
          </w:p>
        </w:tc>
        <w:tc>
          <w:tcPr>
            <w:tcW w:w="1191" w:type="pct"/>
          </w:tcPr>
          <w:p w14:paraId="3C5795EA" w14:textId="77777777" w:rsidR="007F11E3" w:rsidRPr="00A71A48" w:rsidRDefault="007F11E3" w:rsidP="007F11E3">
            <w:pPr>
              <w:pStyle w:val="TableParagraph"/>
              <w:widowControl/>
              <w:jc w:val="center"/>
              <w:rPr>
                <w:spacing w:val="-4"/>
                <w:sz w:val="24"/>
              </w:rPr>
            </w:pPr>
          </w:p>
          <w:p w14:paraId="071EF958" w14:textId="77777777" w:rsidR="007F11E3" w:rsidRPr="00A71A48" w:rsidRDefault="007F11E3" w:rsidP="007F11E3">
            <w:pPr>
              <w:pStyle w:val="TableParagraph"/>
              <w:widowControl/>
              <w:jc w:val="center"/>
              <w:rPr>
                <w:spacing w:val="-4"/>
                <w:sz w:val="24"/>
              </w:rPr>
            </w:pPr>
          </w:p>
          <w:p w14:paraId="4A505572" w14:textId="77777777" w:rsidR="007F11E3" w:rsidRPr="00A71A48" w:rsidRDefault="007F11E3" w:rsidP="007F11E3">
            <w:pPr>
              <w:pStyle w:val="TableParagraph"/>
              <w:widowControl/>
              <w:jc w:val="center"/>
              <w:rPr>
                <w:spacing w:val="-4"/>
                <w:sz w:val="24"/>
              </w:rPr>
            </w:pPr>
          </w:p>
          <w:p w14:paraId="06EAE443" w14:textId="77777777" w:rsidR="007F11E3" w:rsidRPr="00A71A48" w:rsidRDefault="007F11E3" w:rsidP="007F11E3">
            <w:pPr>
              <w:pStyle w:val="TableParagraph"/>
              <w:widowControl/>
              <w:jc w:val="center"/>
              <w:rPr>
                <w:spacing w:val="-4"/>
                <w:sz w:val="24"/>
              </w:rPr>
            </w:pPr>
          </w:p>
          <w:p w14:paraId="7C439CC0" w14:textId="77777777" w:rsidR="00AD470F" w:rsidRPr="00A71A48" w:rsidRDefault="008E1FBA" w:rsidP="007F11E3">
            <w:pPr>
              <w:pStyle w:val="TableParagraph"/>
              <w:widowControl/>
              <w:jc w:val="center"/>
              <w:rPr>
                <w:spacing w:val="-4"/>
                <w:sz w:val="24"/>
              </w:rPr>
            </w:pPr>
            <w:r w:rsidRPr="00A71A48">
              <w:rPr>
                <w:spacing w:val="-4"/>
                <w:sz w:val="24"/>
              </w:rPr>
              <w:t xml:space="preserve">166 «de </w:t>
            </w:r>
            <w:proofErr w:type="gramStart"/>
            <w:r w:rsidRPr="00A71A48">
              <w:rPr>
                <w:spacing w:val="-4"/>
                <w:sz w:val="24"/>
              </w:rPr>
              <w:t>base»</w:t>
            </w:r>
            <w:proofErr w:type="gramEnd"/>
          </w:p>
          <w:p w14:paraId="48E17DB7" w14:textId="77777777" w:rsidR="007F11E3" w:rsidRPr="00A71A48" w:rsidRDefault="007F11E3" w:rsidP="007F11E3">
            <w:pPr>
              <w:pStyle w:val="TableParagraph"/>
              <w:widowControl/>
              <w:jc w:val="center"/>
              <w:rPr>
                <w:spacing w:val="-4"/>
                <w:sz w:val="24"/>
              </w:rPr>
            </w:pPr>
          </w:p>
          <w:p w14:paraId="0DA0BB03" w14:textId="77777777" w:rsidR="00C22814" w:rsidRPr="00A71A48" w:rsidRDefault="008E1FBA" w:rsidP="007F11E3">
            <w:pPr>
              <w:pStyle w:val="TableParagraph"/>
              <w:widowControl/>
              <w:jc w:val="center"/>
              <w:rPr>
                <w:spacing w:val="-4"/>
                <w:sz w:val="24"/>
              </w:rPr>
            </w:pPr>
            <w:r w:rsidRPr="00A71A48">
              <w:rPr>
                <w:spacing w:val="-4"/>
                <w:sz w:val="24"/>
              </w:rPr>
              <w:t>18</w:t>
            </w:r>
            <w:proofErr w:type="gramStart"/>
            <w:r w:rsidRPr="00A71A48">
              <w:rPr>
                <w:spacing w:val="-4"/>
                <w:sz w:val="24"/>
              </w:rPr>
              <w:t xml:space="preserve"> «complètes</w:t>
            </w:r>
            <w:proofErr w:type="gramEnd"/>
            <w:r w:rsidRPr="00A71A48">
              <w:rPr>
                <w:spacing w:val="-4"/>
                <w:sz w:val="24"/>
              </w:rPr>
              <w:t>»</w:t>
            </w:r>
          </w:p>
        </w:tc>
      </w:tr>
      <w:tr w:rsidR="00C22814" w:rsidRPr="00A71A48" w14:paraId="766EEF86" w14:textId="77777777" w:rsidTr="00152CD4">
        <w:tc>
          <w:tcPr>
            <w:tcW w:w="3809" w:type="pct"/>
          </w:tcPr>
          <w:p w14:paraId="45844533" w14:textId="2162CB56" w:rsidR="00AD470F" w:rsidRPr="00A71A48" w:rsidRDefault="008E1FBA" w:rsidP="007F11E3">
            <w:pPr>
              <w:pStyle w:val="TableParagraph"/>
              <w:widowControl/>
              <w:rPr>
                <w:spacing w:val="-4"/>
                <w:sz w:val="24"/>
              </w:rPr>
            </w:pPr>
            <w:r w:rsidRPr="00A71A48">
              <w:rPr>
                <w:spacing w:val="-4"/>
                <w:sz w:val="24"/>
              </w:rPr>
              <w:t>Selon les statistiques</w:t>
            </w:r>
            <w:r w:rsidR="00A04A72" w:rsidRPr="00A71A48">
              <w:rPr>
                <w:spacing w:val="-4"/>
                <w:sz w:val="24"/>
              </w:rPr>
              <w:t> </w:t>
            </w:r>
            <w:r w:rsidRPr="00A71A48">
              <w:rPr>
                <w:spacing w:val="-4"/>
                <w:sz w:val="24"/>
              </w:rPr>
              <w:t>2017 du marché immobilier du NHBC, 23 % des maisons nouvellement achevées en Irlande du Nord = construction à ossature bois</w:t>
            </w:r>
          </w:p>
          <w:p w14:paraId="7E5F97D4" w14:textId="77777777" w:rsidR="007F11E3" w:rsidRPr="00A71A48" w:rsidRDefault="007F11E3" w:rsidP="007F11E3">
            <w:pPr>
              <w:pStyle w:val="TableParagraph"/>
              <w:widowControl/>
              <w:rPr>
                <w:spacing w:val="-4"/>
                <w:sz w:val="24"/>
              </w:rPr>
            </w:pPr>
          </w:p>
          <w:p w14:paraId="3450AC35" w14:textId="77777777" w:rsidR="00C22814" w:rsidRPr="00A71A48" w:rsidRDefault="008E1FBA" w:rsidP="007F11E3">
            <w:pPr>
              <w:pStyle w:val="TableParagraph"/>
              <w:widowControl/>
              <w:rPr>
                <w:spacing w:val="-4"/>
                <w:sz w:val="24"/>
              </w:rPr>
            </w:pPr>
            <w:r w:rsidRPr="00A71A48">
              <w:rPr>
                <w:spacing w:val="-4"/>
                <w:sz w:val="24"/>
              </w:rPr>
              <w:t xml:space="preserve">Ainsi, sur les 166 nouvelles maisons supplémentaires (à 90 %) nécessitant des mesures de protection «de </w:t>
            </w:r>
            <w:proofErr w:type="gramStart"/>
            <w:r w:rsidRPr="00A71A48">
              <w:rPr>
                <w:spacing w:val="-4"/>
                <w:sz w:val="24"/>
              </w:rPr>
              <w:t>base»</w:t>
            </w:r>
            <w:proofErr w:type="gramEnd"/>
            <w:r w:rsidRPr="00A71A48">
              <w:rPr>
                <w:spacing w:val="-4"/>
                <w:sz w:val="24"/>
              </w:rPr>
              <w:t>, env. 23 % comprendront déjà des matériaux de barrière de protection équivalents;</w:t>
            </w:r>
          </w:p>
          <w:p w14:paraId="15EB4167" w14:textId="5E362256" w:rsidR="007F11E3" w:rsidRPr="00A71A48" w:rsidRDefault="008E1FBA" w:rsidP="007F11E3">
            <w:pPr>
              <w:pStyle w:val="TableParagraph"/>
              <w:widowControl/>
              <w:numPr>
                <w:ilvl w:val="0"/>
                <w:numId w:val="2"/>
              </w:numPr>
              <w:ind w:left="867"/>
              <w:rPr>
                <w:spacing w:val="-4"/>
                <w:sz w:val="24"/>
              </w:rPr>
            </w:pPr>
            <w:r w:rsidRPr="00A71A48">
              <w:rPr>
                <w:spacing w:val="-4"/>
                <w:sz w:val="24"/>
              </w:rPr>
              <w:t>166 x</w:t>
            </w:r>
            <w:r w:rsidR="00A04A72" w:rsidRPr="00A71A48">
              <w:rPr>
                <w:spacing w:val="-4"/>
                <w:sz w:val="24"/>
              </w:rPr>
              <w:t> </w:t>
            </w:r>
            <w:r w:rsidRPr="00A71A48">
              <w:rPr>
                <w:spacing w:val="-4"/>
                <w:sz w:val="24"/>
              </w:rPr>
              <w:t xml:space="preserve">0,23 = 38 nouvelles habitations à ossature bois </w:t>
            </w:r>
          </w:p>
          <w:p w14:paraId="7D38BF37" w14:textId="77777777" w:rsidR="00C22814" w:rsidRPr="00A71A48" w:rsidRDefault="008E1FBA" w:rsidP="007F11E3">
            <w:pPr>
              <w:pStyle w:val="TableParagraph"/>
              <w:widowControl/>
              <w:ind w:left="507"/>
              <w:rPr>
                <w:spacing w:val="-4"/>
                <w:sz w:val="24"/>
              </w:rPr>
            </w:pPr>
            <w:r w:rsidRPr="00A71A48">
              <w:rPr>
                <w:spacing w:val="-4"/>
                <w:sz w:val="24"/>
              </w:rPr>
              <w:t xml:space="preserve">Nouvelles maisons concernées </w:t>
            </w:r>
            <w:proofErr w:type="gramStart"/>
            <w:r w:rsidRPr="00A71A48">
              <w:rPr>
                <w:spacing w:val="-4"/>
                <w:sz w:val="24"/>
              </w:rPr>
              <w:t>ajustées:</w:t>
            </w:r>
            <w:proofErr w:type="gramEnd"/>
            <w:r w:rsidRPr="00A71A48">
              <w:rPr>
                <w:spacing w:val="-4"/>
                <w:sz w:val="24"/>
              </w:rPr>
              <w:t xml:space="preserve"> 166 – 38 = 128</w:t>
            </w:r>
          </w:p>
          <w:p w14:paraId="050CA708" w14:textId="77777777" w:rsidR="00AD470F" w:rsidRPr="00A71A48" w:rsidRDefault="008E1FBA" w:rsidP="007F11E3">
            <w:pPr>
              <w:pStyle w:val="TableParagraph"/>
              <w:widowControl/>
              <w:ind w:left="507"/>
              <w:rPr>
                <w:spacing w:val="-4"/>
                <w:sz w:val="24"/>
              </w:rPr>
            </w:pPr>
            <w:r w:rsidRPr="00A71A48">
              <w:rPr>
                <w:spacing w:val="-4"/>
                <w:sz w:val="24"/>
              </w:rPr>
              <w:t>(</w:t>
            </w:r>
            <w:proofErr w:type="gramStart"/>
            <w:r w:rsidRPr="00A71A48">
              <w:rPr>
                <w:spacing w:val="-4"/>
                <w:sz w:val="24"/>
              </w:rPr>
              <w:t>nécessitant</w:t>
            </w:r>
            <w:proofErr w:type="gramEnd"/>
            <w:r w:rsidRPr="00A71A48">
              <w:rPr>
                <w:spacing w:val="-4"/>
                <w:sz w:val="24"/>
              </w:rPr>
              <w:t xml:space="preserve"> des mesures de base: matériaux de barrière et fabrication)</w:t>
            </w:r>
          </w:p>
          <w:p w14:paraId="51708FBC" w14:textId="77777777" w:rsidR="007F11E3" w:rsidRPr="00A71A48" w:rsidRDefault="007F11E3" w:rsidP="007F11E3">
            <w:pPr>
              <w:pStyle w:val="TableParagraph"/>
              <w:widowControl/>
              <w:ind w:left="507"/>
              <w:rPr>
                <w:spacing w:val="-4"/>
                <w:sz w:val="24"/>
              </w:rPr>
            </w:pPr>
          </w:p>
          <w:p w14:paraId="6646F11E" w14:textId="77777777" w:rsidR="00C22814" w:rsidRPr="00A71A48" w:rsidRDefault="008E1FBA" w:rsidP="007F11E3">
            <w:pPr>
              <w:pStyle w:val="TableParagraph"/>
              <w:widowControl/>
              <w:rPr>
                <w:spacing w:val="-4"/>
                <w:sz w:val="24"/>
              </w:rPr>
            </w:pPr>
            <w:r w:rsidRPr="00A71A48">
              <w:rPr>
                <w:spacing w:val="-4"/>
                <w:sz w:val="24"/>
              </w:rPr>
              <w:t>De même, sur les 18 nouvelles maisons supplémentaires (à 10 %) nécessitant des mesures de protection</w:t>
            </w:r>
            <w:proofErr w:type="gramStart"/>
            <w:r w:rsidRPr="00A71A48">
              <w:rPr>
                <w:spacing w:val="-4"/>
                <w:sz w:val="24"/>
              </w:rPr>
              <w:t xml:space="preserve"> «complètes</w:t>
            </w:r>
            <w:proofErr w:type="gramEnd"/>
            <w:r w:rsidRPr="00A71A48">
              <w:rPr>
                <w:spacing w:val="-4"/>
                <w:sz w:val="24"/>
              </w:rPr>
              <w:t>», env. 23 % comprendront déjà des matériaux de barrière de protection équivalents;</w:t>
            </w:r>
          </w:p>
          <w:p w14:paraId="4A9CF339" w14:textId="177EDF59" w:rsidR="007F11E3" w:rsidRPr="00A71A48" w:rsidRDefault="008E1FBA" w:rsidP="007F11E3">
            <w:pPr>
              <w:pStyle w:val="TableParagraph"/>
              <w:widowControl/>
              <w:numPr>
                <w:ilvl w:val="0"/>
                <w:numId w:val="2"/>
              </w:numPr>
              <w:ind w:left="867"/>
              <w:rPr>
                <w:spacing w:val="-4"/>
                <w:sz w:val="24"/>
              </w:rPr>
            </w:pPr>
            <w:r w:rsidRPr="00A71A48">
              <w:rPr>
                <w:spacing w:val="-4"/>
                <w:sz w:val="24"/>
              </w:rPr>
              <w:t>18 x</w:t>
            </w:r>
            <w:r w:rsidR="00A04A72" w:rsidRPr="00A71A48">
              <w:rPr>
                <w:spacing w:val="-4"/>
                <w:sz w:val="24"/>
              </w:rPr>
              <w:t> </w:t>
            </w:r>
            <w:r w:rsidRPr="00A71A48">
              <w:rPr>
                <w:spacing w:val="-4"/>
                <w:sz w:val="24"/>
              </w:rPr>
              <w:t xml:space="preserve">0,23 = 4 nouvelles habitations à ossature bois </w:t>
            </w:r>
          </w:p>
          <w:p w14:paraId="022BBE0F" w14:textId="77777777" w:rsidR="00C22814" w:rsidRPr="00A71A48" w:rsidRDefault="008E1FBA" w:rsidP="007F11E3">
            <w:pPr>
              <w:pStyle w:val="TableParagraph"/>
              <w:widowControl/>
              <w:ind w:left="507"/>
              <w:rPr>
                <w:spacing w:val="-4"/>
                <w:sz w:val="24"/>
              </w:rPr>
            </w:pPr>
            <w:r w:rsidRPr="00A71A48">
              <w:rPr>
                <w:spacing w:val="-4"/>
                <w:sz w:val="24"/>
              </w:rPr>
              <w:t xml:space="preserve">Nouvelles maisons concernées </w:t>
            </w:r>
            <w:proofErr w:type="gramStart"/>
            <w:r w:rsidRPr="00A71A48">
              <w:rPr>
                <w:spacing w:val="-4"/>
                <w:sz w:val="24"/>
              </w:rPr>
              <w:t>ajustées:</w:t>
            </w:r>
            <w:proofErr w:type="gramEnd"/>
            <w:r w:rsidRPr="00A71A48">
              <w:rPr>
                <w:spacing w:val="-4"/>
                <w:sz w:val="24"/>
              </w:rPr>
              <w:t xml:space="preserve"> 18 – 4 = 14</w:t>
            </w:r>
          </w:p>
          <w:p w14:paraId="6326EB96" w14:textId="77777777" w:rsidR="00C22814" w:rsidRPr="00A71A48" w:rsidRDefault="008E1FBA" w:rsidP="007F11E3">
            <w:pPr>
              <w:pStyle w:val="TableParagraph"/>
              <w:widowControl/>
              <w:ind w:left="507"/>
              <w:rPr>
                <w:spacing w:val="-4"/>
                <w:sz w:val="24"/>
              </w:rPr>
            </w:pPr>
            <w:r w:rsidRPr="00A71A48">
              <w:rPr>
                <w:spacing w:val="-4"/>
                <w:sz w:val="24"/>
              </w:rPr>
              <w:t>(</w:t>
            </w:r>
            <w:proofErr w:type="gramStart"/>
            <w:r w:rsidRPr="00A71A48">
              <w:rPr>
                <w:spacing w:val="-4"/>
                <w:sz w:val="24"/>
              </w:rPr>
              <w:t>nécessitant</w:t>
            </w:r>
            <w:proofErr w:type="gramEnd"/>
            <w:r w:rsidRPr="00A71A48">
              <w:rPr>
                <w:spacing w:val="-4"/>
                <w:sz w:val="24"/>
              </w:rPr>
              <w:t xml:space="preserve"> une mesure complète: matériaux de barrière, puisard ou évents et fabrication)</w:t>
            </w:r>
          </w:p>
        </w:tc>
        <w:tc>
          <w:tcPr>
            <w:tcW w:w="1191" w:type="pct"/>
          </w:tcPr>
          <w:p w14:paraId="6728C4CA" w14:textId="77777777" w:rsidR="007F11E3" w:rsidRPr="00A71A48" w:rsidRDefault="007F11E3" w:rsidP="007F11E3">
            <w:pPr>
              <w:pStyle w:val="TableParagraph"/>
              <w:widowControl/>
              <w:jc w:val="center"/>
              <w:rPr>
                <w:spacing w:val="-4"/>
                <w:sz w:val="24"/>
              </w:rPr>
            </w:pPr>
          </w:p>
          <w:p w14:paraId="22126E6C" w14:textId="77777777" w:rsidR="007F11E3" w:rsidRPr="00A71A48" w:rsidRDefault="007F11E3" w:rsidP="007F11E3">
            <w:pPr>
              <w:pStyle w:val="TableParagraph"/>
              <w:widowControl/>
              <w:jc w:val="center"/>
              <w:rPr>
                <w:spacing w:val="-4"/>
                <w:sz w:val="24"/>
              </w:rPr>
            </w:pPr>
          </w:p>
          <w:p w14:paraId="3822F46F" w14:textId="77777777" w:rsidR="007F11E3" w:rsidRPr="00A71A48" w:rsidRDefault="007F11E3" w:rsidP="007F11E3">
            <w:pPr>
              <w:pStyle w:val="TableParagraph"/>
              <w:widowControl/>
              <w:jc w:val="center"/>
              <w:rPr>
                <w:spacing w:val="-4"/>
                <w:sz w:val="24"/>
              </w:rPr>
            </w:pPr>
          </w:p>
          <w:p w14:paraId="30081FF1" w14:textId="77777777" w:rsidR="007F11E3" w:rsidRPr="00A71A48" w:rsidRDefault="007F11E3" w:rsidP="007F11E3">
            <w:pPr>
              <w:pStyle w:val="TableParagraph"/>
              <w:widowControl/>
              <w:jc w:val="center"/>
              <w:rPr>
                <w:spacing w:val="-4"/>
                <w:sz w:val="24"/>
              </w:rPr>
            </w:pPr>
          </w:p>
          <w:p w14:paraId="42BE1D51" w14:textId="77777777" w:rsidR="007F11E3" w:rsidRPr="00A71A48" w:rsidRDefault="007F11E3" w:rsidP="007F11E3">
            <w:pPr>
              <w:pStyle w:val="TableParagraph"/>
              <w:widowControl/>
              <w:jc w:val="center"/>
              <w:rPr>
                <w:spacing w:val="-4"/>
                <w:sz w:val="24"/>
              </w:rPr>
            </w:pPr>
          </w:p>
          <w:p w14:paraId="1277922E" w14:textId="77777777" w:rsidR="007F11E3" w:rsidRPr="00A71A48" w:rsidRDefault="007F11E3" w:rsidP="007F11E3">
            <w:pPr>
              <w:pStyle w:val="TableParagraph"/>
              <w:widowControl/>
              <w:jc w:val="center"/>
              <w:rPr>
                <w:spacing w:val="-4"/>
                <w:sz w:val="24"/>
              </w:rPr>
            </w:pPr>
          </w:p>
          <w:p w14:paraId="102FBBD1" w14:textId="77777777" w:rsidR="00AD470F" w:rsidRPr="00A71A48" w:rsidRDefault="008E1FBA" w:rsidP="007F11E3">
            <w:pPr>
              <w:pStyle w:val="TableParagraph"/>
              <w:widowControl/>
              <w:jc w:val="center"/>
              <w:rPr>
                <w:spacing w:val="-4"/>
                <w:sz w:val="24"/>
              </w:rPr>
            </w:pPr>
            <w:r w:rsidRPr="00A71A48">
              <w:rPr>
                <w:spacing w:val="-4"/>
                <w:sz w:val="24"/>
              </w:rPr>
              <w:t xml:space="preserve">38 (ossature bois) 128 «de </w:t>
            </w:r>
            <w:proofErr w:type="gramStart"/>
            <w:r w:rsidRPr="00A71A48">
              <w:rPr>
                <w:spacing w:val="-4"/>
                <w:sz w:val="24"/>
              </w:rPr>
              <w:t>base»</w:t>
            </w:r>
            <w:proofErr w:type="gramEnd"/>
          </w:p>
          <w:p w14:paraId="1244F0E2" w14:textId="77777777" w:rsidR="007F11E3" w:rsidRPr="00A71A48" w:rsidRDefault="007F11E3" w:rsidP="007F11E3">
            <w:pPr>
              <w:pStyle w:val="TableParagraph"/>
              <w:widowControl/>
              <w:jc w:val="center"/>
              <w:rPr>
                <w:spacing w:val="-4"/>
                <w:sz w:val="24"/>
              </w:rPr>
            </w:pPr>
          </w:p>
          <w:p w14:paraId="79D9CB2A" w14:textId="77777777" w:rsidR="007F11E3" w:rsidRPr="00A71A48" w:rsidRDefault="007F11E3" w:rsidP="007F11E3">
            <w:pPr>
              <w:pStyle w:val="TableParagraph"/>
              <w:widowControl/>
              <w:jc w:val="center"/>
              <w:rPr>
                <w:spacing w:val="-4"/>
                <w:sz w:val="24"/>
              </w:rPr>
            </w:pPr>
          </w:p>
          <w:p w14:paraId="33540BE3" w14:textId="77777777" w:rsidR="007F11E3" w:rsidRPr="00A71A48" w:rsidRDefault="007F11E3" w:rsidP="007F11E3">
            <w:pPr>
              <w:pStyle w:val="TableParagraph"/>
              <w:widowControl/>
              <w:jc w:val="center"/>
              <w:rPr>
                <w:spacing w:val="-4"/>
                <w:sz w:val="24"/>
              </w:rPr>
            </w:pPr>
          </w:p>
          <w:p w14:paraId="3A58C03B" w14:textId="77777777" w:rsidR="007F11E3" w:rsidRPr="00A71A48" w:rsidRDefault="007F11E3" w:rsidP="007F11E3">
            <w:pPr>
              <w:pStyle w:val="TableParagraph"/>
              <w:widowControl/>
              <w:jc w:val="center"/>
              <w:rPr>
                <w:spacing w:val="-4"/>
                <w:sz w:val="24"/>
              </w:rPr>
            </w:pPr>
          </w:p>
          <w:p w14:paraId="79D37D2F" w14:textId="77777777" w:rsidR="007F11E3" w:rsidRPr="00A71A48" w:rsidRDefault="007F11E3" w:rsidP="007F11E3">
            <w:pPr>
              <w:pStyle w:val="TableParagraph"/>
              <w:widowControl/>
              <w:jc w:val="center"/>
              <w:rPr>
                <w:spacing w:val="-4"/>
                <w:sz w:val="24"/>
              </w:rPr>
            </w:pPr>
          </w:p>
          <w:p w14:paraId="4176678A" w14:textId="77777777" w:rsidR="00C22814" w:rsidRPr="00A71A48" w:rsidRDefault="008E1FBA" w:rsidP="007F11E3">
            <w:pPr>
              <w:pStyle w:val="TableParagraph"/>
              <w:widowControl/>
              <w:jc w:val="center"/>
              <w:rPr>
                <w:spacing w:val="-4"/>
                <w:sz w:val="24"/>
              </w:rPr>
            </w:pPr>
            <w:r w:rsidRPr="00A71A48">
              <w:rPr>
                <w:spacing w:val="-4"/>
                <w:sz w:val="24"/>
              </w:rPr>
              <w:t>4 (ossature bois) 14</w:t>
            </w:r>
            <w:proofErr w:type="gramStart"/>
            <w:r w:rsidRPr="00A71A48">
              <w:rPr>
                <w:spacing w:val="-4"/>
                <w:sz w:val="24"/>
              </w:rPr>
              <w:t xml:space="preserve"> «complètes</w:t>
            </w:r>
            <w:proofErr w:type="gramEnd"/>
            <w:r w:rsidRPr="00A71A48">
              <w:rPr>
                <w:spacing w:val="-4"/>
                <w:sz w:val="24"/>
              </w:rPr>
              <w:t>»</w:t>
            </w:r>
          </w:p>
        </w:tc>
      </w:tr>
    </w:tbl>
    <w:p w14:paraId="18E7D215" w14:textId="77777777" w:rsidR="00C22814" w:rsidRPr="0002712A" w:rsidRDefault="00C22814" w:rsidP="00F4320E">
      <w:pPr>
        <w:pStyle w:val="BodyText"/>
        <w:widowControl/>
        <w:spacing w:before="120" w:after="120"/>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7332"/>
        <w:gridCol w:w="2292"/>
      </w:tblGrid>
      <w:tr w:rsidR="00C22814" w:rsidRPr="00A71A48" w14:paraId="77642802" w14:textId="77777777" w:rsidTr="00152CD4">
        <w:tc>
          <w:tcPr>
            <w:tcW w:w="3809" w:type="pct"/>
          </w:tcPr>
          <w:p w14:paraId="10732069" w14:textId="77777777" w:rsidR="00C22814" w:rsidRPr="00A71A48" w:rsidRDefault="008E1FBA" w:rsidP="007F11E3">
            <w:pPr>
              <w:pStyle w:val="TableParagraph"/>
              <w:keepNext/>
              <w:keepLines/>
              <w:widowControl/>
              <w:rPr>
                <w:b/>
                <w:spacing w:val="-4"/>
                <w:sz w:val="24"/>
              </w:rPr>
            </w:pPr>
            <w:r w:rsidRPr="00A71A48">
              <w:rPr>
                <w:b/>
                <w:spacing w:val="-4"/>
                <w:sz w:val="24"/>
              </w:rPr>
              <w:lastRenderedPageBreak/>
              <w:t>Maisons neuves concernées x Mesure les coûts</w:t>
            </w:r>
          </w:p>
        </w:tc>
        <w:tc>
          <w:tcPr>
            <w:tcW w:w="1191" w:type="pct"/>
          </w:tcPr>
          <w:p w14:paraId="2BAF1923" w14:textId="77777777" w:rsidR="00C22814" w:rsidRPr="00A71A48" w:rsidRDefault="00C22814" w:rsidP="007F11E3">
            <w:pPr>
              <w:pStyle w:val="TableParagraph"/>
              <w:keepNext/>
              <w:keepLines/>
              <w:widowControl/>
              <w:rPr>
                <w:rFonts w:ascii="Times New Roman"/>
                <w:spacing w:val="-4"/>
                <w:sz w:val="20"/>
              </w:rPr>
            </w:pPr>
          </w:p>
        </w:tc>
      </w:tr>
      <w:tr w:rsidR="00C22814" w:rsidRPr="00A71A48" w14:paraId="65F24DA4" w14:textId="77777777" w:rsidTr="00152CD4">
        <w:tc>
          <w:tcPr>
            <w:tcW w:w="3809" w:type="pct"/>
          </w:tcPr>
          <w:p w14:paraId="585FBBD4" w14:textId="77777777" w:rsidR="00C22814" w:rsidRPr="00A71A48" w:rsidRDefault="008E1FBA" w:rsidP="007F11E3">
            <w:pPr>
              <w:pStyle w:val="TableParagraph"/>
              <w:widowControl/>
              <w:rPr>
                <w:spacing w:val="-4"/>
                <w:sz w:val="24"/>
              </w:rPr>
            </w:pPr>
            <w:r w:rsidRPr="00A71A48">
              <w:rPr>
                <w:spacing w:val="-4"/>
                <w:sz w:val="24"/>
              </w:rPr>
              <w:t xml:space="preserve">128 maisons nécessitant des mesures «de </w:t>
            </w:r>
            <w:proofErr w:type="gramStart"/>
            <w:r w:rsidRPr="00A71A48">
              <w:rPr>
                <w:spacing w:val="-4"/>
                <w:sz w:val="24"/>
              </w:rPr>
              <w:t>base»</w:t>
            </w:r>
            <w:proofErr w:type="gramEnd"/>
            <w:r w:rsidRPr="00A71A48">
              <w:rPr>
                <w:spacing w:val="-4"/>
                <w:sz w:val="24"/>
              </w:rPr>
              <w:t xml:space="preserve"> (barrières et fabrication) à un coût moyen de 400 GBP;</w:t>
            </w:r>
          </w:p>
          <w:p w14:paraId="6BB58B74" w14:textId="530886E6" w:rsidR="00C22814" w:rsidRPr="00A71A48" w:rsidRDefault="008E1FBA" w:rsidP="007F11E3">
            <w:pPr>
              <w:pStyle w:val="TableParagraph"/>
              <w:widowControl/>
              <w:rPr>
                <w:spacing w:val="-4"/>
                <w:sz w:val="24"/>
              </w:rPr>
            </w:pPr>
            <w:r w:rsidRPr="00A71A48">
              <w:rPr>
                <w:spacing w:val="-4"/>
                <w:sz w:val="24"/>
              </w:rPr>
              <w:t>128 x</w:t>
            </w:r>
            <w:r w:rsidR="00A04A72" w:rsidRPr="00A71A48">
              <w:rPr>
                <w:spacing w:val="-4"/>
                <w:sz w:val="24"/>
              </w:rPr>
              <w:t> </w:t>
            </w:r>
            <w:r w:rsidRPr="00A71A48">
              <w:rPr>
                <w:spacing w:val="-4"/>
                <w:sz w:val="24"/>
              </w:rPr>
              <w:t>400 = 51 200 GBP</w:t>
            </w:r>
          </w:p>
          <w:p w14:paraId="2EB3E05F" w14:textId="77777777" w:rsidR="00C22814" w:rsidRPr="00A71A48" w:rsidRDefault="008E1FBA" w:rsidP="007F11E3">
            <w:pPr>
              <w:pStyle w:val="TableParagraph"/>
              <w:widowControl/>
              <w:rPr>
                <w:spacing w:val="-4"/>
                <w:sz w:val="24"/>
              </w:rPr>
            </w:pPr>
            <w:r w:rsidRPr="00A71A48">
              <w:rPr>
                <w:spacing w:val="-4"/>
                <w:sz w:val="24"/>
              </w:rPr>
              <w:t xml:space="preserve">38 </w:t>
            </w:r>
            <w:proofErr w:type="gramStart"/>
            <w:r w:rsidRPr="00A71A48">
              <w:rPr>
                <w:spacing w:val="-4"/>
                <w:sz w:val="24"/>
              </w:rPr>
              <w:t>ossature</w:t>
            </w:r>
            <w:proofErr w:type="gramEnd"/>
            <w:r w:rsidRPr="00A71A48">
              <w:rPr>
                <w:spacing w:val="-4"/>
                <w:sz w:val="24"/>
              </w:rPr>
              <w:t xml:space="preserve"> bois x 100 GBP (coût de fabrication supplémentaire)</w:t>
            </w:r>
          </w:p>
          <w:p w14:paraId="45B36079" w14:textId="77777777" w:rsidR="007F11E3" w:rsidRPr="00A71A48" w:rsidRDefault="007F11E3" w:rsidP="007F11E3">
            <w:pPr>
              <w:pStyle w:val="TableParagraph"/>
              <w:widowControl/>
              <w:rPr>
                <w:spacing w:val="-4"/>
                <w:sz w:val="24"/>
              </w:rPr>
            </w:pPr>
          </w:p>
        </w:tc>
        <w:tc>
          <w:tcPr>
            <w:tcW w:w="1191" w:type="pct"/>
          </w:tcPr>
          <w:p w14:paraId="0D88D222" w14:textId="77777777" w:rsidR="007F11E3" w:rsidRPr="00A71A48" w:rsidRDefault="007F11E3" w:rsidP="007F11E3">
            <w:pPr>
              <w:pStyle w:val="TableParagraph"/>
              <w:widowControl/>
              <w:jc w:val="center"/>
              <w:rPr>
                <w:spacing w:val="-4"/>
                <w:sz w:val="24"/>
              </w:rPr>
            </w:pPr>
          </w:p>
          <w:p w14:paraId="54F22377" w14:textId="77777777" w:rsidR="007F11E3" w:rsidRPr="00A71A48" w:rsidRDefault="007F11E3" w:rsidP="007F11E3">
            <w:pPr>
              <w:pStyle w:val="TableParagraph"/>
              <w:widowControl/>
              <w:jc w:val="center"/>
              <w:rPr>
                <w:spacing w:val="-4"/>
                <w:sz w:val="24"/>
              </w:rPr>
            </w:pPr>
          </w:p>
          <w:p w14:paraId="68476026" w14:textId="77777777" w:rsidR="00C22814" w:rsidRPr="00A71A48" w:rsidRDefault="008E1FBA" w:rsidP="007F11E3">
            <w:pPr>
              <w:pStyle w:val="TableParagraph"/>
              <w:widowControl/>
              <w:jc w:val="center"/>
              <w:rPr>
                <w:spacing w:val="-4"/>
                <w:sz w:val="24"/>
              </w:rPr>
            </w:pPr>
            <w:r w:rsidRPr="00A71A48">
              <w:rPr>
                <w:spacing w:val="-4"/>
                <w:sz w:val="24"/>
              </w:rPr>
              <w:t>51 200 GBP</w:t>
            </w:r>
          </w:p>
          <w:p w14:paraId="15407C6E" w14:textId="77777777" w:rsidR="00C22814" w:rsidRPr="00A71A48" w:rsidRDefault="008E1FBA" w:rsidP="007F11E3">
            <w:pPr>
              <w:pStyle w:val="TableParagraph"/>
              <w:widowControl/>
              <w:jc w:val="center"/>
              <w:rPr>
                <w:spacing w:val="-4"/>
                <w:sz w:val="24"/>
              </w:rPr>
            </w:pPr>
            <w:r w:rsidRPr="00A71A48">
              <w:rPr>
                <w:spacing w:val="-4"/>
                <w:sz w:val="24"/>
              </w:rPr>
              <w:t>3 800 GBP</w:t>
            </w:r>
          </w:p>
        </w:tc>
      </w:tr>
      <w:tr w:rsidR="00C22814" w:rsidRPr="00A71A48" w14:paraId="332A0C2A" w14:textId="77777777" w:rsidTr="00152CD4">
        <w:tc>
          <w:tcPr>
            <w:tcW w:w="3809" w:type="pct"/>
          </w:tcPr>
          <w:p w14:paraId="1B9989F0" w14:textId="77777777" w:rsidR="00C22814" w:rsidRPr="00A71A48" w:rsidRDefault="008E1FBA" w:rsidP="007F11E3">
            <w:pPr>
              <w:pStyle w:val="TableParagraph"/>
              <w:widowControl/>
              <w:rPr>
                <w:spacing w:val="-4"/>
                <w:sz w:val="24"/>
              </w:rPr>
            </w:pPr>
            <w:r w:rsidRPr="00A71A48">
              <w:rPr>
                <w:spacing w:val="-4"/>
                <w:sz w:val="24"/>
              </w:rPr>
              <w:t>14 maisons nécessitant des mesures</w:t>
            </w:r>
            <w:proofErr w:type="gramStart"/>
            <w:r w:rsidRPr="00A71A48">
              <w:rPr>
                <w:spacing w:val="-4"/>
                <w:sz w:val="24"/>
              </w:rPr>
              <w:t xml:space="preserve"> «complètes</w:t>
            </w:r>
            <w:proofErr w:type="gramEnd"/>
            <w:r w:rsidRPr="00A71A48">
              <w:rPr>
                <w:spacing w:val="-4"/>
                <w:sz w:val="24"/>
              </w:rPr>
              <w:t>» (barrières , puisard ou évents et fabrication) à un coût moyen de 500 GBP;</w:t>
            </w:r>
          </w:p>
          <w:p w14:paraId="6C4D6B3D" w14:textId="7AA37852" w:rsidR="00C22814" w:rsidRPr="00A71A48" w:rsidRDefault="008E1FBA" w:rsidP="007F11E3">
            <w:pPr>
              <w:pStyle w:val="TableParagraph"/>
              <w:widowControl/>
              <w:rPr>
                <w:spacing w:val="-4"/>
                <w:sz w:val="24"/>
              </w:rPr>
            </w:pPr>
            <w:r w:rsidRPr="00A71A48">
              <w:rPr>
                <w:spacing w:val="-4"/>
                <w:sz w:val="24"/>
              </w:rPr>
              <w:t>14 x</w:t>
            </w:r>
            <w:r w:rsidR="00A04A72" w:rsidRPr="00A71A48">
              <w:rPr>
                <w:spacing w:val="-4"/>
                <w:sz w:val="24"/>
              </w:rPr>
              <w:t> </w:t>
            </w:r>
            <w:r w:rsidRPr="00A71A48">
              <w:rPr>
                <w:spacing w:val="-4"/>
                <w:sz w:val="24"/>
              </w:rPr>
              <w:t>500 = 7 000 GBP</w:t>
            </w:r>
          </w:p>
          <w:p w14:paraId="7118060F" w14:textId="77777777" w:rsidR="00C22814" w:rsidRPr="00A71A48" w:rsidRDefault="008E1FBA" w:rsidP="007F11E3">
            <w:pPr>
              <w:pStyle w:val="TableParagraph"/>
              <w:widowControl/>
              <w:rPr>
                <w:spacing w:val="-4"/>
                <w:sz w:val="24"/>
              </w:rPr>
            </w:pPr>
            <w:r w:rsidRPr="00A71A48">
              <w:rPr>
                <w:spacing w:val="-4"/>
                <w:sz w:val="24"/>
              </w:rPr>
              <w:t xml:space="preserve">4 </w:t>
            </w:r>
            <w:proofErr w:type="gramStart"/>
            <w:r w:rsidRPr="00A71A48">
              <w:rPr>
                <w:spacing w:val="-4"/>
                <w:sz w:val="24"/>
              </w:rPr>
              <w:t>ossature</w:t>
            </w:r>
            <w:proofErr w:type="gramEnd"/>
            <w:r w:rsidRPr="00A71A48">
              <w:rPr>
                <w:spacing w:val="-4"/>
                <w:sz w:val="24"/>
              </w:rPr>
              <w:t xml:space="preserve"> bois x 200 GBP (coût de fabrication supplémentaire et coûts pour puisard ou évents)</w:t>
            </w:r>
          </w:p>
          <w:p w14:paraId="41AD53E0" w14:textId="77777777" w:rsidR="007F11E3" w:rsidRPr="00A71A48" w:rsidRDefault="007F11E3" w:rsidP="007F11E3">
            <w:pPr>
              <w:pStyle w:val="TableParagraph"/>
              <w:widowControl/>
              <w:rPr>
                <w:spacing w:val="-4"/>
                <w:sz w:val="24"/>
              </w:rPr>
            </w:pPr>
          </w:p>
        </w:tc>
        <w:tc>
          <w:tcPr>
            <w:tcW w:w="1191" w:type="pct"/>
          </w:tcPr>
          <w:p w14:paraId="31779DE7" w14:textId="77777777" w:rsidR="007F11E3" w:rsidRPr="00A71A48" w:rsidRDefault="007F11E3" w:rsidP="007F11E3">
            <w:pPr>
              <w:pStyle w:val="TableParagraph"/>
              <w:widowControl/>
              <w:jc w:val="center"/>
              <w:rPr>
                <w:spacing w:val="-4"/>
                <w:sz w:val="24"/>
              </w:rPr>
            </w:pPr>
          </w:p>
          <w:p w14:paraId="54F1857A" w14:textId="77777777" w:rsidR="007F11E3" w:rsidRPr="00A71A48" w:rsidRDefault="007F11E3" w:rsidP="007F11E3">
            <w:pPr>
              <w:pStyle w:val="TableParagraph"/>
              <w:widowControl/>
              <w:jc w:val="center"/>
              <w:rPr>
                <w:spacing w:val="-4"/>
                <w:sz w:val="24"/>
              </w:rPr>
            </w:pPr>
          </w:p>
          <w:p w14:paraId="509A7C00" w14:textId="77777777" w:rsidR="00C22814" w:rsidRPr="00A71A48" w:rsidRDefault="008E1FBA" w:rsidP="007F11E3">
            <w:pPr>
              <w:pStyle w:val="TableParagraph"/>
              <w:widowControl/>
              <w:jc w:val="center"/>
              <w:rPr>
                <w:spacing w:val="-4"/>
                <w:sz w:val="24"/>
              </w:rPr>
            </w:pPr>
            <w:r w:rsidRPr="00A71A48">
              <w:rPr>
                <w:spacing w:val="-4"/>
                <w:sz w:val="24"/>
              </w:rPr>
              <w:t>7 000 GBP</w:t>
            </w:r>
          </w:p>
          <w:p w14:paraId="5193EE4E" w14:textId="77777777" w:rsidR="00C22814" w:rsidRPr="00A71A48" w:rsidRDefault="008E1FBA" w:rsidP="007F11E3">
            <w:pPr>
              <w:pStyle w:val="TableParagraph"/>
              <w:widowControl/>
              <w:jc w:val="center"/>
              <w:rPr>
                <w:spacing w:val="-4"/>
                <w:sz w:val="24"/>
              </w:rPr>
            </w:pPr>
            <w:r w:rsidRPr="00A71A48">
              <w:rPr>
                <w:spacing w:val="-4"/>
                <w:sz w:val="24"/>
              </w:rPr>
              <w:t>800 GBP</w:t>
            </w:r>
          </w:p>
        </w:tc>
      </w:tr>
      <w:tr w:rsidR="00C22814" w:rsidRPr="00A71A48" w14:paraId="76EB84FE" w14:textId="77777777" w:rsidTr="00152CD4">
        <w:tc>
          <w:tcPr>
            <w:tcW w:w="3809" w:type="pct"/>
          </w:tcPr>
          <w:p w14:paraId="6F217B53" w14:textId="375A5150" w:rsidR="00C22814" w:rsidRPr="00A71A48" w:rsidRDefault="008E1FBA" w:rsidP="007F11E3">
            <w:pPr>
              <w:pStyle w:val="TableParagraph"/>
              <w:widowControl/>
              <w:ind w:left="4197"/>
              <w:rPr>
                <w:b/>
                <w:spacing w:val="-4"/>
                <w:sz w:val="24"/>
              </w:rPr>
            </w:pPr>
            <w:r w:rsidRPr="00A71A48">
              <w:rPr>
                <w:b/>
                <w:spacing w:val="-4"/>
                <w:sz w:val="24"/>
              </w:rPr>
              <w:t>Coût total des maisons neuves (année modèle</w:t>
            </w:r>
            <w:r w:rsidR="00A04A72" w:rsidRPr="00A71A48">
              <w:rPr>
                <w:b/>
                <w:spacing w:val="-4"/>
                <w:sz w:val="24"/>
              </w:rPr>
              <w:t> </w:t>
            </w:r>
            <w:r w:rsidRPr="00A71A48">
              <w:rPr>
                <w:b/>
                <w:spacing w:val="-4"/>
                <w:sz w:val="24"/>
              </w:rPr>
              <w:t>2018)</w:t>
            </w:r>
          </w:p>
        </w:tc>
        <w:tc>
          <w:tcPr>
            <w:tcW w:w="1191" w:type="pct"/>
          </w:tcPr>
          <w:p w14:paraId="728517B6" w14:textId="77777777" w:rsidR="00C22814" w:rsidRPr="00A71A48" w:rsidRDefault="008E1FBA" w:rsidP="007F11E3">
            <w:pPr>
              <w:pStyle w:val="TableParagraph"/>
              <w:widowControl/>
              <w:jc w:val="center"/>
              <w:rPr>
                <w:b/>
                <w:spacing w:val="-4"/>
                <w:sz w:val="24"/>
              </w:rPr>
            </w:pPr>
            <w:r w:rsidRPr="00A71A48">
              <w:rPr>
                <w:b/>
                <w:spacing w:val="-4"/>
                <w:sz w:val="24"/>
              </w:rPr>
              <w:t>= 62 800 GBP</w:t>
            </w:r>
          </w:p>
        </w:tc>
      </w:tr>
    </w:tbl>
    <w:p w14:paraId="445A096C" w14:textId="77777777" w:rsidR="00AD470F" w:rsidRPr="00A71A48" w:rsidRDefault="008E1FBA" w:rsidP="003F4974">
      <w:pPr>
        <w:pStyle w:val="Heading4"/>
        <w:keepNext/>
        <w:keepLines/>
        <w:widowControl/>
        <w:spacing w:before="240" w:after="240"/>
        <w:ind w:left="0"/>
        <w:rPr>
          <w:spacing w:val="-4"/>
        </w:rPr>
      </w:pPr>
      <w:r w:rsidRPr="00A71A48">
        <w:rPr>
          <w:spacing w:val="-4"/>
        </w:rPr>
        <w:t>OPTION </w:t>
      </w:r>
      <w:proofErr w:type="gramStart"/>
      <w:r w:rsidRPr="00A71A48">
        <w:rPr>
          <w:spacing w:val="-4"/>
        </w:rPr>
        <w:t>2:</w:t>
      </w:r>
      <w:proofErr w:type="gramEnd"/>
      <w:r w:rsidRPr="00A71A48">
        <w:rPr>
          <w:spacing w:val="-4"/>
        </w:rPr>
        <w:t xml:space="preserve"> Mesures de protection dans les nouvelles extensions résidentielles ciblées</w:t>
      </w:r>
    </w:p>
    <w:p w14:paraId="4D284588" w14:textId="347394D1" w:rsidR="00AD470F" w:rsidRPr="00A71A48" w:rsidRDefault="008E1FBA" w:rsidP="00F4320E">
      <w:pPr>
        <w:pStyle w:val="BodyText"/>
        <w:widowControl/>
        <w:spacing w:before="120" w:after="120"/>
        <w:ind w:left="567" w:hanging="567"/>
        <w:rPr>
          <w:spacing w:val="-4"/>
        </w:rPr>
      </w:pPr>
      <w:r w:rsidRPr="00A71A48">
        <w:rPr>
          <w:spacing w:val="-4"/>
        </w:rPr>
        <w:t>C23.</w:t>
      </w:r>
      <w:r w:rsidRPr="00A71A48">
        <w:rPr>
          <w:spacing w:val="-4"/>
        </w:rPr>
        <w:tab/>
        <w:t>Puisque les dispositions réglementaires relatives à la construction s’appliquent également aux extensions des logements concernés, les approbations de planification résidentielle en Irlande du Nord</w:t>
      </w:r>
      <w:r w:rsidR="00A04A72" w:rsidRPr="00A71A48">
        <w:rPr>
          <w:spacing w:val="-4"/>
        </w:rPr>
        <w:t> </w:t>
      </w:r>
      <w:r w:rsidRPr="00A71A48">
        <w:rPr>
          <w:spacing w:val="-4"/>
        </w:rPr>
        <w:t>2018-2019 ont été prises en compte, ce qui indique que les extensions de logements proportionnellement aux nouveaux logements approuvés équivalent à environ 89 %. Par conséquent, en l’absence de statistiques spécifiques d’achèvement des extensions résidentielles, l’interpolation de l’estimation de la statistique des nouveaux logements en Irlande du Nord pour 2018 est de 6 060 extensions résidentielles, pour la modélisation des prévisions sur un an. Ceci suggère que 545 extensions résidentielles supplémentaires auraient dû être construites en 2018 avec des mesures de protection contre le radon à la suite des changements de carte de 2015. En utilisant la même hypothèse contrefactuelle que pour les maisons neuves, à savoir que 70 % sont déjà en construction avec des mesures de protection contre le radon appropriées, ceci conduit à un nombre estimé d’extensions ciblées (30 %) à construire dans les zones de radon à hauteur de 164 en 2018.</w:t>
      </w:r>
    </w:p>
    <w:p w14:paraId="1D004F52" w14:textId="77777777" w:rsidR="00AD470F" w:rsidRPr="0002712A" w:rsidRDefault="008E1FBA" w:rsidP="00F4320E">
      <w:pPr>
        <w:pStyle w:val="BodyText"/>
        <w:widowControl/>
        <w:spacing w:before="120" w:after="120"/>
        <w:ind w:left="567" w:hanging="567"/>
      </w:pPr>
      <w:r>
        <w:t>C24.</w:t>
      </w:r>
      <w:r>
        <w:tab/>
        <w:t>La modélisation de l’EI anglaise de 2013 a établi que le coût des mesures</w:t>
      </w:r>
      <w:proofErr w:type="gramStart"/>
      <w:r>
        <w:t xml:space="preserve"> «complètes</w:t>
      </w:r>
      <w:proofErr w:type="gramEnd"/>
      <w:r>
        <w:t xml:space="preserve">» contre le radon dans une extension dépendrait du fait que le logement disposait d’une protection contre le radon existante, variant entre 210 GBP lorsque le bâtiment existant bénéficie déjà d’une protection contre le radon et 300 GBP lorsqu’il n’en bénéficie pas. Étant donné que ce dernier scénario est le plus probable, le ministère a fondé la modélisation de l’EIR sur une telle estimation. La modélisation anglaise a également quantifié le coût des mesures «de </w:t>
      </w:r>
      <w:proofErr w:type="gramStart"/>
      <w:r>
        <w:t>base»</w:t>
      </w:r>
      <w:proofErr w:type="gramEnd"/>
      <w:r>
        <w:t xml:space="preserve"> du radon dans une extension à hauteur de 90 GBP. Les calculs adoptent également la même hypothèse de données prédictives de PHE pour les nouvelles extensions affectées, à savoir que 90 % nécessiteront des mesures de protection «de </w:t>
      </w:r>
      <w:proofErr w:type="gramStart"/>
      <w:r>
        <w:t>base»</w:t>
      </w:r>
      <w:proofErr w:type="gramEnd"/>
      <w:r>
        <w:t xml:space="preserve"> et 10 % nécessiteront des mesures «complètes» conformément aux directives du document BR211 de 2015.</w:t>
      </w:r>
    </w:p>
    <w:p w14:paraId="2FEFB942" w14:textId="77777777" w:rsidR="00C22814" w:rsidRPr="0002712A" w:rsidRDefault="008E1FBA" w:rsidP="003F4974">
      <w:pPr>
        <w:pStyle w:val="Heading4"/>
        <w:keepNext/>
        <w:keepLines/>
        <w:widowControl/>
        <w:spacing w:before="240" w:after="240"/>
        <w:ind w:left="0"/>
      </w:pPr>
      <w:r>
        <w:t>Analyse des coûts des extensions résidentielles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7332"/>
        <w:gridCol w:w="2292"/>
      </w:tblGrid>
      <w:tr w:rsidR="00C22814" w:rsidRPr="00A71A48" w14:paraId="0B626544" w14:textId="77777777" w:rsidTr="00E3490A">
        <w:tc>
          <w:tcPr>
            <w:tcW w:w="3809" w:type="pct"/>
          </w:tcPr>
          <w:p w14:paraId="1AA2E2DC" w14:textId="77777777" w:rsidR="00C22814" w:rsidRPr="00A71A48" w:rsidRDefault="008E1FBA" w:rsidP="00E3490A">
            <w:pPr>
              <w:pStyle w:val="TableParagraph"/>
              <w:keepNext/>
              <w:keepLines/>
              <w:widowControl/>
              <w:rPr>
                <w:b/>
                <w:spacing w:val="-4"/>
                <w:sz w:val="24"/>
              </w:rPr>
            </w:pPr>
            <w:r w:rsidRPr="00A71A48">
              <w:rPr>
                <w:b/>
                <w:spacing w:val="-4"/>
                <w:sz w:val="24"/>
              </w:rPr>
              <w:t>Extensions d’habitations concernées</w:t>
            </w:r>
          </w:p>
        </w:tc>
        <w:tc>
          <w:tcPr>
            <w:tcW w:w="1191" w:type="pct"/>
          </w:tcPr>
          <w:p w14:paraId="75E5C924" w14:textId="77777777" w:rsidR="00C22814" w:rsidRPr="00A71A48" w:rsidRDefault="00C22814" w:rsidP="00E3490A">
            <w:pPr>
              <w:pStyle w:val="TableParagraph"/>
              <w:keepNext/>
              <w:keepLines/>
              <w:widowControl/>
              <w:jc w:val="center"/>
              <w:rPr>
                <w:rFonts w:ascii="Times New Roman"/>
                <w:spacing w:val="-4"/>
                <w:sz w:val="20"/>
              </w:rPr>
            </w:pPr>
          </w:p>
        </w:tc>
      </w:tr>
      <w:tr w:rsidR="00C22814" w:rsidRPr="00A71A48" w14:paraId="2EB7BB56" w14:textId="77777777" w:rsidTr="00E3490A">
        <w:tc>
          <w:tcPr>
            <w:tcW w:w="3809" w:type="pct"/>
          </w:tcPr>
          <w:p w14:paraId="58D3867E" w14:textId="77777777" w:rsidR="00C22814" w:rsidRPr="00A71A48" w:rsidRDefault="008E1FBA" w:rsidP="00E3490A">
            <w:pPr>
              <w:pStyle w:val="TableParagraph"/>
              <w:widowControl/>
              <w:rPr>
                <w:spacing w:val="-4"/>
                <w:sz w:val="24"/>
              </w:rPr>
            </w:pPr>
            <w:r w:rsidRPr="00A71A48">
              <w:rPr>
                <w:spacing w:val="-4"/>
                <w:sz w:val="24"/>
              </w:rPr>
              <w:t>Interpolation des achèvements de maisons neuves en Irlande du Nord en 2018 (Building Control Stats</w:t>
            </w:r>
            <w:proofErr w:type="gramStart"/>
            <w:r w:rsidRPr="00A71A48">
              <w:rPr>
                <w:spacing w:val="-4"/>
                <w:sz w:val="24"/>
              </w:rPr>
              <w:t>);</w:t>
            </w:r>
            <w:proofErr w:type="gramEnd"/>
          </w:p>
          <w:p w14:paraId="45DB70BB" w14:textId="77777777" w:rsidR="00C22814" w:rsidRPr="00A71A48" w:rsidRDefault="008E1FBA" w:rsidP="00E3490A">
            <w:pPr>
              <w:pStyle w:val="TableParagraph"/>
              <w:widowControl/>
              <w:rPr>
                <w:spacing w:val="-4"/>
                <w:sz w:val="24"/>
              </w:rPr>
            </w:pPr>
            <w:r w:rsidRPr="00A71A48">
              <w:rPr>
                <w:spacing w:val="-4"/>
                <w:sz w:val="24"/>
              </w:rPr>
              <w:t>6 886 x 89 % de proportion d’extensions d’habitations =</w:t>
            </w:r>
          </w:p>
          <w:p w14:paraId="0E80916D" w14:textId="77777777" w:rsidR="00E3490A" w:rsidRPr="00A71A48" w:rsidRDefault="00E3490A" w:rsidP="00E3490A">
            <w:pPr>
              <w:pStyle w:val="TableParagraph"/>
              <w:widowControl/>
              <w:rPr>
                <w:spacing w:val="-4"/>
                <w:sz w:val="24"/>
              </w:rPr>
            </w:pPr>
          </w:p>
        </w:tc>
        <w:tc>
          <w:tcPr>
            <w:tcW w:w="1191" w:type="pct"/>
          </w:tcPr>
          <w:p w14:paraId="7557ADC1" w14:textId="77777777" w:rsidR="00E3490A" w:rsidRPr="00A71A48" w:rsidRDefault="00E3490A" w:rsidP="00E3490A">
            <w:pPr>
              <w:pStyle w:val="TableParagraph"/>
              <w:widowControl/>
              <w:jc w:val="center"/>
              <w:rPr>
                <w:spacing w:val="-4"/>
                <w:sz w:val="24"/>
              </w:rPr>
            </w:pPr>
          </w:p>
          <w:p w14:paraId="3FB1B6EE" w14:textId="77777777" w:rsidR="00E3490A" w:rsidRPr="00A71A48" w:rsidRDefault="00E3490A" w:rsidP="00E3490A">
            <w:pPr>
              <w:pStyle w:val="TableParagraph"/>
              <w:widowControl/>
              <w:jc w:val="center"/>
              <w:rPr>
                <w:spacing w:val="-4"/>
                <w:sz w:val="24"/>
              </w:rPr>
            </w:pPr>
          </w:p>
          <w:p w14:paraId="1FC39F01" w14:textId="77777777" w:rsidR="00C22814" w:rsidRPr="00A71A48" w:rsidRDefault="008E1FBA" w:rsidP="00E3490A">
            <w:pPr>
              <w:pStyle w:val="TableParagraph"/>
              <w:widowControl/>
              <w:jc w:val="center"/>
              <w:rPr>
                <w:spacing w:val="-4"/>
                <w:sz w:val="24"/>
              </w:rPr>
            </w:pPr>
            <w:r w:rsidRPr="00A71A48">
              <w:rPr>
                <w:spacing w:val="-4"/>
                <w:sz w:val="24"/>
              </w:rPr>
              <w:t>6 060</w:t>
            </w:r>
          </w:p>
        </w:tc>
      </w:tr>
      <w:tr w:rsidR="00C22814" w:rsidRPr="00A71A48" w14:paraId="51171124" w14:textId="77777777" w:rsidTr="00E3490A">
        <w:tc>
          <w:tcPr>
            <w:tcW w:w="3809" w:type="pct"/>
          </w:tcPr>
          <w:p w14:paraId="599AA124" w14:textId="767B90CE" w:rsidR="00C22814" w:rsidRPr="00A71A48" w:rsidRDefault="008E1FBA" w:rsidP="00A71A48">
            <w:pPr>
              <w:pStyle w:val="TableParagraph"/>
              <w:keepNext/>
              <w:widowControl/>
              <w:rPr>
                <w:spacing w:val="-4"/>
                <w:sz w:val="24"/>
              </w:rPr>
            </w:pPr>
            <w:r w:rsidRPr="00A71A48">
              <w:rPr>
                <w:spacing w:val="-4"/>
                <w:sz w:val="24"/>
              </w:rPr>
              <w:lastRenderedPageBreak/>
              <w:t>Différence d’utilisation de la carte</w:t>
            </w:r>
            <w:r w:rsidR="00A04A72" w:rsidRPr="00A71A48">
              <w:rPr>
                <w:spacing w:val="-4"/>
                <w:sz w:val="24"/>
              </w:rPr>
              <w:t> </w:t>
            </w:r>
            <w:r w:rsidRPr="00A71A48">
              <w:rPr>
                <w:spacing w:val="-4"/>
                <w:sz w:val="24"/>
              </w:rPr>
              <w:t>2015 vs 2009 en %</w:t>
            </w:r>
          </w:p>
          <w:p w14:paraId="1C24C62F" w14:textId="77777777" w:rsidR="00C22814" w:rsidRPr="00A71A48" w:rsidRDefault="008E1FBA" w:rsidP="00A71A48">
            <w:pPr>
              <w:pStyle w:val="TableParagraph"/>
              <w:keepNext/>
              <w:widowControl/>
              <w:rPr>
                <w:spacing w:val="-4"/>
                <w:sz w:val="24"/>
              </w:rPr>
            </w:pPr>
            <w:r w:rsidRPr="00A71A48">
              <w:rPr>
                <w:spacing w:val="-4"/>
                <w:sz w:val="24"/>
              </w:rPr>
              <w:t>6 060 extensions proportionnelles à 20,0 % = 1 212 extensions</w:t>
            </w:r>
          </w:p>
          <w:p w14:paraId="49D3C653" w14:textId="77777777" w:rsidR="00C22814" w:rsidRPr="00A71A48" w:rsidRDefault="008E1FBA" w:rsidP="00A71A48">
            <w:pPr>
              <w:pStyle w:val="TableParagraph"/>
              <w:keepNext/>
              <w:widowControl/>
              <w:rPr>
                <w:spacing w:val="-4"/>
                <w:sz w:val="24"/>
              </w:rPr>
            </w:pPr>
            <w:r w:rsidRPr="00A71A48">
              <w:rPr>
                <w:spacing w:val="-4"/>
                <w:sz w:val="24"/>
              </w:rPr>
              <w:t>6 060 extensions proportionnelles à 11,1 % = 667 extensions</w:t>
            </w:r>
          </w:p>
          <w:p w14:paraId="5C6C4268" w14:textId="77777777" w:rsidR="00C22814" w:rsidRPr="00A71A48" w:rsidRDefault="008E1FBA" w:rsidP="00A71A48">
            <w:pPr>
              <w:pStyle w:val="TableParagraph"/>
              <w:keepNext/>
              <w:widowControl/>
              <w:ind w:left="2127"/>
              <w:rPr>
                <w:spacing w:val="-4"/>
                <w:sz w:val="24"/>
              </w:rPr>
            </w:pPr>
            <w:r w:rsidRPr="00A71A48">
              <w:rPr>
                <w:spacing w:val="-4"/>
                <w:sz w:val="24"/>
              </w:rPr>
              <w:t>Différence = 545 extensions supplémentaires nécessitant des mesures après la carte de 2009</w:t>
            </w:r>
          </w:p>
          <w:p w14:paraId="403C6AF8" w14:textId="77777777" w:rsidR="00E3490A" w:rsidRPr="00A71A48" w:rsidRDefault="00E3490A" w:rsidP="00A71A48">
            <w:pPr>
              <w:pStyle w:val="TableParagraph"/>
              <w:keepNext/>
              <w:widowControl/>
              <w:ind w:left="2127"/>
              <w:rPr>
                <w:spacing w:val="-4"/>
                <w:sz w:val="24"/>
              </w:rPr>
            </w:pPr>
          </w:p>
        </w:tc>
        <w:tc>
          <w:tcPr>
            <w:tcW w:w="1191" w:type="pct"/>
          </w:tcPr>
          <w:p w14:paraId="68E0881B" w14:textId="77777777" w:rsidR="00E3490A" w:rsidRPr="00A71A48" w:rsidRDefault="00E3490A" w:rsidP="00A71A48">
            <w:pPr>
              <w:pStyle w:val="TableParagraph"/>
              <w:keepNext/>
              <w:widowControl/>
              <w:jc w:val="center"/>
              <w:rPr>
                <w:spacing w:val="-4"/>
                <w:sz w:val="24"/>
              </w:rPr>
            </w:pPr>
          </w:p>
          <w:p w14:paraId="08D24FC0" w14:textId="77777777" w:rsidR="00E3490A" w:rsidRPr="00A71A48" w:rsidRDefault="00E3490A" w:rsidP="00A71A48">
            <w:pPr>
              <w:pStyle w:val="TableParagraph"/>
              <w:keepNext/>
              <w:widowControl/>
              <w:jc w:val="center"/>
              <w:rPr>
                <w:spacing w:val="-4"/>
                <w:sz w:val="24"/>
              </w:rPr>
            </w:pPr>
          </w:p>
          <w:p w14:paraId="074A275C" w14:textId="77777777" w:rsidR="00E3490A" w:rsidRPr="00A71A48" w:rsidRDefault="00E3490A" w:rsidP="00A71A48">
            <w:pPr>
              <w:pStyle w:val="TableParagraph"/>
              <w:keepNext/>
              <w:widowControl/>
              <w:jc w:val="center"/>
              <w:rPr>
                <w:spacing w:val="-4"/>
                <w:sz w:val="24"/>
              </w:rPr>
            </w:pPr>
          </w:p>
          <w:p w14:paraId="42D4A726" w14:textId="77777777" w:rsidR="00E3490A" w:rsidRPr="00A71A48" w:rsidRDefault="00E3490A" w:rsidP="00A71A48">
            <w:pPr>
              <w:pStyle w:val="TableParagraph"/>
              <w:keepNext/>
              <w:widowControl/>
              <w:jc w:val="center"/>
              <w:rPr>
                <w:spacing w:val="-4"/>
                <w:sz w:val="24"/>
              </w:rPr>
            </w:pPr>
          </w:p>
          <w:p w14:paraId="731D3584" w14:textId="77777777" w:rsidR="00C22814" w:rsidRPr="00A71A48" w:rsidRDefault="008E1FBA" w:rsidP="00A71A48">
            <w:pPr>
              <w:pStyle w:val="TableParagraph"/>
              <w:keepNext/>
              <w:widowControl/>
              <w:jc w:val="center"/>
              <w:rPr>
                <w:spacing w:val="-4"/>
                <w:sz w:val="24"/>
              </w:rPr>
            </w:pPr>
            <w:r w:rsidRPr="00A71A48">
              <w:rPr>
                <w:spacing w:val="-4"/>
                <w:sz w:val="24"/>
              </w:rPr>
              <w:t>545</w:t>
            </w:r>
          </w:p>
          <w:p w14:paraId="429B0B8E" w14:textId="77777777" w:rsidR="00E3490A" w:rsidRPr="00A71A48" w:rsidRDefault="00E3490A" w:rsidP="00A71A48">
            <w:pPr>
              <w:pStyle w:val="TableParagraph"/>
              <w:keepNext/>
              <w:widowControl/>
              <w:jc w:val="center"/>
              <w:rPr>
                <w:spacing w:val="-4"/>
                <w:sz w:val="24"/>
              </w:rPr>
            </w:pPr>
          </w:p>
        </w:tc>
      </w:tr>
      <w:tr w:rsidR="00E3490A" w:rsidRPr="00A71A48" w14:paraId="6506B111" w14:textId="77777777" w:rsidTr="00E3490A">
        <w:tc>
          <w:tcPr>
            <w:tcW w:w="3809" w:type="pct"/>
          </w:tcPr>
          <w:p w14:paraId="7CF961A6" w14:textId="77777777" w:rsidR="00E3490A" w:rsidRPr="00A71A48" w:rsidRDefault="00E3490A" w:rsidP="00E3490A">
            <w:pPr>
              <w:pStyle w:val="TableParagraph"/>
              <w:widowControl/>
              <w:jc w:val="both"/>
              <w:rPr>
                <w:spacing w:val="-4"/>
                <w:sz w:val="24"/>
              </w:rPr>
            </w:pPr>
            <w:r w:rsidRPr="00A71A48">
              <w:rPr>
                <w:spacing w:val="-4"/>
                <w:sz w:val="24"/>
              </w:rPr>
              <w:t xml:space="preserve">Application des bonnes pratiques des nouvelles cartes dans le scénario </w:t>
            </w:r>
            <w:proofErr w:type="gramStart"/>
            <w:r w:rsidRPr="00A71A48">
              <w:rPr>
                <w:spacing w:val="-4"/>
                <w:sz w:val="24"/>
              </w:rPr>
              <w:t>contrefactuel:</w:t>
            </w:r>
            <w:proofErr w:type="gramEnd"/>
            <w:r w:rsidRPr="00A71A48">
              <w:rPr>
                <w:spacing w:val="-4"/>
                <w:sz w:val="24"/>
              </w:rPr>
              <w:t xml:space="preserve"> 70 % des 545 extensions supplémentaires construites avec des mesures de protection appropriées pour les «zones affectées», les 30 % restants devront être ciblés;</w:t>
            </w:r>
          </w:p>
          <w:p w14:paraId="062419C4" w14:textId="77777777" w:rsidR="00E3490A" w:rsidRPr="00A71A48" w:rsidRDefault="00E3490A" w:rsidP="00E3490A">
            <w:pPr>
              <w:pStyle w:val="TableParagraph"/>
              <w:widowControl/>
              <w:rPr>
                <w:spacing w:val="-4"/>
                <w:sz w:val="24"/>
              </w:rPr>
            </w:pPr>
            <w:r w:rsidRPr="00A71A48">
              <w:rPr>
                <w:spacing w:val="-4"/>
                <w:sz w:val="24"/>
              </w:rPr>
              <w:t>545 x 30 % = 164 extensions (sans protection appropriée)</w:t>
            </w:r>
          </w:p>
          <w:p w14:paraId="31FD1C71" w14:textId="77777777" w:rsidR="00E3490A" w:rsidRPr="00A71A48" w:rsidRDefault="00E3490A" w:rsidP="00E3490A">
            <w:pPr>
              <w:pStyle w:val="TableParagraph"/>
              <w:widowControl/>
              <w:rPr>
                <w:spacing w:val="-4"/>
                <w:sz w:val="24"/>
              </w:rPr>
            </w:pPr>
          </w:p>
        </w:tc>
        <w:tc>
          <w:tcPr>
            <w:tcW w:w="1191" w:type="pct"/>
          </w:tcPr>
          <w:p w14:paraId="5638E348" w14:textId="77777777" w:rsidR="00E3490A" w:rsidRPr="00A71A48" w:rsidRDefault="00E3490A" w:rsidP="00E3490A">
            <w:pPr>
              <w:pStyle w:val="TableParagraph"/>
              <w:widowControl/>
              <w:jc w:val="center"/>
              <w:rPr>
                <w:spacing w:val="-4"/>
                <w:sz w:val="24"/>
              </w:rPr>
            </w:pPr>
          </w:p>
          <w:p w14:paraId="5F741EE4" w14:textId="77777777" w:rsidR="00E3490A" w:rsidRPr="00A71A48" w:rsidRDefault="00E3490A" w:rsidP="00E3490A">
            <w:pPr>
              <w:pStyle w:val="TableParagraph"/>
              <w:widowControl/>
              <w:jc w:val="center"/>
              <w:rPr>
                <w:spacing w:val="-4"/>
                <w:sz w:val="24"/>
              </w:rPr>
            </w:pPr>
          </w:p>
          <w:p w14:paraId="04D1F396" w14:textId="77777777" w:rsidR="00E3490A" w:rsidRPr="00A71A48" w:rsidRDefault="00E3490A" w:rsidP="00E3490A">
            <w:pPr>
              <w:pStyle w:val="TableParagraph"/>
              <w:widowControl/>
              <w:jc w:val="center"/>
              <w:rPr>
                <w:spacing w:val="-4"/>
                <w:sz w:val="24"/>
              </w:rPr>
            </w:pPr>
          </w:p>
          <w:p w14:paraId="057A8468" w14:textId="77777777" w:rsidR="00E3490A" w:rsidRPr="00A71A48" w:rsidRDefault="00E3490A" w:rsidP="00E3490A">
            <w:pPr>
              <w:pStyle w:val="TableParagraph"/>
              <w:widowControl/>
              <w:jc w:val="center"/>
              <w:rPr>
                <w:spacing w:val="-4"/>
                <w:sz w:val="24"/>
              </w:rPr>
            </w:pPr>
            <w:r w:rsidRPr="00A71A48">
              <w:rPr>
                <w:spacing w:val="-4"/>
                <w:sz w:val="24"/>
              </w:rPr>
              <w:t>164</w:t>
            </w:r>
          </w:p>
          <w:p w14:paraId="48364520" w14:textId="77777777" w:rsidR="00E3490A" w:rsidRPr="00A71A48" w:rsidRDefault="00E3490A" w:rsidP="00E3490A">
            <w:pPr>
              <w:pStyle w:val="TableParagraph"/>
              <w:widowControl/>
              <w:jc w:val="center"/>
              <w:rPr>
                <w:rFonts w:ascii="Times New Roman"/>
                <w:spacing w:val="-4"/>
              </w:rPr>
            </w:pPr>
          </w:p>
        </w:tc>
      </w:tr>
      <w:tr w:rsidR="00C22814" w:rsidRPr="00A71A48" w14:paraId="4B3683C7" w14:textId="77777777" w:rsidTr="00E3490A">
        <w:tc>
          <w:tcPr>
            <w:tcW w:w="3809" w:type="pct"/>
          </w:tcPr>
          <w:p w14:paraId="4CC3CE37" w14:textId="77777777" w:rsidR="00AD470F" w:rsidRPr="00A71A48" w:rsidRDefault="008E1FBA" w:rsidP="00E3490A">
            <w:pPr>
              <w:pStyle w:val="TableParagraph"/>
              <w:widowControl/>
              <w:rPr>
                <w:spacing w:val="-4"/>
                <w:sz w:val="24"/>
              </w:rPr>
            </w:pPr>
            <w:r w:rsidRPr="00A71A48">
              <w:rPr>
                <w:spacing w:val="-4"/>
                <w:sz w:val="24"/>
              </w:rPr>
              <w:t xml:space="preserve">Les données prédictives de PHE concernant les zones à risque de radon en Irlande du Nord en 2015 suggèrent que 90 % des nouvelles extensions concernées nécessiteront des mesures de protection «de </w:t>
            </w:r>
            <w:proofErr w:type="gramStart"/>
            <w:r w:rsidRPr="00A71A48">
              <w:rPr>
                <w:spacing w:val="-4"/>
                <w:sz w:val="24"/>
              </w:rPr>
              <w:t>base»</w:t>
            </w:r>
            <w:proofErr w:type="gramEnd"/>
            <w:r w:rsidRPr="00A71A48">
              <w:rPr>
                <w:spacing w:val="-4"/>
                <w:sz w:val="24"/>
              </w:rPr>
              <w:t xml:space="preserve"> et 10 % nécessiteront des mesures de protection «complètes»</w:t>
            </w:r>
          </w:p>
          <w:p w14:paraId="0ECAE32F" w14:textId="77777777" w:rsidR="00E3490A" w:rsidRPr="00A71A48" w:rsidRDefault="00E3490A" w:rsidP="00E3490A">
            <w:pPr>
              <w:pStyle w:val="TableParagraph"/>
              <w:widowControl/>
              <w:rPr>
                <w:spacing w:val="-4"/>
                <w:sz w:val="24"/>
              </w:rPr>
            </w:pPr>
          </w:p>
          <w:p w14:paraId="187A3554" w14:textId="77777777" w:rsidR="00C22814" w:rsidRPr="00A71A48" w:rsidRDefault="008E1FBA" w:rsidP="00E3490A">
            <w:pPr>
              <w:pStyle w:val="TableParagraph"/>
              <w:widowControl/>
              <w:rPr>
                <w:spacing w:val="-4"/>
                <w:sz w:val="24"/>
              </w:rPr>
            </w:pPr>
            <w:r w:rsidRPr="00A71A48">
              <w:rPr>
                <w:spacing w:val="-4"/>
                <w:sz w:val="24"/>
              </w:rPr>
              <w:t xml:space="preserve">Soit 164 x 90 % = 148 extensions nécessitant des mesures de protection «de </w:t>
            </w:r>
            <w:proofErr w:type="gramStart"/>
            <w:r w:rsidRPr="00A71A48">
              <w:rPr>
                <w:spacing w:val="-4"/>
                <w:sz w:val="24"/>
              </w:rPr>
              <w:t>base»</w:t>
            </w:r>
            <w:proofErr w:type="gramEnd"/>
            <w:r w:rsidRPr="00A71A48">
              <w:rPr>
                <w:spacing w:val="-4"/>
                <w:sz w:val="24"/>
              </w:rPr>
              <w:t>, &amp;</w:t>
            </w:r>
          </w:p>
          <w:p w14:paraId="235C9449" w14:textId="77777777" w:rsidR="00C22814" w:rsidRPr="00A71A48" w:rsidRDefault="008E1FBA" w:rsidP="00E3490A">
            <w:pPr>
              <w:pStyle w:val="TableParagraph"/>
              <w:widowControl/>
              <w:rPr>
                <w:spacing w:val="-4"/>
                <w:sz w:val="24"/>
              </w:rPr>
            </w:pPr>
            <w:r w:rsidRPr="00A71A48">
              <w:rPr>
                <w:spacing w:val="-4"/>
                <w:sz w:val="24"/>
              </w:rPr>
              <w:t>164 x 10 % = 16 extensions nécessitant des mesures de protection</w:t>
            </w:r>
            <w:proofErr w:type="gramStart"/>
            <w:r w:rsidRPr="00A71A48">
              <w:rPr>
                <w:spacing w:val="-4"/>
                <w:sz w:val="24"/>
              </w:rPr>
              <w:t xml:space="preserve"> «complètes</w:t>
            </w:r>
            <w:proofErr w:type="gramEnd"/>
            <w:r w:rsidRPr="00A71A48">
              <w:rPr>
                <w:spacing w:val="-4"/>
                <w:sz w:val="24"/>
              </w:rPr>
              <w:t>»</w:t>
            </w:r>
          </w:p>
          <w:p w14:paraId="31B173E9" w14:textId="77777777" w:rsidR="00E3490A" w:rsidRPr="00A71A48" w:rsidRDefault="00E3490A" w:rsidP="00E3490A">
            <w:pPr>
              <w:pStyle w:val="TableParagraph"/>
              <w:widowControl/>
              <w:rPr>
                <w:spacing w:val="-4"/>
                <w:sz w:val="24"/>
              </w:rPr>
            </w:pPr>
          </w:p>
        </w:tc>
        <w:tc>
          <w:tcPr>
            <w:tcW w:w="1191" w:type="pct"/>
          </w:tcPr>
          <w:p w14:paraId="7FB87EBE" w14:textId="77777777" w:rsidR="00E3490A" w:rsidRPr="00A71A48" w:rsidRDefault="00E3490A" w:rsidP="00E3490A">
            <w:pPr>
              <w:pStyle w:val="TableParagraph"/>
              <w:widowControl/>
              <w:jc w:val="center"/>
              <w:rPr>
                <w:spacing w:val="-4"/>
                <w:sz w:val="24"/>
              </w:rPr>
            </w:pPr>
          </w:p>
          <w:p w14:paraId="63E33BB4" w14:textId="77777777" w:rsidR="00E3490A" w:rsidRPr="00A71A48" w:rsidRDefault="00E3490A" w:rsidP="00E3490A">
            <w:pPr>
              <w:pStyle w:val="TableParagraph"/>
              <w:widowControl/>
              <w:jc w:val="center"/>
              <w:rPr>
                <w:spacing w:val="-4"/>
                <w:sz w:val="24"/>
              </w:rPr>
            </w:pPr>
          </w:p>
          <w:p w14:paraId="1F764BD3" w14:textId="77777777" w:rsidR="00E3490A" w:rsidRPr="00A71A48" w:rsidRDefault="00E3490A" w:rsidP="00E3490A">
            <w:pPr>
              <w:pStyle w:val="TableParagraph"/>
              <w:widowControl/>
              <w:jc w:val="center"/>
              <w:rPr>
                <w:spacing w:val="-4"/>
                <w:sz w:val="24"/>
              </w:rPr>
            </w:pPr>
          </w:p>
          <w:p w14:paraId="1847928E" w14:textId="77777777" w:rsidR="00E3490A" w:rsidRPr="00A71A48" w:rsidRDefault="00E3490A" w:rsidP="00E3490A">
            <w:pPr>
              <w:pStyle w:val="TableParagraph"/>
              <w:widowControl/>
              <w:jc w:val="center"/>
              <w:rPr>
                <w:spacing w:val="-4"/>
                <w:sz w:val="24"/>
              </w:rPr>
            </w:pPr>
          </w:p>
          <w:p w14:paraId="0CCE0E35" w14:textId="77777777" w:rsidR="00AD470F" w:rsidRPr="00A71A48" w:rsidRDefault="008E1FBA" w:rsidP="00E3490A">
            <w:pPr>
              <w:pStyle w:val="TableParagraph"/>
              <w:widowControl/>
              <w:jc w:val="center"/>
              <w:rPr>
                <w:spacing w:val="-4"/>
                <w:sz w:val="24"/>
              </w:rPr>
            </w:pPr>
            <w:r w:rsidRPr="00A71A48">
              <w:rPr>
                <w:spacing w:val="-4"/>
                <w:sz w:val="24"/>
              </w:rPr>
              <w:t xml:space="preserve">148 «de </w:t>
            </w:r>
            <w:proofErr w:type="gramStart"/>
            <w:r w:rsidRPr="00A71A48">
              <w:rPr>
                <w:spacing w:val="-4"/>
                <w:sz w:val="24"/>
              </w:rPr>
              <w:t>base»</w:t>
            </w:r>
            <w:proofErr w:type="gramEnd"/>
          </w:p>
          <w:p w14:paraId="5803B8B5" w14:textId="77777777" w:rsidR="00E3490A" w:rsidRPr="00A71A48" w:rsidRDefault="00E3490A" w:rsidP="00E3490A">
            <w:pPr>
              <w:pStyle w:val="TableParagraph"/>
              <w:widowControl/>
              <w:jc w:val="center"/>
              <w:rPr>
                <w:spacing w:val="-4"/>
                <w:sz w:val="24"/>
              </w:rPr>
            </w:pPr>
          </w:p>
          <w:p w14:paraId="21D1CD19" w14:textId="77777777" w:rsidR="00C22814" w:rsidRPr="00A71A48" w:rsidRDefault="008E1FBA" w:rsidP="00E3490A">
            <w:pPr>
              <w:pStyle w:val="TableParagraph"/>
              <w:widowControl/>
              <w:jc w:val="center"/>
              <w:rPr>
                <w:spacing w:val="-4"/>
                <w:sz w:val="24"/>
              </w:rPr>
            </w:pPr>
            <w:r w:rsidRPr="00A71A48">
              <w:rPr>
                <w:spacing w:val="-4"/>
                <w:sz w:val="24"/>
              </w:rPr>
              <w:t>16</w:t>
            </w:r>
            <w:proofErr w:type="gramStart"/>
            <w:r w:rsidRPr="00A71A48">
              <w:rPr>
                <w:spacing w:val="-4"/>
                <w:sz w:val="24"/>
              </w:rPr>
              <w:t xml:space="preserve"> «complètes</w:t>
            </w:r>
            <w:proofErr w:type="gramEnd"/>
            <w:r w:rsidRPr="00A71A48">
              <w:rPr>
                <w:spacing w:val="-4"/>
                <w:sz w:val="24"/>
              </w:rPr>
              <w:t>»</w:t>
            </w:r>
          </w:p>
          <w:p w14:paraId="08B60DA7" w14:textId="77777777" w:rsidR="00E3490A" w:rsidRPr="00A71A48" w:rsidRDefault="00E3490A" w:rsidP="00E3490A">
            <w:pPr>
              <w:pStyle w:val="TableParagraph"/>
              <w:widowControl/>
              <w:jc w:val="center"/>
              <w:rPr>
                <w:spacing w:val="-4"/>
                <w:sz w:val="24"/>
              </w:rPr>
            </w:pPr>
          </w:p>
        </w:tc>
      </w:tr>
      <w:tr w:rsidR="00C22814" w:rsidRPr="00A71A48" w14:paraId="1EB6F6D3" w14:textId="77777777" w:rsidTr="00E3490A">
        <w:tc>
          <w:tcPr>
            <w:tcW w:w="3809" w:type="pct"/>
          </w:tcPr>
          <w:p w14:paraId="056A4768" w14:textId="77777777" w:rsidR="00C22814" w:rsidRPr="00A71A48" w:rsidRDefault="008E1FBA" w:rsidP="00E3490A">
            <w:pPr>
              <w:pStyle w:val="TableParagraph"/>
              <w:widowControl/>
              <w:rPr>
                <w:spacing w:val="-4"/>
                <w:sz w:val="24"/>
              </w:rPr>
            </w:pPr>
            <w:proofErr w:type="gramStart"/>
            <w:r w:rsidRPr="00A71A48">
              <w:rPr>
                <w:spacing w:val="-4"/>
                <w:sz w:val="24"/>
              </w:rPr>
              <w:t>Remarque:</w:t>
            </w:r>
            <w:proofErr w:type="gramEnd"/>
            <w:r w:rsidRPr="00A71A48">
              <w:rPr>
                <w:spacing w:val="-4"/>
                <w:sz w:val="24"/>
              </w:rPr>
              <w:t xml:space="preserve"> En réalité, en raison des bénéfices en termes de vitesse de montage, d’efficacité du temps sur site et de rentabilité, un certain nombre des extensions de logement ci-dessus seront à ossature bois, mais sans statistiques spécifiques à l’Irlande du Nord disponibles, les calculs de l’EIR n’ont pas</w:t>
            </w:r>
          </w:p>
          <w:p w14:paraId="594219A7" w14:textId="77777777" w:rsidR="00C22814" w:rsidRPr="00A71A48" w:rsidRDefault="008E1FBA" w:rsidP="00E3490A">
            <w:pPr>
              <w:pStyle w:val="TableParagraph"/>
              <w:widowControl/>
              <w:rPr>
                <w:spacing w:val="-4"/>
                <w:sz w:val="24"/>
              </w:rPr>
            </w:pPr>
            <w:proofErr w:type="gramStart"/>
            <w:r w:rsidRPr="00A71A48">
              <w:rPr>
                <w:spacing w:val="-4"/>
                <w:sz w:val="24"/>
              </w:rPr>
              <w:t>pris</w:t>
            </w:r>
            <w:proofErr w:type="gramEnd"/>
            <w:r w:rsidRPr="00A71A48">
              <w:rPr>
                <w:spacing w:val="-4"/>
                <w:sz w:val="24"/>
              </w:rPr>
              <w:t xml:space="preserve"> en compte les déductions de matériaux de barrière de protection équivalentes associées.</w:t>
            </w:r>
          </w:p>
        </w:tc>
        <w:tc>
          <w:tcPr>
            <w:tcW w:w="1191" w:type="pct"/>
          </w:tcPr>
          <w:p w14:paraId="57DEF056" w14:textId="77777777" w:rsidR="00C22814" w:rsidRPr="00A71A48" w:rsidRDefault="00C22814" w:rsidP="00E3490A">
            <w:pPr>
              <w:pStyle w:val="TableParagraph"/>
              <w:widowControl/>
              <w:jc w:val="center"/>
              <w:rPr>
                <w:rFonts w:ascii="Times New Roman"/>
                <w:spacing w:val="-4"/>
                <w:sz w:val="24"/>
              </w:rPr>
            </w:pPr>
          </w:p>
        </w:tc>
      </w:tr>
    </w:tbl>
    <w:p w14:paraId="6C27BF7C" w14:textId="77777777" w:rsidR="00C22814" w:rsidRPr="0002712A" w:rsidRDefault="00C22814" w:rsidP="00F4320E">
      <w:pPr>
        <w:pStyle w:val="BodyText"/>
        <w:widowControl/>
        <w:spacing w:before="120" w:after="120"/>
        <w:rPr>
          <w:b/>
          <w:sz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7332"/>
        <w:gridCol w:w="2292"/>
      </w:tblGrid>
      <w:tr w:rsidR="00C22814" w:rsidRPr="00A71A48" w14:paraId="4FDF8DAF" w14:textId="77777777" w:rsidTr="00152CD4">
        <w:tc>
          <w:tcPr>
            <w:tcW w:w="3809" w:type="pct"/>
          </w:tcPr>
          <w:p w14:paraId="4BE9F926" w14:textId="77777777" w:rsidR="00C22814" w:rsidRPr="00A71A48" w:rsidRDefault="008E1FBA" w:rsidP="00E3490A">
            <w:pPr>
              <w:pStyle w:val="TableParagraph"/>
              <w:keepNext/>
              <w:keepLines/>
              <w:widowControl/>
              <w:rPr>
                <w:b/>
                <w:spacing w:val="-4"/>
                <w:sz w:val="24"/>
              </w:rPr>
            </w:pPr>
            <w:r w:rsidRPr="00A71A48">
              <w:rPr>
                <w:b/>
                <w:spacing w:val="-4"/>
                <w:sz w:val="24"/>
              </w:rPr>
              <w:t>Extensions d’habitations concernées x Mesure les coûts</w:t>
            </w:r>
          </w:p>
        </w:tc>
        <w:tc>
          <w:tcPr>
            <w:tcW w:w="1191" w:type="pct"/>
          </w:tcPr>
          <w:p w14:paraId="6A07FF71" w14:textId="77777777" w:rsidR="00C22814" w:rsidRPr="00A71A48" w:rsidRDefault="00C22814" w:rsidP="00E3490A">
            <w:pPr>
              <w:pStyle w:val="TableParagraph"/>
              <w:keepNext/>
              <w:keepLines/>
              <w:widowControl/>
              <w:rPr>
                <w:rFonts w:ascii="Times New Roman"/>
                <w:spacing w:val="-4"/>
                <w:sz w:val="20"/>
              </w:rPr>
            </w:pPr>
          </w:p>
        </w:tc>
      </w:tr>
      <w:tr w:rsidR="00E3490A" w:rsidRPr="00A71A48" w14:paraId="416C3BAE" w14:textId="77777777" w:rsidTr="00826D09">
        <w:trPr>
          <w:trHeight w:val="1656"/>
        </w:trPr>
        <w:tc>
          <w:tcPr>
            <w:tcW w:w="3809" w:type="pct"/>
          </w:tcPr>
          <w:p w14:paraId="4E4B412C" w14:textId="77777777" w:rsidR="00E3490A" w:rsidRPr="00A71A48" w:rsidRDefault="00E3490A" w:rsidP="00E3490A">
            <w:pPr>
              <w:pStyle w:val="TableParagraph"/>
              <w:widowControl/>
              <w:rPr>
                <w:spacing w:val="-4"/>
                <w:sz w:val="24"/>
              </w:rPr>
            </w:pPr>
            <w:r w:rsidRPr="00A71A48">
              <w:rPr>
                <w:spacing w:val="-4"/>
                <w:sz w:val="24"/>
              </w:rPr>
              <w:t xml:space="preserve">148 extensions nécessitant des mesures de protection «de </w:t>
            </w:r>
            <w:proofErr w:type="gramStart"/>
            <w:r w:rsidRPr="00A71A48">
              <w:rPr>
                <w:spacing w:val="-4"/>
                <w:sz w:val="24"/>
              </w:rPr>
              <w:t>base»</w:t>
            </w:r>
            <w:proofErr w:type="gramEnd"/>
            <w:r w:rsidRPr="00A71A48">
              <w:rPr>
                <w:spacing w:val="-4"/>
                <w:sz w:val="24"/>
              </w:rPr>
              <w:t xml:space="preserve"> à un coût moyen de 90 GBP;</w:t>
            </w:r>
          </w:p>
          <w:p w14:paraId="38102394" w14:textId="2BDFB63A" w:rsidR="00E3490A" w:rsidRPr="00A71A48" w:rsidRDefault="00E3490A" w:rsidP="00E3490A">
            <w:pPr>
              <w:pStyle w:val="TableParagraph"/>
              <w:widowControl/>
              <w:rPr>
                <w:spacing w:val="-4"/>
                <w:sz w:val="24"/>
              </w:rPr>
            </w:pPr>
            <w:r w:rsidRPr="00A71A48">
              <w:rPr>
                <w:spacing w:val="-4"/>
                <w:sz w:val="24"/>
              </w:rPr>
              <w:t>148 x</w:t>
            </w:r>
            <w:r w:rsidR="00A04A72" w:rsidRPr="00A71A48">
              <w:rPr>
                <w:spacing w:val="-4"/>
                <w:sz w:val="24"/>
              </w:rPr>
              <w:t> </w:t>
            </w:r>
            <w:r w:rsidRPr="00A71A48">
              <w:rPr>
                <w:spacing w:val="-4"/>
                <w:sz w:val="24"/>
              </w:rPr>
              <w:t>90 = 13 320 GBP</w:t>
            </w:r>
          </w:p>
          <w:p w14:paraId="5E31C280" w14:textId="77777777" w:rsidR="00E3490A" w:rsidRPr="00A71A48" w:rsidRDefault="00E3490A" w:rsidP="00E3490A">
            <w:pPr>
              <w:pStyle w:val="TableParagraph"/>
              <w:widowControl/>
              <w:rPr>
                <w:spacing w:val="-4"/>
                <w:sz w:val="24"/>
              </w:rPr>
            </w:pPr>
          </w:p>
          <w:p w14:paraId="35FF8B42" w14:textId="77777777" w:rsidR="00E3490A" w:rsidRPr="00A71A48" w:rsidRDefault="00E3490A" w:rsidP="00E3490A">
            <w:pPr>
              <w:pStyle w:val="TableParagraph"/>
              <w:widowControl/>
              <w:rPr>
                <w:spacing w:val="-4"/>
                <w:sz w:val="24"/>
              </w:rPr>
            </w:pPr>
            <w:r w:rsidRPr="00A71A48">
              <w:rPr>
                <w:spacing w:val="-4"/>
                <w:sz w:val="24"/>
              </w:rPr>
              <w:t>16 extensions nécessitant des mesures de protection</w:t>
            </w:r>
            <w:proofErr w:type="gramStart"/>
            <w:r w:rsidRPr="00A71A48">
              <w:rPr>
                <w:spacing w:val="-4"/>
                <w:sz w:val="24"/>
              </w:rPr>
              <w:t xml:space="preserve"> «complètes</w:t>
            </w:r>
            <w:proofErr w:type="gramEnd"/>
            <w:r w:rsidRPr="00A71A48">
              <w:rPr>
                <w:spacing w:val="-4"/>
                <w:sz w:val="24"/>
              </w:rPr>
              <w:t>» à un coût moyen de 300 GBP;</w:t>
            </w:r>
          </w:p>
          <w:p w14:paraId="278E25E4" w14:textId="0A7D0494" w:rsidR="00E3490A" w:rsidRPr="00A71A48" w:rsidRDefault="00E3490A" w:rsidP="00E3490A">
            <w:pPr>
              <w:pStyle w:val="TableParagraph"/>
              <w:widowControl/>
              <w:rPr>
                <w:spacing w:val="-4"/>
                <w:sz w:val="24"/>
              </w:rPr>
            </w:pPr>
            <w:r w:rsidRPr="00A71A48">
              <w:rPr>
                <w:spacing w:val="-4"/>
                <w:sz w:val="24"/>
              </w:rPr>
              <w:t>16 x</w:t>
            </w:r>
            <w:r w:rsidR="00A04A72" w:rsidRPr="00A71A48">
              <w:rPr>
                <w:spacing w:val="-4"/>
                <w:sz w:val="24"/>
              </w:rPr>
              <w:t> </w:t>
            </w:r>
            <w:r w:rsidRPr="00A71A48">
              <w:rPr>
                <w:spacing w:val="-4"/>
                <w:sz w:val="24"/>
              </w:rPr>
              <w:t>300 = 4 200 GBP</w:t>
            </w:r>
          </w:p>
          <w:p w14:paraId="1350572D" w14:textId="77777777" w:rsidR="00E3490A" w:rsidRPr="00A71A48" w:rsidRDefault="00E3490A" w:rsidP="00E3490A">
            <w:pPr>
              <w:pStyle w:val="TableParagraph"/>
              <w:widowControl/>
              <w:rPr>
                <w:spacing w:val="-4"/>
                <w:sz w:val="24"/>
              </w:rPr>
            </w:pPr>
          </w:p>
        </w:tc>
        <w:tc>
          <w:tcPr>
            <w:tcW w:w="1191" w:type="pct"/>
          </w:tcPr>
          <w:p w14:paraId="0C2D076F" w14:textId="77777777" w:rsidR="00E3490A" w:rsidRPr="00A71A48" w:rsidRDefault="00E3490A" w:rsidP="00E3490A">
            <w:pPr>
              <w:pStyle w:val="TableParagraph"/>
              <w:widowControl/>
              <w:jc w:val="center"/>
              <w:rPr>
                <w:spacing w:val="-4"/>
                <w:sz w:val="24"/>
              </w:rPr>
            </w:pPr>
          </w:p>
          <w:p w14:paraId="3682D5A3" w14:textId="77777777" w:rsidR="00E3490A" w:rsidRPr="00A71A48" w:rsidRDefault="00E3490A" w:rsidP="00E3490A">
            <w:pPr>
              <w:pStyle w:val="TableParagraph"/>
              <w:widowControl/>
              <w:jc w:val="center"/>
              <w:rPr>
                <w:spacing w:val="-4"/>
                <w:sz w:val="24"/>
              </w:rPr>
            </w:pPr>
          </w:p>
          <w:p w14:paraId="544A9D6A" w14:textId="77777777" w:rsidR="00E3490A" w:rsidRPr="00A71A48" w:rsidRDefault="00E3490A" w:rsidP="00E3490A">
            <w:pPr>
              <w:pStyle w:val="TableParagraph"/>
              <w:widowControl/>
              <w:jc w:val="center"/>
              <w:rPr>
                <w:spacing w:val="-4"/>
                <w:sz w:val="24"/>
              </w:rPr>
            </w:pPr>
            <w:r w:rsidRPr="00A71A48">
              <w:rPr>
                <w:spacing w:val="-4"/>
                <w:sz w:val="24"/>
              </w:rPr>
              <w:t>13 320 GBP</w:t>
            </w:r>
          </w:p>
          <w:p w14:paraId="4D85C51F" w14:textId="77777777" w:rsidR="00E3490A" w:rsidRPr="00A71A48" w:rsidRDefault="00E3490A" w:rsidP="00E3490A">
            <w:pPr>
              <w:pStyle w:val="TableParagraph"/>
              <w:widowControl/>
              <w:jc w:val="center"/>
              <w:rPr>
                <w:spacing w:val="-4"/>
                <w:sz w:val="24"/>
              </w:rPr>
            </w:pPr>
          </w:p>
          <w:p w14:paraId="1FE81965" w14:textId="77777777" w:rsidR="00E3490A" w:rsidRPr="00A71A48" w:rsidRDefault="00E3490A" w:rsidP="00E3490A">
            <w:pPr>
              <w:pStyle w:val="TableParagraph"/>
              <w:widowControl/>
              <w:jc w:val="center"/>
              <w:rPr>
                <w:spacing w:val="-4"/>
                <w:sz w:val="24"/>
              </w:rPr>
            </w:pPr>
          </w:p>
          <w:p w14:paraId="2622F715" w14:textId="77777777" w:rsidR="00E3490A" w:rsidRPr="00A71A48" w:rsidRDefault="00E3490A" w:rsidP="00E3490A">
            <w:pPr>
              <w:pStyle w:val="TableParagraph"/>
              <w:widowControl/>
              <w:jc w:val="center"/>
              <w:rPr>
                <w:spacing w:val="-4"/>
                <w:sz w:val="24"/>
              </w:rPr>
            </w:pPr>
          </w:p>
          <w:p w14:paraId="266DADBB" w14:textId="77777777" w:rsidR="00E3490A" w:rsidRPr="00A71A48" w:rsidRDefault="00E3490A" w:rsidP="00E3490A">
            <w:pPr>
              <w:pStyle w:val="TableParagraph"/>
              <w:widowControl/>
              <w:jc w:val="center"/>
              <w:rPr>
                <w:spacing w:val="-4"/>
                <w:sz w:val="24"/>
              </w:rPr>
            </w:pPr>
            <w:r w:rsidRPr="00A71A48">
              <w:rPr>
                <w:spacing w:val="-4"/>
                <w:sz w:val="24"/>
              </w:rPr>
              <w:t>4 800 GBP</w:t>
            </w:r>
          </w:p>
          <w:p w14:paraId="58AEB540" w14:textId="77777777" w:rsidR="00E3490A" w:rsidRPr="00A71A48" w:rsidRDefault="00E3490A" w:rsidP="00E3490A">
            <w:pPr>
              <w:pStyle w:val="TableParagraph"/>
              <w:widowControl/>
              <w:jc w:val="center"/>
              <w:rPr>
                <w:rFonts w:ascii="Times New Roman"/>
                <w:spacing w:val="-4"/>
                <w:sz w:val="20"/>
              </w:rPr>
            </w:pPr>
          </w:p>
        </w:tc>
      </w:tr>
      <w:tr w:rsidR="00C22814" w:rsidRPr="00A71A48" w14:paraId="27894815" w14:textId="77777777" w:rsidTr="00152CD4">
        <w:tc>
          <w:tcPr>
            <w:tcW w:w="3809" w:type="pct"/>
          </w:tcPr>
          <w:p w14:paraId="703A5D79" w14:textId="296EEFBF" w:rsidR="00C22814" w:rsidRPr="00A71A48" w:rsidRDefault="008E1FBA" w:rsidP="00E3490A">
            <w:pPr>
              <w:pStyle w:val="TableParagraph"/>
              <w:widowControl/>
              <w:ind w:left="4107"/>
              <w:rPr>
                <w:b/>
                <w:spacing w:val="-4"/>
                <w:sz w:val="24"/>
              </w:rPr>
            </w:pPr>
            <w:r w:rsidRPr="00A71A48">
              <w:rPr>
                <w:b/>
                <w:spacing w:val="-4"/>
                <w:sz w:val="24"/>
              </w:rPr>
              <w:t>Coût total des extensions (année modèle</w:t>
            </w:r>
            <w:r w:rsidR="00A04A72" w:rsidRPr="00A71A48">
              <w:rPr>
                <w:b/>
                <w:spacing w:val="-4"/>
                <w:sz w:val="24"/>
              </w:rPr>
              <w:t> </w:t>
            </w:r>
            <w:r w:rsidRPr="00A71A48">
              <w:rPr>
                <w:b/>
                <w:spacing w:val="-4"/>
                <w:sz w:val="24"/>
              </w:rPr>
              <w:t>2018)</w:t>
            </w:r>
          </w:p>
        </w:tc>
        <w:tc>
          <w:tcPr>
            <w:tcW w:w="1191" w:type="pct"/>
          </w:tcPr>
          <w:p w14:paraId="0A20CDF1" w14:textId="77777777" w:rsidR="00C22814" w:rsidRPr="00A71A48" w:rsidRDefault="008E1FBA" w:rsidP="00E3490A">
            <w:pPr>
              <w:pStyle w:val="TableParagraph"/>
              <w:widowControl/>
              <w:jc w:val="center"/>
              <w:rPr>
                <w:b/>
                <w:spacing w:val="-4"/>
                <w:sz w:val="24"/>
              </w:rPr>
            </w:pPr>
            <w:r w:rsidRPr="00A71A48">
              <w:rPr>
                <w:b/>
                <w:spacing w:val="-4"/>
                <w:sz w:val="24"/>
              </w:rPr>
              <w:t>= 18 100 GBP</w:t>
            </w:r>
          </w:p>
        </w:tc>
      </w:tr>
    </w:tbl>
    <w:p w14:paraId="589F0393" w14:textId="77777777" w:rsidR="00AD470F" w:rsidRPr="0002712A" w:rsidRDefault="008E1FBA" w:rsidP="004F3736">
      <w:pPr>
        <w:keepNext/>
        <w:keepLines/>
        <w:widowControl/>
        <w:spacing w:before="240" w:after="240"/>
        <w:rPr>
          <w:b/>
          <w:sz w:val="28"/>
        </w:rPr>
      </w:pPr>
      <w:r>
        <w:rPr>
          <w:b/>
          <w:sz w:val="28"/>
        </w:rPr>
        <w:t>COÛTS DE CONFORMITÉ</w:t>
      </w:r>
    </w:p>
    <w:p w14:paraId="67591636" w14:textId="77777777" w:rsidR="00AD470F" w:rsidRPr="0002712A" w:rsidRDefault="008E1FBA" w:rsidP="00F4320E">
      <w:pPr>
        <w:pStyle w:val="BodyText"/>
        <w:keepNext/>
        <w:keepLines/>
        <w:widowControl/>
        <w:spacing w:before="120" w:after="120"/>
        <w:ind w:left="567" w:hanging="567"/>
      </w:pPr>
      <w:r>
        <w:t>C25.</w:t>
      </w:r>
      <w:r>
        <w:tab/>
        <w:t xml:space="preserve">Les coûts de conformité sont les </w:t>
      </w:r>
      <w:proofErr w:type="gramStart"/>
      <w:r>
        <w:t>suivants:</w:t>
      </w:r>
      <w:proofErr w:type="gramEnd"/>
    </w:p>
    <w:p w14:paraId="5FB60077" w14:textId="77777777" w:rsidR="00C22814" w:rsidRPr="0002712A" w:rsidRDefault="008E1FBA" w:rsidP="00F4320E">
      <w:pPr>
        <w:pStyle w:val="ListParagraph"/>
        <w:widowControl/>
        <w:numPr>
          <w:ilvl w:val="0"/>
          <w:numId w:val="1"/>
        </w:numPr>
        <w:tabs>
          <w:tab w:val="left" w:pos="993"/>
        </w:tabs>
        <w:spacing w:before="120" w:after="120"/>
        <w:ind w:left="993" w:hanging="426"/>
        <w:rPr>
          <w:sz w:val="24"/>
        </w:rPr>
      </w:pPr>
      <w:r>
        <w:rPr>
          <w:sz w:val="24"/>
        </w:rPr>
        <w:t xml:space="preserve">L’option 1 conserve le statu quo et n’entraîne aucun coût de </w:t>
      </w:r>
      <w:proofErr w:type="gramStart"/>
      <w:r>
        <w:rPr>
          <w:sz w:val="24"/>
        </w:rPr>
        <w:t>conformité;</w:t>
      </w:r>
      <w:proofErr w:type="gramEnd"/>
      <w:r>
        <w:rPr>
          <w:sz w:val="24"/>
        </w:rPr>
        <w:t xml:space="preserve"> toutefois</w:t>
      </w:r>
    </w:p>
    <w:p w14:paraId="643CAFD1" w14:textId="77777777" w:rsidR="00C22814" w:rsidRPr="0002712A" w:rsidRDefault="008E1FBA" w:rsidP="00F4320E">
      <w:pPr>
        <w:pStyle w:val="ListParagraph"/>
        <w:widowControl/>
        <w:numPr>
          <w:ilvl w:val="0"/>
          <w:numId w:val="1"/>
        </w:numPr>
        <w:tabs>
          <w:tab w:val="left" w:pos="993"/>
        </w:tabs>
        <w:spacing w:before="120" w:after="120"/>
        <w:ind w:left="993" w:hanging="426"/>
        <w:rPr>
          <w:sz w:val="24"/>
        </w:rPr>
      </w:pPr>
      <w:r>
        <w:rPr>
          <w:sz w:val="24"/>
        </w:rPr>
        <w:t>L’option 2 constitue la meilleure option car elle cible les zones appropriées et le niveau de protection nécessaire. Il y aura des implications financières de faible niveau pour faire face au pourcentage prévu de maisons concernées qui ne reçoivent pas les mesures de protection contre le radon appropriées.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4681"/>
        <w:gridCol w:w="2652"/>
        <w:gridCol w:w="2291"/>
      </w:tblGrid>
      <w:tr w:rsidR="00C22814" w:rsidRPr="00A71A48" w14:paraId="78F3D8FA" w14:textId="77777777" w:rsidTr="00152CD4">
        <w:tc>
          <w:tcPr>
            <w:tcW w:w="3809" w:type="pct"/>
            <w:gridSpan w:val="2"/>
            <w:shd w:val="clear" w:color="auto" w:fill="BEBEBE"/>
          </w:tcPr>
          <w:p w14:paraId="0731D5EC" w14:textId="77777777" w:rsidR="00C22814" w:rsidRPr="00A71A48" w:rsidRDefault="008E1FBA" w:rsidP="00E3490A">
            <w:pPr>
              <w:pStyle w:val="TableParagraph"/>
              <w:keepNext/>
              <w:keepLines/>
              <w:widowControl/>
              <w:rPr>
                <w:b/>
                <w:spacing w:val="-4"/>
                <w:sz w:val="24"/>
              </w:rPr>
            </w:pPr>
            <w:r w:rsidRPr="00A71A48">
              <w:rPr>
                <w:b/>
                <w:spacing w:val="-4"/>
                <w:sz w:val="24"/>
              </w:rPr>
              <w:lastRenderedPageBreak/>
              <w:t>Coûts de la mise à jour des cartes du radon de l’EIR</w:t>
            </w:r>
          </w:p>
        </w:tc>
        <w:tc>
          <w:tcPr>
            <w:tcW w:w="1191" w:type="pct"/>
            <w:shd w:val="clear" w:color="auto" w:fill="BEBEBE"/>
          </w:tcPr>
          <w:p w14:paraId="1DE86EEA" w14:textId="77777777" w:rsidR="00C22814" w:rsidRPr="00A71A48" w:rsidRDefault="008E1FBA" w:rsidP="00E3490A">
            <w:pPr>
              <w:pStyle w:val="TableParagraph"/>
              <w:keepNext/>
              <w:keepLines/>
              <w:widowControl/>
              <w:rPr>
                <w:b/>
                <w:spacing w:val="-4"/>
                <w:sz w:val="24"/>
              </w:rPr>
            </w:pPr>
            <w:r w:rsidRPr="00A71A48">
              <w:rPr>
                <w:b/>
                <w:spacing w:val="-4"/>
                <w:sz w:val="24"/>
              </w:rPr>
              <w:t>Année 1</w:t>
            </w:r>
          </w:p>
        </w:tc>
      </w:tr>
      <w:tr w:rsidR="00C22814" w:rsidRPr="00A71A48" w14:paraId="4C3D217A" w14:textId="77777777" w:rsidTr="00152CD4">
        <w:tc>
          <w:tcPr>
            <w:tcW w:w="3809" w:type="pct"/>
            <w:gridSpan w:val="2"/>
          </w:tcPr>
          <w:p w14:paraId="3DD7E415" w14:textId="77777777" w:rsidR="00C22814" w:rsidRPr="00A71A48" w:rsidRDefault="008E1FBA" w:rsidP="00E3490A">
            <w:pPr>
              <w:pStyle w:val="TableParagraph"/>
              <w:widowControl/>
              <w:rPr>
                <w:spacing w:val="-4"/>
                <w:sz w:val="24"/>
              </w:rPr>
            </w:pPr>
            <w:r w:rsidRPr="00A71A48">
              <w:rPr>
                <w:spacing w:val="-4"/>
                <w:sz w:val="24"/>
              </w:rPr>
              <w:t>Coût de la protection contre le radon dans les nouvelles maisons concernées</w:t>
            </w:r>
          </w:p>
          <w:p w14:paraId="1E55DDCF" w14:textId="77777777" w:rsidR="0002712A" w:rsidRPr="00A71A48" w:rsidRDefault="0002712A" w:rsidP="00E3490A">
            <w:pPr>
              <w:pStyle w:val="TableParagraph"/>
              <w:widowControl/>
              <w:rPr>
                <w:spacing w:val="-4"/>
                <w:sz w:val="24"/>
              </w:rPr>
            </w:pPr>
          </w:p>
          <w:p w14:paraId="5F2B226B" w14:textId="77777777" w:rsidR="0002712A" w:rsidRPr="00A71A48" w:rsidRDefault="008E1FBA" w:rsidP="00E3490A">
            <w:pPr>
              <w:pStyle w:val="TableParagraph"/>
              <w:widowControl/>
              <w:rPr>
                <w:spacing w:val="-4"/>
                <w:sz w:val="24"/>
              </w:rPr>
            </w:pPr>
            <w:r w:rsidRPr="00A71A48">
              <w:rPr>
                <w:spacing w:val="-4"/>
                <w:sz w:val="24"/>
              </w:rPr>
              <w:t xml:space="preserve">Coût de la protection contre le radon dans les extensions de logements concernées </w:t>
            </w:r>
          </w:p>
          <w:p w14:paraId="14D44302" w14:textId="77777777" w:rsidR="0002712A" w:rsidRPr="00A71A48" w:rsidRDefault="0002712A" w:rsidP="00E3490A">
            <w:pPr>
              <w:pStyle w:val="TableParagraph"/>
              <w:widowControl/>
              <w:rPr>
                <w:spacing w:val="-4"/>
                <w:sz w:val="24"/>
              </w:rPr>
            </w:pPr>
          </w:p>
          <w:p w14:paraId="2E1B58ED" w14:textId="77777777" w:rsidR="00C22814" w:rsidRPr="00A71A48" w:rsidRDefault="008E1FBA" w:rsidP="00E3490A">
            <w:pPr>
              <w:pStyle w:val="TableParagraph"/>
              <w:widowControl/>
              <w:rPr>
                <w:spacing w:val="-4"/>
                <w:sz w:val="24"/>
              </w:rPr>
            </w:pPr>
            <w:r w:rsidRPr="00A71A48">
              <w:rPr>
                <w:spacing w:val="-4"/>
                <w:sz w:val="24"/>
              </w:rPr>
              <w:t>Coûts de transition et de familiarisation</w:t>
            </w:r>
          </w:p>
          <w:p w14:paraId="6A2F5496" w14:textId="77777777" w:rsidR="0002712A" w:rsidRPr="00A71A48" w:rsidRDefault="0002712A" w:rsidP="00E3490A">
            <w:pPr>
              <w:pStyle w:val="TableParagraph"/>
              <w:widowControl/>
              <w:rPr>
                <w:spacing w:val="-4"/>
                <w:sz w:val="24"/>
              </w:rPr>
            </w:pPr>
          </w:p>
        </w:tc>
        <w:tc>
          <w:tcPr>
            <w:tcW w:w="1191" w:type="pct"/>
          </w:tcPr>
          <w:p w14:paraId="34CCEC30" w14:textId="77777777" w:rsidR="00AD470F" w:rsidRPr="00A71A48" w:rsidRDefault="008E1FBA" w:rsidP="00E3490A">
            <w:pPr>
              <w:pStyle w:val="TableParagraph"/>
              <w:widowControl/>
              <w:rPr>
                <w:spacing w:val="-4"/>
                <w:sz w:val="24"/>
              </w:rPr>
            </w:pPr>
            <w:r w:rsidRPr="00A71A48">
              <w:rPr>
                <w:spacing w:val="-4"/>
                <w:sz w:val="24"/>
              </w:rPr>
              <w:t>62 800 GBP</w:t>
            </w:r>
          </w:p>
          <w:p w14:paraId="348DC448" w14:textId="77777777" w:rsidR="0002712A" w:rsidRPr="00A71A48" w:rsidRDefault="0002712A" w:rsidP="00E3490A">
            <w:pPr>
              <w:pStyle w:val="TableParagraph"/>
              <w:widowControl/>
              <w:rPr>
                <w:spacing w:val="-4"/>
                <w:sz w:val="24"/>
              </w:rPr>
            </w:pPr>
          </w:p>
          <w:p w14:paraId="3DAFC5A3" w14:textId="77777777" w:rsidR="00AD470F" w:rsidRPr="00A71A48" w:rsidRDefault="008E1FBA" w:rsidP="00E3490A">
            <w:pPr>
              <w:pStyle w:val="TableParagraph"/>
              <w:widowControl/>
              <w:rPr>
                <w:spacing w:val="-4"/>
                <w:sz w:val="24"/>
              </w:rPr>
            </w:pPr>
            <w:r w:rsidRPr="00A71A48">
              <w:rPr>
                <w:spacing w:val="-4"/>
                <w:sz w:val="24"/>
              </w:rPr>
              <w:t>18 100 GBP</w:t>
            </w:r>
          </w:p>
          <w:p w14:paraId="1B3DE2FF" w14:textId="77777777" w:rsidR="0002712A" w:rsidRPr="00A71A48" w:rsidRDefault="0002712A" w:rsidP="00E3490A">
            <w:pPr>
              <w:pStyle w:val="TableParagraph"/>
              <w:widowControl/>
              <w:rPr>
                <w:spacing w:val="-4"/>
                <w:sz w:val="24"/>
              </w:rPr>
            </w:pPr>
          </w:p>
          <w:p w14:paraId="303A0FE1" w14:textId="77777777" w:rsidR="00C22814" w:rsidRPr="00A71A48" w:rsidRDefault="008E1FBA" w:rsidP="00E3490A">
            <w:pPr>
              <w:pStyle w:val="TableParagraph"/>
              <w:widowControl/>
              <w:rPr>
                <w:spacing w:val="-4"/>
                <w:sz w:val="24"/>
              </w:rPr>
            </w:pPr>
            <w:r w:rsidRPr="00A71A48">
              <w:rPr>
                <w:spacing w:val="-4"/>
                <w:sz w:val="24"/>
              </w:rPr>
              <w:t>22 400 GBP</w:t>
            </w:r>
          </w:p>
          <w:p w14:paraId="3E7FE9E7" w14:textId="77777777" w:rsidR="0002712A" w:rsidRPr="00A71A48" w:rsidRDefault="0002712A" w:rsidP="00E3490A">
            <w:pPr>
              <w:pStyle w:val="TableParagraph"/>
              <w:widowControl/>
              <w:rPr>
                <w:spacing w:val="-4"/>
                <w:sz w:val="24"/>
              </w:rPr>
            </w:pPr>
          </w:p>
        </w:tc>
      </w:tr>
      <w:tr w:rsidR="00C22814" w:rsidRPr="00A71A48" w14:paraId="3F9FD754" w14:textId="77777777" w:rsidTr="00152CD4">
        <w:tc>
          <w:tcPr>
            <w:tcW w:w="2432" w:type="pct"/>
          </w:tcPr>
          <w:p w14:paraId="603A2800" w14:textId="77777777" w:rsidR="00C22814" w:rsidRPr="00A71A48" w:rsidRDefault="00C22814" w:rsidP="00E3490A">
            <w:pPr>
              <w:pStyle w:val="TableParagraph"/>
              <w:widowControl/>
              <w:rPr>
                <w:rFonts w:ascii="Times New Roman"/>
                <w:spacing w:val="-4"/>
                <w:sz w:val="20"/>
              </w:rPr>
            </w:pPr>
          </w:p>
        </w:tc>
        <w:tc>
          <w:tcPr>
            <w:tcW w:w="1378" w:type="pct"/>
            <w:shd w:val="clear" w:color="auto" w:fill="BEBEBE"/>
          </w:tcPr>
          <w:p w14:paraId="321D6A4F" w14:textId="77777777" w:rsidR="00C22814" w:rsidRPr="00A71A48" w:rsidRDefault="008E1FBA" w:rsidP="00E3490A">
            <w:pPr>
              <w:pStyle w:val="TableParagraph"/>
              <w:widowControl/>
              <w:rPr>
                <w:b/>
                <w:spacing w:val="-4"/>
                <w:sz w:val="24"/>
              </w:rPr>
            </w:pPr>
            <w:r w:rsidRPr="00A71A48">
              <w:rPr>
                <w:b/>
                <w:spacing w:val="-4"/>
                <w:sz w:val="24"/>
              </w:rPr>
              <w:t>Coût total (année 1)</w:t>
            </w:r>
          </w:p>
        </w:tc>
        <w:tc>
          <w:tcPr>
            <w:tcW w:w="1191" w:type="pct"/>
            <w:shd w:val="clear" w:color="auto" w:fill="BEBEBE"/>
          </w:tcPr>
          <w:p w14:paraId="2D84182A" w14:textId="77777777" w:rsidR="00C22814" w:rsidRPr="00A71A48" w:rsidRDefault="008E1FBA" w:rsidP="00E3490A">
            <w:pPr>
              <w:pStyle w:val="TableParagraph"/>
              <w:widowControl/>
              <w:rPr>
                <w:b/>
                <w:spacing w:val="-4"/>
                <w:sz w:val="24"/>
              </w:rPr>
            </w:pPr>
            <w:r w:rsidRPr="00A71A48">
              <w:rPr>
                <w:b/>
                <w:spacing w:val="-4"/>
                <w:sz w:val="24"/>
              </w:rPr>
              <w:t>= 103 300 GBP</w:t>
            </w:r>
          </w:p>
        </w:tc>
      </w:tr>
    </w:tbl>
    <w:p w14:paraId="721483B6" w14:textId="77777777" w:rsidR="00AD470F" w:rsidRPr="0002712A" w:rsidRDefault="008E1FBA" w:rsidP="004F3736">
      <w:pPr>
        <w:keepNext/>
        <w:keepLines/>
        <w:widowControl/>
        <w:spacing w:before="240" w:after="240"/>
        <w:rPr>
          <w:b/>
          <w:sz w:val="28"/>
        </w:rPr>
      </w:pPr>
      <w:r>
        <w:rPr>
          <w:b/>
          <w:sz w:val="28"/>
        </w:rPr>
        <w:t>SYNTHÈSE ET RECOMMANDATION</w:t>
      </w:r>
    </w:p>
    <w:p w14:paraId="180DC0ED" w14:textId="77777777" w:rsidR="00AD470F" w:rsidRPr="0002712A" w:rsidRDefault="008E1FBA" w:rsidP="00F4320E">
      <w:pPr>
        <w:pStyle w:val="BodyText"/>
        <w:widowControl/>
        <w:spacing w:before="120" w:after="120"/>
        <w:ind w:left="567" w:hanging="567"/>
      </w:pPr>
      <w:r>
        <w:t>C26.</w:t>
      </w:r>
      <w:r>
        <w:tab/>
        <w:t>L’option 1 n’a pas été considérée comme valide car elle aurait maintenu l’utilisation de cartes obsolètes sur le radon, où une telle position néglige de traiter ce pourcentage de foyers concernés ne bénéficiant pas de mesures de protection contre le radon appropriées.</w:t>
      </w:r>
    </w:p>
    <w:p w14:paraId="62AEF579" w14:textId="77777777" w:rsidR="00AD470F" w:rsidRPr="0002712A" w:rsidRDefault="008E1FBA" w:rsidP="00F4320E">
      <w:pPr>
        <w:pStyle w:val="BodyText"/>
        <w:widowControl/>
        <w:spacing w:before="120" w:after="120"/>
        <w:ind w:left="567" w:hanging="567"/>
      </w:pPr>
      <w:r>
        <w:t>C27.</w:t>
      </w:r>
      <w:r>
        <w:tab/>
        <w:t xml:space="preserve">L’option 2 peut entraîner une implication globale de coûts, mais elle cible les zones véritablement affectées ainsi que les niveaux de protection </w:t>
      </w:r>
      <w:proofErr w:type="gramStart"/>
      <w:r>
        <w:t>nécessaires;</w:t>
      </w:r>
      <w:proofErr w:type="gramEnd"/>
      <w:r>
        <w:t xml:space="preserve"> et</w:t>
      </w:r>
    </w:p>
    <w:p w14:paraId="6D0C17B1" w14:textId="77777777" w:rsidR="00AD470F" w:rsidRPr="0002712A" w:rsidRDefault="008E1FBA" w:rsidP="00F4320E">
      <w:pPr>
        <w:pStyle w:val="BodyText"/>
        <w:widowControl/>
        <w:spacing w:before="120" w:after="120"/>
        <w:ind w:left="567"/>
      </w:pPr>
      <w:r>
        <w:t>Sur la base des évaluations présentées ici, le ministère propose d’adopter l’option 2 qui met à jour la partie C, disposition 25, ainsi que le nouveau livret technique C d’accompagnement.</w:t>
      </w:r>
    </w:p>
    <w:p w14:paraId="03F5E15B" w14:textId="77777777" w:rsidR="00C22814" w:rsidRPr="0002712A" w:rsidRDefault="008E1FBA" w:rsidP="00F4320E">
      <w:pPr>
        <w:pStyle w:val="BodyText"/>
        <w:widowControl/>
        <w:spacing w:before="120" w:after="120"/>
        <w:ind w:left="567" w:hanging="567"/>
      </w:pPr>
      <w:r>
        <w:t>C28.</w:t>
      </w:r>
      <w:r>
        <w:tab/>
        <w:t>Le ministère estime que, sur cette base, le coût annuel pour les entreprises sera d’environ 103,5 K GBP, avec un coût annuel d’environ 81 K GBP par an par la suite. Le référencement de la carte à jour ne devrait pas nécessiter de nouvelles compétences, de sorte que les coûts de familiarisation et certains coûts de transition initiaux visant à comprendre les besoins dans les zones de radon nouvellement classées ne concerneront que la première année. De tels coûts de transition ont été estimés pour la première année à environ 22,5 K GBP. Ces chiffres ont été déterminés comme exposé précédemment.</w:t>
      </w:r>
    </w:p>
    <w:sectPr w:rsidR="00C22814" w:rsidRPr="0002712A" w:rsidSect="008F5779">
      <w:headerReference w:type="default" r:id="rId19"/>
      <w:headerReference w:type="first" r:id="rId20"/>
      <w:footerReference w:type="first" r:id="rId21"/>
      <w:pgSz w:w="11910" w:h="16840" w:code="9"/>
      <w:pgMar w:top="1138" w:right="1138" w:bottom="1138" w:left="1138"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1E061" w14:textId="77777777" w:rsidR="000B499A" w:rsidRDefault="000B499A">
      <w:r>
        <w:separator/>
      </w:r>
    </w:p>
  </w:endnote>
  <w:endnote w:type="continuationSeparator" w:id="0">
    <w:p w14:paraId="5E217C50" w14:textId="77777777" w:rsidR="000B499A" w:rsidRDefault="000B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A6C5" w14:textId="77777777" w:rsidR="00A04A72" w:rsidRDefault="00A04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2FE9" w14:textId="205A2785" w:rsidR="005D16C7" w:rsidRDefault="005D16C7" w:rsidP="00152CD4">
    <w:pPr>
      <w:spacing w:before="12"/>
      <w:ind w:left="20"/>
      <w:jc w:val="right"/>
      <w:rPr>
        <w:sz w:val="20"/>
      </w:rPr>
    </w:pPr>
    <w:r>
      <w:rPr>
        <w:sz w:val="20"/>
      </w:rPr>
      <w:t>Page</w:t>
    </w:r>
    <w:r w:rsidR="00A04A72">
      <w:rPr>
        <w:sz w:val="20"/>
      </w:rPr>
      <w:t> </w:t>
    </w:r>
    <w:r>
      <w:fldChar w:fldCharType="begin"/>
    </w:r>
    <w:r>
      <w:rPr>
        <w:sz w:val="20"/>
      </w:rPr>
      <w:instrText xml:space="preserve"> PAGE </w:instrText>
    </w:r>
    <w:r>
      <w:fldChar w:fldCharType="separate"/>
    </w:r>
    <w:r w:rsidR="00B945EA">
      <w:rPr>
        <w:sz w:val="20"/>
      </w:rPr>
      <w:t>22</w:t>
    </w:r>
    <w:r>
      <w:fldChar w:fldCharType="end"/>
    </w:r>
    <w:r>
      <w:rPr>
        <w:sz w:val="20"/>
      </w:rPr>
      <w:t xml:space="preserve"> sur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8F33" w14:textId="77777777" w:rsidR="00A04A72" w:rsidRDefault="00A04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E6DD" w14:textId="5D0F29F4" w:rsidR="00584AA4" w:rsidRDefault="00584AA4" w:rsidP="00584AA4">
    <w:pPr>
      <w:spacing w:before="12"/>
      <w:ind w:left="20"/>
      <w:jc w:val="right"/>
      <w:rPr>
        <w:sz w:val="20"/>
      </w:rPr>
    </w:pPr>
    <w:r>
      <w:rPr>
        <w:sz w:val="20"/>
      </w:rPr>
      <w:t>Page</w:t>
    </w:r>
    <w:r w:rsidR="00A04A72">
      <w:rPr>
        <w:sz w:val="20"/>
      </w:rPr>
      <w:t> </w:t>
    </w:r>
    <w:r>
      <w:fldChar w:fldCharType="begin"/>
    </w:r>
    <w:r>
      <w:rPr>
        <w:sz w:val="20"/>
      </w:rPr>
      <w:instrText xml:space="preserve"> PAGE </w:instrText>
    </w:r>
    <w:r>
      <w:fldChar w:fldCharType="separate"/>
    </w:r>
    <w:r w:rsidR="00B945EA">
      <w:rPr>
        <w:sz w:val="20"/>
      </w:rPr>
      <w:t>8</w:t>
    </w:r>
    <w:r>
      <w:fldChar w:fldCharType="end"/>
    </w:r>
    <w:r>
      <w:rPr>
        <w:sz w:val="20"/>
      </w:rPr>
      <w:t xml:space="preserve"> sur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B836B" w14:textId="77777777" w:rsidR="000B499A" w:rsidRDefault="000B499A">
      <w:r>
        <w:separator/>
      </w:r>
    </w:p>
  </w:footnote>
  <w:footnote w:type="continuationSeparator" w:id="0">
    <w:p w14:paraId="09693E83" w14:textId="77777777" w:rsidR="000B499A" w:rsidRDefault="000B499A">
      <w:r>
        <w:continuationSeparator/>
      </w:r>
    </w:p>
  </w:footnote>
  <w:footnote w:id="1">
    <w:p w14:paraId="4C6045C3" w14:textId="0DCD3615"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«Radon and Public Health: Report of an independent Advisory Group on Ionising Radiation» RCE</w:t>
      </w:r>
      <w:r w:rsidR="00A04A72">
        <w:rPr>
          <w:rFonts w:ascii="Times New Roman" w:hAnsi="Times New Roman"/>
          <w:lang w:val="en-GB"/>
        </w:rPr>
        <w:t> </w:t>
      </w:r>
      <w:r w:rsidRPr="00A04A72">
        <w:rPr>
          <w:rFonts w:ascii="Times New Roman" w:hAnsi="Times New Roman"/>
          <w:lang w:val="en-GB"/>
        </w:rPr>
        <w:t>11, HPA</w:t>
      </w:r>
      <w:r w:rsidR="00A04A72">
        <w:rPr>
          <w:rFonts w:ascii="Times New Roman" w:hAnsi="Times New Roman"/>
          <w:lang w:val="en-GB"/>
        </w:rPr>
        <w:t> </w:t>
      </w:r>
      <w:r w:rsidRPr="00A04A72">
        <w:rPr>
          <w:rFonts w:ascii="Times New Roman" w:hAnsi="Times New Roman"/>
          <w:lang w:val="en-GB"/>
        </w:rPr>
        <w:t>2009</w:t>
      </w:r>
    </w:p>
  </w:footnote>
  <w:footnote w:id="2">
    <w:p w14:paraId="246117D8" w14:textId="6B79134E"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 xml:space="preserve"> BR413 «Radon: Protective Measures for New Homes in Northern Ireland», publication 1998 &amp; 2009, retrait</w:t>
      </w:r>
      <w:r w:rsidR="00A04A72">
        <w:rPr>
          <w:rFonts w:ascii="Times New Roman" w:hAnsi="Times New Roman"/>
          <w:lang w:val="en-GB"/>
        </w:rPr>
        <w:t> </w:t>
      </w:r>
      <w:r w:rsidRPr="00A04A72">
        <w:rPr>
          <w:rFonts w:ascii="Times New Roman" w:hAnsi="Times New Roman"/>
          <w:lang w:val="en-GB"/>
        </w:rPr>
        <w:t>2015</w:t>
      </w:r>
    </w:p>
  </w:footnote>
  <w:footnote w:id="3">
    <w:p w14:paraId="3BDC7051" w14:textId="77777777"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«Radon in Northern Ireland: Indicative Atlas» Public Health England, publication 2015: PHE-CRCE-017</w:t>
      </w:r>
    </w:p>
  </w:footnote>
  <w:footnote w:id="4">
    <w:p w14:paraId="12CDABC5" w14:textId="77777777"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 xml:space="preserve"> NHBC Risk Guide: Radon/Gas protection (HB2852 01/16)</w:t>
      </w:r>
    </w:p>
  </w:footnote>
  <w:footnote w:id="5">
    <w:p w14:paraId="77435DF5" w14:textId="5AFCEB26"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 xml:space="preserve"> </w:t>
      </w:r>
      <w:proofErr w:type="spellStart"/>
      <w:r w:rsidRPr="00A04A72">
        <w:rPr>
          <w:rFonts w:ascii="Times New Roman" w:hAnsi="Times New Roman"/>
          <w:lang w:val="en-GB"/>
        </w:rPr>
        <w:t>Chapitre</w:t>
      </w:r>
      <w:proofErr w:type="spellEnd"/>
      <w:r w:rsidRPr="00A04A72">
        <w:rPr>
          <w:rFonts w:ascii="Times New Roman" w:hAnsi="Times New Roman"/>
          <w:lang w:val="en-GB"/>
        </w:rPr>
        <w:t> 6 - «Radon and Public Health: Report of an independent Advisory Group on Ionising Radiation» RCE</w:t>
      </w:r>
      <w:r w:rsidR="00A04A72">
        <w:rPr>
          <w:rFonts w:ascii="Times New Roman" w:hAnsi="Times New Roman"/>
          <w:lang w:val="en-GB"/>
        </w:rPr>
        <w:t> </w:t>
      </w:r>
      <w:r w:rsidRPr="00A04A72">
        <w:rPr>
          <w:rFonts w:ascii="Times New Roman" w:hAnsi="Times New Roman"/>
          <w:lang w:val="en-GB"/>
        </w:rPr>
        <w:t>11, HPA</w:t>
      </w:r>
      <w:r w:rsidR="00A04A72">
        <w:rPr>
          <w:rFonts w:ascii="Times New Roman" w:hAnsi="Times New Roman"/>
          <w:lang w:val="en-GB"/>
        </w:rPr>
        <w:t> </w:t>
      </w:r>
      <w:r w:rsidRPr="00A04A72">
        <w:rPr>
          <w:rFonts w:ascii="Times New Roman" w:hAnsi="Times New Roman"/>
          <w:lang w:val="en-GB"/>
        </w:rPr>
        <w:t>2009</w:t>
      </w:r>
    </w:p>
  </w:footnote>
  <w:footnote w:id="6">
    <w:p w14:paraId="6E788573" w14:textId="77777777" w:rsidR="005D16C7" w:rsidRPr="00152CD4" w:rsidRDefault="005D16C7">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ascii="Times New Roman" w:hAnsi="Times New Roman"/>
        </w:rPr>
        <w:t xml:space="preserve"> D’après le bulletin de construction trimestriel 2016-2017 d’Irlande du Nord (entreprises enregistrées), 206 firmes d’ingénierie structurelle, 1 648 entreprises de construction résidentielle, 255 promoteurs = 2 109 entreprises dont 20 % affectées (sur la base de 20 % des logements se trouvant dans les zones affectées par le radon en 2015)</w:t>
      </w:r>
    </w:p>
  </w:footnote>
  <w:footnote w:id="7">
    <w:p w14:paraId="20A479F3" w14:textId="77777777" w:rsidR="005D16C7" w:rsidRPr="00152CD4" w:rsidRDefault="005D16C7">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ascii="Times New Roman" w:hAnsi="Times New Roman"/>
        </w:rPr>
        <w:t xml:space="preserve"> Taux de salaire horaire </w:t>
      </w:r>
      <w:proofErr w:type="gramStart"/>
      <w:r>
        <w:rPr>
          <w:rFonts w:ascii="Times New Roman" w:hAnsi="Times New Roman"/>
        </w:rPr>
        <w:t>mixte:</w:t>
      </w:r>
      <w:proofErr w:type="gramEnd"/>
      <w:r>
        <w:rPr>
          <w:rFonts w:ascii="Times New Roman" w:hAnsi="Times New Roman"/>
        </w:rPr>
        <w:t xml:space="preserve"> moyenne/médiane du salaire du marché en Irlande du Nord, avec 30 % de frais généraux + pondération moyenne du consultant anglais EC Harris (ECH): ingénieurs en structure (44,78 GBP), promoteurs (48,09 GBP), constructeurs résidentiels (18,46 GBP)</w:t>
      </w:r>
    </w:p>
  </w:footnote>
  <w:footnote w:id="8">
    <w:p w14:paraId="60E72BC7" w14:textId="77777777" w:rsidR="005D16C7" w:rsidRPr="00A04A72" w:rsidRDefault="005D16C7">
      <w:pPr>
        <w:pStyle w:val="FootnoteText"/>
        <w:rPr>
          <w:rFonts w:ascii="Times New Roman" w:eastAsia="SimSun" w:hAnsi="Times New Roman" w:cs="Times New Roman"/>
          <w:lang w:val="en-GB"/>
        </w:rPr>
      </w:pPr>
      <w:r>
        <w:rPr>
          <w:rStyle w:val="FootnoteReference"/>
          <w:rFonts w:ascii="Times New Roman" w:hAnsi="Times New Roman" w:cs="Times New Roman"/>
        </w:rPr>
        <w:footnoteRef/>
      </w:r>
      <w:r w:rsidRPr="00A04A72">
        <w:rPr>
          <w:rFonts w:ascii="Times New Roman" w:hAnsi="Times New Roman"/>
          <w:lang w:val="en-GB"/>
        </w:rPr>
        <w:t xml:space="preserve"> Ref L&amp;PS, publication </w:t>
      </w:r>
      <w:proofErr w:type="spellStart"/>
      <w:r w:rsidRPr="00A04A72">
        <w:rPr>
          <w:rFonts w:ascii="Times New Roman" w:hAnsi="Times New Roman"/>
          <w:lang w:val="en-GB"/>
        </w:rPr>
        <w:t>d’août</w:t>
      </w:r>
      <w:proofErr w:type="spellEnd"/>
      <w:r w:rsidRPr="00A04A72">
        <w:rPr>
          <w:rFonts w:ascii="Times New Roman" w:hAnsi="Times New Roman"/>
          <w:lang w:val="en-GB"/>
        </w:rPr>
        <w:t> 2019 «Northern Ireland new dwelling statistics», tableau 2.2</w:t>
      </w:r>
    </w:p>
  </w:footnote>
  <w:footnote w:id="9">
    <w:p w14:paraId="1F875C98" w14:textId="77777777" w:rsidR="005D16C7" w:rsidRPr="00152CD4" w:rsidRDefault="005D16C7">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ascii="Times New Roman" w:hAnsi="Times New Roman"/>
        </w:rPr>
        <w:t xml:space="preserve"> Scénario contrefactuel basé </w:t>
      </w:r>
      <w:proofErr w:type="gramStart"/>
      <w:r>
        <w:rPr>
          <w:rFonts w:ascii="Times New Roman" w:hAnsi="Times New Roman"/>
        </w:rPr>
        <w:t>sur;</w:t>
      </w:r>
      <w:proofErr w:type="gramEnd"/>
      <w:r>
        <w:rPr>
          <w:rFonts w:ascii="Times New Roman" w:hAnsi="Times New Roman"/>
        </w:rPr>
        <w:t xml:space="preserve"> a) le «Radon </w:t>
      </w:r>
      <w:proofErr w:type="spellStart"/>
      <w:r>
        <w:rPr>
          <w:rFonts w:ascii="Times New Roman" w:hAnsi="Times New Roman"/>
        </w:rPr>
        <w:t>risk</w:t>
      </w:r>
      <w:proofErr w:type="spellEnd"/>
      <w:r>
        <w:rPr>
          <w:rFonts w:ascii="Times New Roman" w:hAnsi="Times New Roman"/>
        </w:rPr>
        <w:t xml:space="preserve"> pro-forma» du NHBC de 01/2016, où le NHBC couvre 80 % des nouvelles maisons construites, b) la «Building </w:t>
      </w:r>
      <w:proofErr w:type="spellStart"/>
      <w:r>
        <w:rPr>
          <w:rFonts w:ascii="Times New Roman" w:hAnsi="Times New Roman"/>
        </w:rPr>
        <w:t>Regulations</w:t>
      </w:r>
      <w:proofErr w:type="spellEnd"/>
      <w:r>
        <w:rPr>
          <w:rFonts w:ascii="Times New Roman" w:hAnsi="Times New Roman"/>
        </w:rPr>
        <w:t xml:space="preserve"> new radon </w:t>
      </w:r>
      <w:proofErr w:type="spellStart"/>
      <w:r>
        <w:rPr>
          <w:rFonts w:ascii="Times New Roman" w:hAnsi="Times New Roman"/>
        </w:rPr>
        <w:t>maps</w:t>
      </w:r>
      <w:proofErr w:type="spellEnd"/>
      <w:r>
        <w:rPr>
          <w:rFonts w:ascii="Times New Roman" w:hAnsi="Times New Roman"/>
        </w:rPr>
        <w:t xml:space="preserve"> Information Note» du ministère des finances de 09/2016, c) l’EI anglaise de 2013 ayant appliqué 70 % de bonnes pratiques dans le secteur</w:t>
      </w:r>
    </w:p>
  </w:footnote>
  <w:footnote w:id="10">
    <w:p w14:paraId="26F7EAE4" w14:textId="316F23EA" w:rsidR="005D16C7" w:rsidRPr="00152CD4" w:rsidRDefault="005D16C7">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ascii="Times New Roman" w:hAnsi="Times New Roman"/>
        </w:rPr>
        <w:t xml:space="preserve"> Les prévisions de développement immobilier de l’EI anglaise sur 10 ans étaient basées sur le rapport Europe Economics</w:t>
      </w:r>
      <w:r w:rsidR="00A04A72">
        <w:rPr>
          <w:rFonts w:ascii="Times New Roman" w:hAnsi="Times New Roman"/>
        </w:rPr>
        <w:t> </w:t>
      </w:r>
      <w:r>
        <w:rPr>
          <w:rFonts w:ascii="Times New Roman" w:hAnsi="Times New Roman"/>
        </w:rPr>
        <w:t>2010, remplacées par la suite par les prévisions de la</w:t>
      </w:r>
      <w:proofErr w:type="gramStart"/>
      <w:r>
        <w:rPr>
          <w:rFonts w:ascii="Times New Roman" w:hAnsi="Times New Roman"/>
        </w:rPr>
        <w:t xml:space="preserve"> «</w:t>
      </w:r>
      <w:proofErr w:type="spellStart"/>
      <w:r>
        <w:rPr>
          <w:rFonts w:ascii="Times New Roman" w:hAnsi="Times New Roman"/>
        </w:rPr>
        <w:t>Housing</w:t>
      </w:r>
      <w:proofErr w:type="spellEnd"/>
      <w:proofErr w:type="gramEnd"/>
      <w:r>
        <w:rPr>
          <w:rFonts w:ascii="Times New Roman" w:hAnsi="Times New Roman"/>
        </w:rPr>
        <w:t xml:space="preserve"> Standards </w:t>
      </w:r>
      <w:proofErr w:type="spellStart"/>
      <w:r>
        <w:rPr>
          <w:rFonts w:ascii="Times New Roman" w:hAnsi="Times New Roman"/>
        </w:rPr>
        <w:t>Review</w:t>
      </w:r>
      <w:proofErr w:type="spellEnd"/>
      <w:r>
        <w:rPr>
          <w:rFonts w:ascii="Times New Roman" w:hAnsi="Times New Roman"/>
        </w:rPr>
        <w:t>» de 2015. Cependant, des données de prévisions de développement immobilier similaires ne sont pas disponibles localement. La justification à la base de l’adoption d’une période d’une année réside dans l’identification du coût (non récurrent) de transition et de familiarisation, ainsi que du coût de pleine adoption de l’industrie ciblée.</w:t>
      </w:r>
    </w:p>
  </w:footnote>
  <w:footnote w:id="11">
    <w:p w14:paraId="0FFB0519" w14:textId="12063809" w:rsidR="005D16C7" w:rsidRPr="00152CD4" w:rsidRDefault="005D16C7">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ascii="Times New Roman" w:hAnsi="Times New Roman"/>
        </w:rPr>
        <w:t xml:space="preserve"> Statistiques</w:t>
      </w:r>
      <w:r w:rsidR="00A04A72">
        <w:rPr>
          <w:rFonts w:ascii="Times New Roman" w:hAnsi="Times New Roman"/>
        </w:rPr>
        <w:t> </w:t>
      </w:r>
      <w:r>
        <w:rPr>
          <w:rFonts w:ascii="Times New Roman" w:hAnsi="Times New Roman"/>
        </w:rPr>
        <w:t>2017 du rapport du marché immobilier du NHBC.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F5BF" w14:textId="77777777" w:rsidR="00A04A72" w:rsidRDefault="00A04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D012C" w14:textId="77777777" w:rsidR="00A04A72" w:rsidRDefault="00A04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FAC15" w14:textId="77777777" w:rsidR="005D16C7" w:rsidRDefault="00A71A48">
    <w:pPr>
      <w:pStyle w:val="Header"/>
    </w:pPr>
    <w:r>
      <w:pict w14:anchorId="4CF76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46.65pt;margin-top:271.5pt;width:412.4pt;height:247.45pt;rotation:315;z-index:-251657728;mso-position-horizontal-relative:margin;mso-position-vertical-relative:margin" o:allowincell="f" fillcolor="silver" stroked="f">
          <v:fill opacity=".5"/>
          <v:textpath style="font-family:&quot;Calibri&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2C6F" w14:textId="77777777" w:rsidR="005D16C7" w:rsidRDefault="005D16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987994"/>
      <w:docPartObj>
        <w:docPartGallery w:val="Watermarks"/>
        <w:docPartUnique/>
      </w:docPartObj>
    </w:sdtPr>
    <w:sdtEndPr/>
    <w:sdtContent>
      <w:p w14:paraId="5F473B99" w14:textId="77777777" w:rsidR="008A1DA2" w:rsidRDefault="00A71A48">
        <w:pPr>
          <w:pStyle w:val="Header"/>
        </w:pPr>
        <w:r>
          <w:pict w14:anchorId="495EF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0B7CB" w14:textId="77777777" w:rsidR="008A1DA2" w:rsidRDefault="00A71A48">
    <w:pPr>
      <w:pStyle w:val="Header"/>
    </w:pPr>
    <w:r>
      <w:pict w14:anchorId="5C65E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46.65pt;margin-top:236.4pt;width:412.4pt;height:247.45pt;rotation:315;z-index:-251654656;mso-position-horizontal-relative:margin;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17"/>
    <w:multiLevelType w:val="hybridMultilevel"/>
    <w:tmpl w:val="C5F6F7A0"/>
    <w:lvl w:ilvl="0" w:tplc="796A7190">
      <w:numFmt w:val="bullet"/>
      <w:lvlText w:val="-"/>
      <w:lvlJc w:val="left"/>
      <w:pPr>
        <w:ind w:left="467" w:hanging="360"/>
      </w:pPr>
      <w:rPr>
        <w:rFonts w:ascii="Arial" w:eastAsia="Arial" w:hAnsi="Arial" w:cs="Arial" w:hint="default"/>
        <w:spacing w:val="-4"/>
        <w:w w:val="99"/>
        <w:sz w:val="24"/>
        <w:szCs w:val="24"/>
        <w:lang w:val="en-GB" w:eastAsia="en-GB" w:bidi="en-GB"/>
      </w:rPr>
    </w:lvl>
    <w:lvl w:ilvl="1" w:tplc="40E87C06">
      <w:numFmt w:val="bullet"/>
      <w:lvlText w:val="•"/>
      <w:lvlJc w:val="left"/>
      <w:pPr>
        <w:ind w:left="1118" w:hanging="360"/>
      </w:pPr>
      <w:rPr>
        <w:rFonts w:hint="default"/>
        <w:lang w:val="en-GB" w:eastAsia="en-GB" w:bidi="en-GB"/>
      </w:rPr>
    </w:lvl>
    <w:lvl w:ilvl="2" w:tplc="59E03DD0">
      <w:numFmt w:val="bullet"/>
      <w:lvlText w:val="•"/>
      <w:lvlJc w:val="left"/>
      <w:pPr>
        <w:ind w:left="1777" w:hanging="360"/>
      </w:pPr>
      <w:rPr>
        <w:rFonts w:hint="default"/>
        <w:lang w:val="en-GB" w:eastAsia="en-GB" w:bidi="en-GB"/>
      </w:rPr>
    </w:lvl>
    <w:lvl w:ilvl="3" w:tplc="BA32A3FA">
      <w:numFmt w:val="bullet"/>
      <w:lvlText w:val="•"/>
      <w:lvlJc w:val="left"/>
      <w:pPr>
        <w:ind w:left="2435" w:hanging="360"/>
      </w:pPr>
      <w:rPr>
        <w:rFonts w:hint="default"/>
        <w:lang w:val="en-GB" w:eastAsia="en-GB" w:bidi="en-GB"/>
      </w:rPr>
    </w:lvl>
    <w:lvl w:ilvl="4" w:tplc="17A68EF8">
      <w:numFmt w:val="bullet"/>
      <w:lvlText w:val="•"/>
      <w:lvlJc w:val="left"/>
      <w:pPr>
        <w:ind w:left="3094" w:hanging="360"/>
      </w:pPr>
      <w:rPr>
        <w:rFonts w:hint="default"/>
        <w:lang w:val="en-GB" w:eastAsia="en-GB" w:bidi="en-GB"/>
      </w:rPr>
    </w:lvl>
    <w:lvl w:ilvl="5" w:tplc="43823E98">
      <w:numFmt w:val="bullet"/>
      <w:lvlText w:val="•"/>
      <w:lvlJc w:val="left"/>
      <w:pPr>
        <w:ind w:left="3752" w:hanging="360"/>
      </w:pPr>
      <w:rPr>
        <w:rFonts w:hint="default"/>
        <w:lang w:val="en-GB" w:eastAsia="en-GB" w:bidi="en-GB"/>
      </w:rPr>
    </w:lvl>
    <w:lvl w:ilvl="6" w:tplc="AED846DE">
      <w:numFmt w:val="bullet"/>
      <w:lvlText w:val="•"/>
      <w:lvlJc w:val="left"/>
      <w:pPr>
        <w:ind w:left="4411" w:hanging="360"/>
      </w:pPr>
      <w:rPr>
        <w:rFonts w:hint="default"/>
        <w:lang w:val="en-GB" w:eastAsia="en-GB" w:bidi="en-GB"/>
      </w:rPr>
    </w:lvl>
    <w:lvl w:ilvl="7" w:tplc="1C4A9536">
      <w:numFmt w:val="bullet"/>
      <w:lvlText w:val="•"/>
      <w:lvlJc w:val="left"/>
      <w:pPr>
        <w:ind w:left="5069" w:hanging="360"/>
      </w:pPr>
      <w:rPr>
        <w:rFonts w:hint="default"/>
        <w:lang w:val="en-GB" w:eastAsia="en-GB" w:bidi="en-GB"/>
      </w:rPr>
    </w:lvl>
    <w:lvl w:ilvl="8" w:tplc="A5509FF2">
      <w:numFmt w:val="bullet"/>
      <w:lvlText w:val="•"/>
      <w:lvlJc w:val="left"/>
      <w:pPr>
        <w:ind w:left="5728" w:hanging="360"/>
      </w:pPr>
      <w:rPr>
        <w:rFonts w:hint="default"/>
        <w:lang w:val="en-GB" w:eastAsia="en-GB" w:bidi="en-GB"/>
      </w:rPr>
    </w:lvl>
  </w:abstractNum>
  <w:abstractNum w:abstractNumId="1" w15:restartNumberingAfterBreak="0">
    <w:nsid w:val="321B7699"/>
    <w:multiLevelType w:val="hybridMultilevel"/>
    <w:tmpl w:val="517468DA"/>
    <w:lvl w:ilvl="0" w:tplc="DBB074BE">
      <w:numFmt w:val="bullet"/>
      <w:lvlText w:val=""/>
      <w:lvlJc w:val="left"/>
      <w:pPr>
        <w:ind w:left="1478" w:hanging="363"/>
      </w:pPr>
      <w:rPr>
        <w:rFonts w:ascii="Symbol" w:eastAsia="Symbol" w:hAnsi="Symbol" w:cs="Symbol" w:hint="default"/>
        <w:w w:val="100"/>
        <w:sz w:val="24"/>
        <w:szCs w:val="24"/>
        <w:lang w:val="en-GB" w:eastAsia="en-GB" w:bidi="en-GB"/>
      </w:rPr>
    </w:lvl>
    <w:lvl w:ilvl="1" w:tplc="0E96E6E8">
      <w:numFmt w:val="bullet"/>
      <w:lvlText w:val="•"/>
      <w:lvlJc w:val="left"/>
      <w:pPr>
        <w:ind w:left="2388" w:hanging="363"/>
      </w:pPr>
      <w:rPr>
        <w:rFonts w:hint="default"/>
        <w:lang w:val="en-GB" w:eastAsia="en-GB" w:bidi="en-GB"/>
      </w:rPr>
    </w:lvl>
    <w:lvl w:ilvl="2" w:tplc="0206D8F2">
      <w:numFmt w:val="bullet"/>
      <w:lvlText w:val="•"/>
      <w:lvlJc w:val="left"/>
      <w:pPr>
        <w:ind w:left="3297" w:hanging="363"/>
      </w:pPr>
      <w:rPr>
        <w:rFonts w:hint="default"/>
        <w:lang w:val="en-GB" w:eastAsia="en-GB" w:bidi="en-GB"/>
      </w:rPr>
    </w:lvl>
    <w:lvl w:ilvl="3" w:tplc="7C904440">
      <w:numFmt w:val="bullet"/>
      <w:lvlText w:val="•"/>
      <w:lvlJc w:val="left"/>
      <w:pPr>
        <w:ind w:left="4205" w:hanging="363"/>
      </w:pPr>
      <w:rPr>
        <w:rFonts w:hint="default"/>
        <w:lang w:val="en-GB" w:eastAsia="en-GB" w:bidi="en-GB"/>
      </w:rPr>
    </w:lvl>
    <w:lvl w:ilvl="4" w:tplc="A8901C42">
      <w:numFmt w:val="bullet"/>
      <w:lvlText w:val="•"/>
      <w:lvlJc w:val="left"/>
      <w:pPr>
        <w:ind w:left="5114" w:hanging="363"/>
      </w:pPr>
      <w:rPr>
        <w:rFonts w:hint="default"/>
        <w:lang w:val="en-GB" w:eastAsia="en-GB" w:bidi="en-GB"/>
      </w:rPr>
    </w:lvl>
    <w:lvl w:ilvl="5" w:tplc="83EC6D1C">
      <w:numFmt w:val="bullet"/>
      <w:lvlText w:val="•"/>
      <w:lvlJc w:val="left"/>
      <w:pPr>
        <w:ind w:left="6023" w:hanging="363"/>
      </w:pPr>
      <w:rPr>
        <w:rFonts w:hint="default"/>
        <w:lang w:val="en-GB" w:eastAsia="en-GB" w:bidi="en-GB"/>
      </w:rPr>
    </w:lvl>
    <w:lvl w:ilvl="6" w:tplc="2904E29E">
      <w:numFmt w:val="bullet"/>
      <w:lvlText w:val="•"/>
      <w:lvlJc w:val="left"/>
      <w:pPr>
        <w:ind w:left="6931" w:hanging="363"/>
      </w:pPr>
      <w:rPr>
        <w:rFonts w:hint="default"/>
        <w:lang w:val="en-GB" w:eastAsia="en-GB" w:bidi="en-GB"/>
      </w:rPr>
    </w:lvl>
    <w:lvl w:ilvl="7" w:tplc="7570B536">
      <w:numFmt w:val="bullet"/>
      <w:lvlText w:val="•"/>
      <w:lvlJc w:val="left"/>
      <w:pPr>
        <w:ind w:left="7840" w:hanging="363"/>
      </w:pPr>
      <w:rPr>
        <w:rFonts w:hint="default"/>
        <w:lang w:val="en-GB" w:eastAsia="en-GB" w:bidi="en-GB"/>
      </w:rPr>
    </w:lvl>
    <w:lvl w:ilvl="8" w:tplc="4C8C0F66">
      <w:numFmt w:val="bullet"/>
      <w:lvlText w:val="•"/>
      <w:lvlJc w:val="left"/>
      <w:pPr>
        <w:ind w:left="8749" w:hanging="363"/>
      </w:pPr>
      <w:rPr>
        <w:rFonts w:hint="default"/>
        <w:lang w:val="en-GB" w:eastAsia="en-GB" w:bidi="en-GB"/>
      </w:rPr>
    </w:lvl>
  </w:abstractNum>
  <w:abstractNum w:abstractNumId="2" w15:restartNumberingAfterBreak="0">
    <w:nsid w:val="560C5CCE"/>
    <w:multiLevelType w:val="hybridMultilevel"/>
    <w:tmpl w:val="423C4964"/>
    <w:lvl w:ilvl="0" w:tplc="0C00B34E">
      <w:numFmt w:val="bullet"/>
      <w:lvlText w:val="-"/>
      <w:lvlJc w:val="left"/>
      <w:pPr>
        <w:ind w:left="527" w:hanging="360"/>
      </w:pPr>
      <w:rPr>
        <w:rFonts w:ascii="Arial" w:eastAsia="Arial" w:hAnsi="Arial" w:cs="Arial" w:hint="default"/>
        <w:spacing w:val="-3"/>
        <w:w w:val="99"/>
        <w:sz w:val="24"/>
        <w:szCs w:val="24"/>
        <w:lang w:val="en-GB" w:eastAsia="en-GB" w:bidi="en-GB"/>
      </w:rPr>
    </w:lvl>
    <w:lvl w:ilvl="1" w:tplc="412EDE14">
      <w:numFmt w:val="bullet"/>
      <w:lvlText w:val="•"/>
      <w:lvlJc w:val="left"/>
      <w:pPr>
        <w:ind w:left="1172" w:hanging="360"/>
      </w:pPr>
      <w:rPr>
        <w:rFonts w:hint="default"/>
        <w:lang w:val="en-GB" w:eastAsia="en-GB" w:bidi="en-GB"/>
      </w:rPr>
    </w:lvl>
    <w:lvl w:ilvl="2" w:tplc="5C7EBFF0">
      <w:numFmt w:val="bullet"/>
      <w:lvlText w:val="•"/>
      <w:lvlJc w:val="left"/>
      <w:pPr>
        <w:ind w:left="1825" w:hanging="360"/>
      </w:pPr>
      <w:rPr>
        <w:rFonts w:hint="default"/>
        <w:lang w:val="en-GB" w:eastAsia="en-GB" w:bidi="en-GB"/>
      </w:rPr>
    </w:lvl>
    <w:lvl w:ilvl="3" w:tplc="0DD88DBC">
      <w:numFmt w:val="bullet"/>
      <w:lvlText w:val="•"/>
      <w:lvlJc w:val="left"/>
      <w:pPr>
        <w:ind w:left="2477" w:hanging="360"/>
      </w:pPr>
      <w:rPr>
        <w:rFonts w:hint="default"/>
        <w:lang w:val="en-GB" w:eastAsia="en-GB" w:bidi="en-GB"/>
      </w:rPr>
    </w:lvl>
    <w:lvl w:ilvl="4" w:tplc="DA94232E">
      <w:numFmt w:val="bullet"/>
      <w:lvlText w:val="•"/>
      <w:lvlJc w:val="left"/>
      <w:pPr>
        <w:ind w:left="3130" w:hanging="360"/>
      </w:pPr>
      <w:rPr>
        <w:rFonts w:hint="default"/>
        <w:lang w:val="en-GB" w:eastAsia="en-GB" w:bidi="en-GB"/>
      </w:rPr>
    </w:lvl>
    <w:lvl w:ilvl="5" w:tplc="DFFC6F08">
      <w:numFmt w:val="bullet"/>
      <w:lvlText w:val="•"/>
      <w:lvlJc w:val="left"/>
      <w:pPr>
        <w:ind w:left="3782" w:hanging="360"/>
      </w:pPr>
      <w:rPr>
        <w:rFonts w:hint="default"/>
        <w:lang w:val="en-GB" w:eastAsia="en-GB" w:bidi="en-GB"/>
      </w:rPr>
    </w:lvl>
    <w:lvl w:ilvl="6" w:tplc="E8D26450">
      <w:numFmt w:val="bullet"/>
      <w:lvlText w:val="•"/>
      <w:lvlJc w:val="left"/>
      <w:pPr>
        <w:ind w:left="4435" w:hanging="360"/>
      </w:pPr>
      <w:rPr>
        <w:rFonts w:hint="default"/>
        <w:lang w:val="en-GB" w:eastAsia="en-GB" w:bidi="en-GB"/>
      </w:rPr>
    </w:lvl>
    <w:lvl w:ilvl="7" w:tplc="C6E838F6">
      <w:numFmt w:val="bullet"/>
      <w:lvlText w:val="•"/>
      <w:lvlJc w:val="left"/>
      <w:pPr>
        <w:ind w:left="5087" w:hanging="360"/>
      </w:pPr>
      <w:rPr>
        <w:rFonts w:hint="default"/>
        <w:lang w:val="en-GB" w:eastAsia="en-GB" w:bidi="en-GB"/>
      </w:rPr>
    </w:lvl>
    <w:lvl w:ilvl="8" w:tplc="B0D8E556">
      <w:numFmt w:val="bullet"/>
      <w:lvlText w:val="•"/>
      <w:lvlJc w:val="left"/>
      <w:pPr>
        <w:ind w:left="5740" w:hanging="360"/>
      </w:pPr>
      <w:rPr>
        <w:rFonts w:hint="default"/>
        <w:lang w:val="en-GB" w:eastAsia="en-GB" w:bidi="en-GB"/>
      </w:rPr>
    </w:lvl>
  </w:abstractNum>
  <w:abstractNum w:abstractNumId="3" w15:restartNumberingAfterBreak="0">
    <w:nsid w:val="6C0A01B3"/>
    <w:multiLevelType w:val="hybridMultilevel"/>
    <w:tmpl w:val="C99CFF20"/>
    <w:lvl w:ilvl="0" w:tplc="3C1089BC">
      <w:numFmt w:val="bullet"/>
      <w:lvlText w:val="-"/>
      <w:lvlJc w:val="left"/>
      <w:pPr>
        <w:ind w:left="527" w:hanging="360"/>
      </w:pPr>
      <w:rPr>
        <w:rFonts w:ascii="Arial" w:eastAsia="Arial" w:hAnsi="Arial" w:cs="Arial" w:hint="default"/>
        <w:spacing w:val="-3"/>
        <w:w w:val="99"/>
        <w:sz w:val="24"/>
        <w:szCs w:val="24"/>
        <w:lang w:val="en-GB" w:eastAsia="en-GB" w:bidi="en-GB"/>
      </w:rPr>
    </w:lvl>
    <w:lvl w:ilvl="1" w:tplc="71F2B534">
      <w:numFmt w:val="bullet"/>
      <w:lvlText w:val="•"/>
      <w:lvlJc w:val="left"/>
      <w:pPr>
        <w:ind w:left="1172" w:hanging="360"/>
      </w:pPr>
      <w:rPr>
        <w:rFonts w:hint="default"/>
        <w:lang w:val="en-GB" w:eastAsia="en-GB" w:bidi="en-GB"/>
      </w:rPr>
    </w:lvl>
    <w:lvl w:ilvl="2" w:tplc="2200BF90">
      <w:numFmt w:val="bullet"/>
      <w:lvlText w:val="•"/>
      <w:lvlJc w:val="left"/>
      <w:pPr>
        <w:ind w:left="1825" w:hanging="360"/>
      </w:pPr>
      <w:rPr>
        <w:rFonts w:hint="default"/>
        <w:lang w:val="en-GB" w:eastAsia="en-GB" w:bidi="en-GB"/>
      </w:rPr>
    </w:lvl>
    <w:lvl w:ilvl="3" w:tplc="AD0AF404">
      <w:numFmt w:val="bullet"/>
      <w:lvlText w:val="•"/>
      <w:lvlJc w:val="left"/>
      <w:pPr>
        <w:ind w:left="2477" w:hanging="360"/>
      </w:pPr>
      <w:rPr>
        <w:rFonts w:hint="default"/>
        <w:lang w:val="en-GB" w:eastAsia="en-GB" w:bidi="en-GB"/>
      </w:rPr>
    </w:lvl>
    <w:lvl w:ilvl="4" w:tplc="C7EEAB04">
      <w:numFmt w:val="bullet"/>
      <w:lvlText w:val="•"/>
      <w:lvlJc w:val="left"/>
      <w:pPr>
        <w:ind w:left="3130" w:hanging="360"/>
      </w:pPr>
      <w:rPr>
        <w:rFonts w:hint="default"/>
        <w:lang w:val="en-GB" w:eastAsia="en-GB" w:bidi="en-GB"/>
      </w:rPr>
    </w:lvl>
    <w:lvl w:ilvl="5" w:tplc="57C0D8BA">
      <w:numFmt w:val="bullet"/>
      <w:lvlText w:val="•"/>
      <w:lvlJc w:val="left"/>
      <w:pPr>
        <w:ind w:left="3782" w:hanging="360"/>
      </w:pPr>
      <w:rPr>
        <w:rFonts w:hint="default"/>
        <w:lang w:val="en-GB" w:eastAsia="en-GB" w:bidi="en-GB"/>
      </w:rPr>
    </w:lvl>
    <w:lvl w:ilvl="6" w:tplc="1250D324">
      <w:numFmt w:val="bullet"/>
      <w:lvlText w:val="•"/>
      <w:lvlJc w:val="left"/>
      <w:pPr>
        <w:ind w:left="4435" w:hanging="360"/>
      </w:pPr>
      <w:rPr>
        <w:rFonts w:hint="default"/>
        <w:lang w:val="en-GB" w:eastAsia="en-GB" w:bidi="en-GB"/>
      </w:rPr>
    </w:lvl>
    <w:lvl w:ilvl="7" w:tplc="92589CEC">
      <w:numFmt w:val="bullet"/>
      <w:lvlText w:val="•"/>
      <w:lvlJc w:val="left"/>
      <w:pPr>
        <w:ind w:left="5087" w:hanging="360"/>
      </w:pPr>
      <w:rPr>
        <w:rFonts w:hint="default"/>
        <w:lang w:val="en-GB" w:eastAsia="en-GB" w:bidi="en-GB"/>
      </w:rPr>
    </w:lvl>
    <w:lvl w:ilvl="8" w:tplc="7C820E90">
      <w:numFmt w:val="bullet"/>
      <w:lvlText w:val="•"/>
      <w:lvlJc w:val="left"/>
      <w:pPr>
        <w:ind w:left="5740" w:hanging="360"/>
      </w:pPr>
      <w:rPr>
        <w:rFonts w:hint="default"/>
        <w:lang w:val="en-GB" w:eastAsia="en-GB" w:bidi="en-GB"/>
      </w:rPr>
    </w:lvl>
  </w:abstractNum>
  <w:abstractNum w:abstractNumId="4" w15:restartNumberingAfterBreak="0">
    <w:nsid w:val="71953FDF"/>
    <w:multiLevelType w:val="hybridMultilevel"/>
    <w:tmpl w:val="0E869A08"/>
    <w:lvl w:ilvl="0" w:tplc="BA909F1E">
      <w:start w:val="1"/>
      <w:numFmt w:val="lowerLetter"/>
      <w:lvlText w:val="%1)"/>
      <w:lvlJc w:val="left"/>
      <w:pPr>
        <w:ind w:left="1550" w:hanging="360"/>
      </w:pPr>
      <w:rPr>
        <w:rFonts w:ascii="Arial" w:eastAsia="Arial" w:hAnsi="Arial" w:cs="Arial" w:hint="default"/>
        <w:w w:val="100"/>
        <w:sz w:val="24"/>
        <w:szCs w:val="24"/>
        <w:lang w:val="en-GB" w:eastAsia="en-GB" w:bidi="en-GB"/>
      </w:rPr>
    </w:lvl>
    <w:lvl w:ilvl="1" w:tplc="B08ED9B8">
      <w:numFmt w:val="bullet"/>
      <w:lvlText w:val="•"/>
      <w:lvlJc w:val="left"/>
      <w:pPr>
        <w:ind w:left="2460" w:hanging="360"/>
      </w:pPr>
      <w:rPr>
        <w:rFonts w:hint="default"/>
        <w:lang w:val="en-GB" w:eastAsia="en-GB" w:bidi="en-GB"/>
      </w:rPr>
    </w:lvl>
    <w:lvl w:ilvl="2" w:tplc="1A44F5CA">
      <w:numFmt w:val="bullet"/>
      <w:lvlText w:val="•"/>
      <w:lvlJc w:val="left"/>
      <w:pPr>
        <w:ind w:left="3361" w:hanging="360"/>
      </w:pPr>
      <w:rPr>
        <w:rFonts w:hint="default"/>
        <w:lang w:val="en-GB" w:eastAsia="en-GB" w:bidi="en-GB"/>
      </w:rPr>
    </w:lvl>
    <w:lvl w:ilvl="3" w:tplc="11E4DF2E">
      <w:numFmt w:val="bullet"/>
      <w:lvlText w:val="•"/>
      <w:lvlJc w:val="left"/>
      <w:pPr>
        <w:ind w:left="4261" w:hanging="360"/>
      </w:pPr>
      <w:rPr>
        <w:rFonts w:hint="default"/>
        <w:lang w:val="en-GB" w:eastAsia="en-GB" w:bidi="en-GB"/>
      </w:rPr>
    </w:lvl>
    <w:lvl w:ilvl="4" w:tplc="A230A404">
      <w:numFmt w:val="bullet"/>
      <w:lvlText w:val="•"/>
      <w:lvlJc w:val="left"/>
      <w:pPr>
        <w:ind w:left="5162" w:hanging="360"/>
      </w:pPr>
      <w:rPr>
        <w:rFonts w:hint="default"/>
        <w:lang w:val="en-GB" w:eastAsia="en-GB" w:bidi="en-GB"/>
      </w:rPr>
    </w:lvl>
    <w:lvl w:ilvl="5" w:tplc="9DBEE8AC">
      <w:numFmt w:val="bullet"/>
      <w:lvlText w:val="•"/>
      <w:lvlJc w:val="left"/>
      <w:pPr>
        <w:ind w:left="6063" w:hanging="360"/>
      </w:pPr>
      <w:rPr>
        <w:rFonts w:hint="default"/>
        <w:lang w:val="en-GB" w:eastAsia="en-GB" w:bidi="en-GB"/>
      </w:rPr>
    </w:lvl>
    <w:lvl w:ilvl="6" w:tplc="B27CC622">
      <w:numFmt w:val="bullet"/>
      <w:lvlText w:val="•"/>
      <w:lvlJc w:val="left"/>
      <w:pPr>
        <w:ind w:left="6963" w:hanging="360"/>
      </w:pPr>
      <w:rPr>
        <w:rFonts w:hint="default"/>
        <w:lang w:val="en-GB" w:eastAsia="en-GB" w:bidi="en-GB"/>
      </w:rPr>
    </w:lvl>
    <w:lvl w:ilvl="7" w:tplc="90103D94">
      <w:numFmt w:val="bullet"/>
      <w:lvlText w:val="•"/>
      <w:lvlJc w:val="left"/>
      <w:pPr>
        <w:ind w:left="7864" w:hanging="360"/>
      </w:pPr>
      <w:rPr>
        <w:rFonts w:hint="default"/>
        <w:lang w:val="en-GB" w:eastAsia="en-GB" w:bidi="en-GB"/>
      </w:rPr>
    </w:lvl>
    <w:lvl w:ilvl="8" w:tplc="CA26A286">
      <w:numFmt w:val="bullet"/>
      <w:lvlText w:val="•"/>
      <w:lvlJc w:val="left"/>
      <w:pPr>
        <w:ind w:left="8765" w:hanging="360"/>
      </w:pPr>
      <w:rPr>
        <w:rFonts w:hint="default"/>
        <w:lang w:val="en-GB" w:eastAsia="en-GB" w:bidi="en-GB"/>
      </w:rPr>
    </w:lvl>
  </w:abstractNum>
  <w:abstractNum w:abstractNumId="5" w15:restartNumberingAfterBreak="0">
    <w:nsid w:val="734E3B96"/>
    <w:multiLevelType w:val="hybridMultilevel"/>
    <w:tmpl w:val="62D61D08"/>
    <w:lvl w:ilvl="0" w:tplc="2F2AB888">
      <w:numFmt w:val="bullet"/>
      <w:lvlText w:val="-"/>
      <w:lvlJc w:val="left"/>
      <w:pPr>
        <w:ind w:left="527" w:hanging="360"/>
      </w:pPr>
      <w:rPr>
        <w:rFonts w:ascii="Arial" w:eastAsia="Arial" w:hAnsi="Arial" w:cs="Arial" w:hint="default"/>
        <w:spacing w:val="-3"/>
        <w:w w:val="99"/>
        <w:sz w:val="24"/>
        <w:szCs w:val="24"/>
        <w:lang w:val="en-GB" w:eastAsia="en-GB" w:bidi="en-GB"/>
      </w:rPr>
    </w:lvl>
    <w:lvl w:ilvl="1" w:tplc="CC28B400">
      <w:numFmt w:val="bullet"/>
      <w:lvlText w:val="•"/>
      <w:lvlJc w:val="left"/>
      <w:pPr>
        <w:ind w:left="1172" w:hanging="360"/>
      </w:pPr>
      <w:rPr>
        <w:rFonts w:hint="default"/>
        <w:lang w:val="en-GB" w:eastAsia="en-GB" w:bidi="en-GB"/>
      </w:rPr>
    </w:lvl>
    <w:lvl w:ilvl="2" w:tplc="EA929EDE">
      <w:numFmt w:val="bullet"/>
      <w:lvlText w:val="•"/>
      <w:lvlJc w:val="left"/>
      <w:pPr>
        <w:ind w:left="1825" w:hanging="360"/>
      </w:pPr>
      <w:rPr>
        <w:rFonts w:hint="default"/>
        <w:lang w:val="en-GB" w:eastAsia="en-GB" w:bidi="en-GB"/>
      </w:rPr>
    </w:lvl>
    <w:lvl w:ilvl="3" w:tplc="222C6D80">
      <w:numFmt w:val="bullet"/>
      <w:lvlText w:val="•"/>
      <w:lvlJc w:val="left"/>
      <w:pPr>
        <w:ind w:left="2477" w:hanging="360"/>
      </w:pPr>
      <w:rPr>
        <w:rFonts w:hint="default"/>
        <w:lang w:val="en-GB" w:eastAsia="en-GB" w:bidi="en-GB"/>
      </w:rPr>
    </w:lvl>
    <w:lvl w:ilvl="4" w:tplc="4F6C393C">
      <w:numFmt w:val="bullet"/>
      <w:lvlText w:val="•"/>
      <w:lvlJc w:val="left"/>
      <w:pPr>
        <w:ind w:left="3130" w:hanging="360"/>
      </w:pPr>
      <w:rPr>
        <w:rFonts w:hint="default"/>
        <w:lang w:val="en-GB" w:eastAsia="en-GB" w:bidi="en-GB"/>
      </w:rPr>
    </w:lvl>
    <w:lvl w:ilvl="5" w:tplc="244279BC">
      <w:numFmt w:val="bullet"/>
      <w:lvlText w:val="•"/>
      <w:lvlJc w:val="left"/>
      <w:pPr>
        <w:ind w:left="3782" w:hanging="360"/>
      </w:pPr>
      <w:rPr>
        <w:rFonts w:hint="default"/>
        <w:lang w:val="en-GB" w:eastAsia="en-GB" w:bidi="en-GB"/>
      </w:rPr>
    </w:lvl>
    <w:lvl w:ilvl="6" w:tplc="94A63FC6">
      <w:numFmt w:val="bullet"/>
      <w:lvlText w:val="•"/>
      <w:lvlJc w:val="left"/>
      <w:pPr>
        <w:ind w:left="4435" w:hanging="360"/>
      </w:pPr>
      <w:rPr>
        <w:rFonts w:hint="default"/>
        <w:lang w:val="en-GB" w:eastAsia="en-GB" w:bidi="en-GB"/>
      </w:rPr>
    </w:lvl>
    <w:lvl w:ilvl="7" w:tplc="DA72013A">
      <w:numFmt w:val="bullet"/>
      <w:lvlText w:val="•"/>
      <w:lvlJc w:val="left"/>
      <w:pPr>
        <w:ind w:left="5087" w:hanging="360"/>
      </w:pPr>
      <w:rPr>
        <w:rFonts w:hint="default"/>
        <w:lang w:val="en-GB" w:eastAsia="en-GB" w:bidi="en-GB"/>
      </w:rPr>
    </w:lvl>
    <w:lvl w:ilvl="8" w:tplc="5344CE88">
      <w:numFmt w:val="bullet"/>
      <w:lvlText w:val="•"/>
      <w:lvlJc w:val="left"/>
      <w:pPr>
        <w:ind w:left="5740" w:hanging="360"/>
      </w:pPr>
      <w:rPr>
        <w:rFonts w:hint="default"/>
        <w:lang w:val="en-GB" w:eastAsia="en-GB" w:bidi="en-GB"/>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14"/>
    <w:rsid w:val="0002712A"/>
    <w:rsid w:val="000B499A"/>
    <w:rsid w:val="00152CD4"/>
    <w:rsid w:val="00176446"/>
    <w:rsid w:val="00181F5D"/>
    <w:rsid w:val="001A00A5"/>
    <w:rsid w:val="001C38DA"/>
    <w:rsid w:val="00237F80"/>
    <w:rsid w:val="00253054"/>
    <w:rsid w:val="00285139"/>
    <w:rsid w:val="003800E2"/>
    <w:rsid w:val="003E080D"/>
    <w:rsid w:val="003F4974"/>
    <w:rsid w:val="00475B27"/>
    <w:rsid w:val="004F3736"/>
    <w:rsid w:val="00532C04"/>
    <w:rsid w:val="0055079F"/>
    <w:rsid w:val="00584AA4"/>
    <w:rsid w:val="005B03E9"/>
    <w:rsid w:val="005D16C7"/>
    <w:rsid w:val="0061519B"/>
    <w:rsid w:val="00686AB1"/>
    <w:rsid w:val="00797A3D"/>
    <w:rsid w:val="007A7860"/>
    <w:rsid w:val="007B5C8F"/>
    <w:rsid w:val="007F11E3"/>
    <w:rsid w:val="00820182"/>
    <w:rsid w:val="00882B76"/>
    <w:rsid w:val="008851B1"/>
    <w:rsid w:val="008A1DA2"/>
    <w:rsid w:val="008A6140"/>
    <w:rsid w:val="008E1FBA"/>
    <w:rsid w:val="008F5779"/>
    <w:rsid w:val="009024FE"/>
    <w:rsid w:val="009C34EA"/>
    <w:rsid w:val="00A04A72"/>
    <w:rsid w:val="00A31C9B"/>
    <w:rsid w:val="00A71A48"/>
    <w:rsid w:val="00A85079"/>
    <w:rsid w:val="00AD017D"/>
    <w:rsid w:val="00AD470F"/>
    <w:rsid w:val="00B561DA"/>
    <w:rsid w:val="00B945EA"/>
    <w:rsid w:val="00C03BDF"/>
    <w:rsid w:val="00C22814"/>
    <w:rsid w:val="00C27FB9"/>
    <w:rsid w:val="00D47434"/>
    <w:rsid w:val="00E124BF"/>
    <w:rsid w:val="00E3490A"/>
    <w:rsid w:val="00F032C2"/>
    <w:rsid w:val="00F4320E"/>
    <w:rsid w:val="00F52335"/>
    <w:rsid w:val="00F80B40"/>
    <w:rsid w:val="00FD55BB"/>
    <w:rsid w:val="00FF65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F860B0"/>
  <w15:docId w15:val="{34D59263-EB56-404E-AFCE-ED9F9E0A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eastAsia="en-GB" w:bidi="en-GB"/>
    </w:rPr>
  </w:style>
  <w:style w:type="paragraph" w:styleId="Heading1">
    <w:name w:val="heading 1"/>
    <w:basedOn w:val="Heading2"/>
    <w:uiPriority w:val="1"/>
    <w:qFormat/>
    <w:rsid w:val="005D16C7"/>
    <w:pPr>
      <w:keepNext/>
      <w:keepLines/>
      <w:widowControl/>
      <w:spacing w:before="240" w:after="240"/>
      <w:ind w:left="0"/>
      <w:outlineLvl w:val="0"/>
    </w:pPr>
  </w:style>
  <w:style w:type="paragraph" w:styleId="Heading2">
    <w:name w:val="heading 2"/>
    <w:basedOn w:val="Normal"/>
    <w:uiPriority w:val="1"/>
    <w:qFormat/>
    <w:pPr>
      <w:ind w:left="470"/>
      <w:outlineLvl w:val="1"/>
    </w:pPr>
    <w:rPr>
      <w:b/>
      <w:bCs/>
      <w:sz w:val="28"/>
      <w:szCs w:val="28"/>
    </w:rPr>
  </w:style>
  <w:style w:type="paragraph" w:styleId="Heading3">
    <w:name w:val="heading 3"/>
    <w:basedOn w:val="Normal"/>
    <w:uiPriority w:val="1"/>
    <w:qFormat/>
    <w:pPr>
      <w:spacing w:before="80" w:line="321" w:lineRule="exact"/>
      <w:ind w:left="131"/>
      <w:outlineLvl w:val="2"/>
    </w:pPr>
    <w:rPr>
      <w:sz w:val="28"/>
      <w:szCs w:val="28"/>
    </w:rPr>
  </w:style>
  <w:style w:type="paragraph" w:styleId="Heading4">
    <w:name w:val="heading 4"/>
    <w:basedOn w:val="Normal"/>
    <w:uiPriority w:val="1"/>
    <w:qFormat/>
    <w:pPr>
      <w:ind w:left="47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017D"/>
    <w:pPr>
      <w:tabs>
        <w:tab w:val="center" w:pos="4513"/>
        <w:tab w:val="right" w:pos="9026"/>
      </w:tabs>
    </w:pPr>
  </w:style>
  <w:style w:type="character" w:customStyle="1" w:styleId="HeaderChar">
    <w:name w:val="Header Char"/>
    <w:basedOn w:val="DefaultParagraphFont"/>
    <w:link w:val="Header"/>
    <w:uiPriority w:val="99"/>
    <w:rsid w:val="00AD017D"/>
    <w:rPr>
      <w:rFonts w:ascii="Arial" w:eastAsia="Arial" w:hAnsi="Arial" w:cs="Arial"/>
      <w:lang w:val="fr-FR" w:eastAsia="en-GB" w:bidi="en-GB"/>
    </w:rPr>
  </w:style>
  <w:style w:type="paragraph" w:styleId="Footer">
    <w:name w:val="footer"/>
    <w:basedOn w:val="Normal"/>
    <w:link w:val="FooterChar"/>
    <w:uiPriority w:val="99"/>
    <w:unhideWhenUsed/>
    <w:rsid w:val="00AD017D"/>
    <w:pPr>
      <w:tabs>
        <w:tab w:val="center" w:pos="4513"/>
        <w:tab w:val="right" w:pos="9026"/>
      </w:tabs>
    </w:pPr>
  </w:style>
  <w:style w:type="character" w:customStyle="1" w:styleId="FooterChar">
    <w:name w:val="Footer Char"/>
    <w:basedOn w:val="DefaultParagraphFont"/>
    <w:link w:val="Footer"/>
    <w:uiPriority w:val="99"/>
    <w:rsid w:val="00AD017D"/>
    <w:rPr>
      <w:rFonts w:ascii="Arial" w:eastAsia="Arial" w:hAnsi="Arial" w:cs="Arial"/>
      <w:lang w:val="fr-FR" w:eastAsia="en-GB" w:bidi="en-GB"/>
    </w:rPr>
  </w:style>
  <w:style w:type="paragraph" w:styleId="FootnoteText">
    <w:name w:val="footnote text"/>
    <w:basedOn w:val="Normal"/>
    <w:link w:val="FootnoteTextChar"/>
    <w:uiPriority w:val="99"/>
    <w:semiHidden/>
    <w:unhideWhenUsed/>
    <w:rsid w:val="00C27FB9"/>
    <w:rPr>
      <w:sz w:val="20"/>
      <w:szCs w:val="20"/>
    </w:rPr>
  </w:style>
  <w:style w:type="character" w:customStyle="1" w:styleId="FootnoteTextChar">
    <w:name w:val="Footnote Text Char"/>
    <w:basedOn w:val="DefaultParagraphFont"/>
    <w:link w:val="FootnoteText"/>
    <w:uiPriority w:val="99"/>
    <w:semiHidden/>
    <w:rsid w:val="00C27FB9"/>
    <w:rPr>
      <w:rFonts w:ascii="Arial" w:eastAsia="Arial" w:hAnsi="Arial" w:cs="Arial"/>
      <w:sz w:val="20"/>
      <w:szCs w:val="20"/>
      <w:lang w:val="fr-FR" w:eastAsia="en-GB" w:bidi="en-GB"/>
    </w:rPr>
  </w:style>
  <w:style w:type="character" w:styleId="FootnoteReference">
    <w:name w:val="footnote reference"/>
    <w:basedOn w:val="DefaultParagraphFont"/>
    <w:uiPriority w:val="99"/>
    <w:semiHidden/>
    <w:unhideWhenUsed/>
    <w:rsid w:val="00C27FB9"/>
    <w:rPr>
      <w:vertAlign w:val="superscript"/>
    </w:rPr>
  </w:style>
  <w:style w:type="table" w:styleId="TableGrid">
    <w:name w:val="Table Grid"/>
    <w:basedOn w:val="TableNormal"/>
    <w:uiPriority w:val="39"/>
    <w:rsid w:val="00AD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F6524"/>
    <w:pPr>
      <w:tabs>
        <w:tab w:val="right" w:pos="9624"/>
      </w:tabs>
      <w:spacing w:after="240"/>
      <w:ind w:left="1440"/>
    </w:pPr>
    <w:rPr>
      <w:sz w:val="24"/>
    </w:rPr>
  </w:style>
  <w:style w:type="character" w:styleId="Hyperlink">
    <w:name w:val="Hyperlink"/>
    <w:basedOn w:val="DefaultParagraphFont"/>
    <w:uiPriority w:val="99"/>
    <w:unhideWhenUsed/>
    <w:rsid w:val="00F52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254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karen.mckernon@finance-ni.gov.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inance-ni.gov.uk/articles/building-regulations-consultations" TargetMode="External"/><Relationship Id="rId2" Type="http://schemas.openxmlformats.org/officeDocument/2006/relationships/numbering" Target="numbering.xml"/><Relationship Id="rId16" Type="http://schemas.openxmlformats.org/officeDocument/2006/relationships/hyperlink" Target="http://www.finance-ni.gov.uk/articles/building-regulations-consultation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CA52-CB1D-4850-9D38-AC87A2BF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30</Pages>
  <Words>10654</Words>
  <Characters>60734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Part R Access to and use of buildings</vt:lpstr>
    </vt:vector>
  </TitlesOfParts>
  <Company>NICS</Company>
  <LinksUpToDate>false</LinksUpToDate>
  <CharactersWithSpaces>71246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R Access to and use of buildings</dc:title>
  <dc:creator>Roy Todd (0569628)</dc:creator>
  <cp:lastModifiedBy>Diana STOICA</cp:lastModifiedBy>
  <cp:revision>27</cp:revision>
  <dcterms:created xsi:type="dcterms:W3CDTF">2020-08-10T14:20:00Z</dcterms:created>
  <dcterms:modified xsi:type="dcterms:W3CDTF">2020-08-31T13:42:00Z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Microsoft® Word 2013</vt:lpwstr>
  </property>
  <property fmtid="{D5CDD505-2E9C-101B-9397-08002B2CF9AE}" pid="4" name="LastSaved">
    <vt:filetime>2020-06-05T00:00:00Z</vt:filetime>
  </property>
</Properties>
</file>