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FRENCH REPUBLIC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The Ministry of Culture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Order of [   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on the minimum charge for the book delivery service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The Minister of Economy, Finance and Industrial and Digital Sovereignty and the Minister for Culture,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Having regard to Directive</w:t>
      </w:r>
      <w:r>
        <w:rPr>
          <w:b/>
        </w:rPr>
        <w:t xml:space="preserve"> </w:t>
      </w:r>
      <w:r>
        <w:t xml:space="preserve">(EU) 2015/1535 of the European Parliament and of the European Council of 9 September 2015 laying down a procedure for the provision of information in the field of technical regulations and of rules on Information Society services;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Having regard to Law No. 81-766 of 10 August 1981, as amended, relating to book prices, in particular Article 1 thereof in its wording resulting from Article 1 of Law No. 2021-1901 of 30 December 2021 aimed at strengthening the book economy and reinforcing fairness and trust between its players;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Having regard to Decision No 2022-1397 of the Regulatory Authority for Electronic Communications, Posts and Press Distribution of 5 July 2022;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Having regard to notification No …/…/F addressed to the European Commission on (</w:t>
      </w:r>
      <w:r>
        <w:rPr>
          <w:highlight w:val="yellow"/>
        </w:rPr>
        <w:t xml:space="preserve">date</w:t>
      </w:r>
      <w:r>
        <w:t xml:space="preserve">) and the latter’s replies of (</w:t>
      </w:r>
      <w:r>
        <w:rPr>
          <w:highlight w:val="yellow"/>
        </w:rPr>
        <w:t xml:space="preserve">date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Hereby order: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Article 1</w:t>
      </w:r>
    </w:p>
    <w:p w:rsidR="00AF5A6C" w:rsidRPr="00AF5A6C" w:rsidRDefault="00AF5A6C" w:rsidP="00AF5A6C">
      <w:pPr>
        <w:spacing w:after="120"/>
        <w:jc w:val="both"/>
      </w:pPr>
      <w:r>
        <w:t xml:space="preserve">The minimum charge for the book delivery service mentioned in the fourth paragraph of Article 1 of the aforementioned Law of 10 August 1981 is set at: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€3 inclusive of all taxes on any order comprising one or more books whose purchase value in new books is less than €35 inclusive of all taxes;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More than €0 inclusive of all taxes for any order comprising one or more new books whose purchase value in new books is equal to or greater than €35 inclusive of all taxes.</w:t>
      </w:r>
    </w:p>
    <w:p w:rsidR="00AF5A6C" w:rsidRPr="00AF5A6C" w:rsidRDefault="00AF5A6C" w:rsidP="00AF5A6C">
      <w:pPr>
        <w:spacing w:after="120"/>
        <w:jc w:val="both"/>
      </w:pPr>
      <w:r>
        <w:t xml:space="preserve">The minimum rate thus fixed applies to the delivery service of an order regardless of the number of packages comprising this order.</w:t>
      </w:r>
    </w:p>
    <w:p w:rsidR="00AF5A6C" w:rsidRPr="00AF5A6C" w:rsidRDefault="00AF5A6C" w:rsidP="00AF5A6C">
      <w:pPr>
        <w:spacing w:after="120"/>
        <w:jc w:val="both"/>
      </w:pPr>
      <w:r>
        <w:t xml:space="preserve">The delivery service is paid for by the buyer along with the payment of the order.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Article 2</w:t>
      </w:r>
    </w:p>
    <w:p w:rsidR="00AF5A6C" w:rsidRPr="00AF5A6C" w:rsidRDefault="00AF5A6C" w:rsidP="00AF5A6C">
      <w:pPr>
        <w:spacing w:after="120"/>
        <w:jc w:val="both"/>
      </w:pPr>
      <w:r>
        <w:t xml:space="preserve">This Order will be published in the </w:t>
      </w:r>
      <w:r>
        <w:rPr>
          <w:i/>
        </w:rPr>
        <w:t xml:space="preserve">Official Journal</w:t>
      </w:r>
      <w:r>
        <w:t xml:space="preserve"> of the French Republic and will enter into force six months after its publication.</w:t>
      </w:r>
    </w:p>
    <w:p w:rsidR="00431BDA" w:rsidRDefault="00FB4714" w:rsidP="00FC046A">
      <w:pPr>
        <w:pStyle w:val="SNDatearrt"/>
      </w:pPr>
      <w:r>
        <w:t xml:space="preserve">Done on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The Minister of Economy, Finance and Industrial and Digital Sovereignty,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The Minister for Culture,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en-GB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en-GB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en-GB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