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BCFD" w14:textId="30D8B70F" w:rsidR="00651E64" w:rsidRDefault="00CA4904" w:rsidP="00484650">
      <w:pPr>
        <w:pStyle w:val="Dokumentstatus"/>
      </w:pPr>
      <w:r>
        <w:t>Ordinance of the Federal Ministry of Food and Agriculture</w:t>
      </w:r>
    </w:p>
    <w:p w14:paraId="2F532029" w14:textId="77777777" w:rsidR="00651E64" w:rsidRDefault="00651E64" w:rsidP="00484650">
      <w:pPr>
        <w:pStyle w:val="Bezeichnungnderungsdokument"/>
      </w:pPr>
      <w:r>
        <w:t>Ordinance adapting national legislation to provisions of Union law on flavourings and food containing flavourings</w:t>
      </w:r>
      <w:r w:rsidR="00E21259">
        <w:rPr>
          <w:rStyle w:val="FootnoteReference"/>
        </w:rPr>
        <w:footnoteReference w:id="2"/>
      </w:r>
    </w:p>
    <w:p w14:paraId="23058E40" w14:textId="77777777" w:rsidR="00651E64" w:rsidRDefault="00651E64" w:rsidP="00484650">
      <w:pPr>
        <w:pStyle w:val="Ausfertigungsdatumnderungsdokument"/>
      </w:pPr>
      <w:proofErr w:type="spellStart"/>
      <w:r>
        <w:t>Оf</w:t>
      </w:r>
      <w:proofErr w:type="spellEnd"/>
      <w:r>
        <w:t xml:space="preserve"> [date]</w:t>
      </w:r>
    </w:p>
    <w:p w14:paraId="272F006C" w14:textId="77777777" w:rsidR="009650F3" w:rsidRPr="00E9574F" w:rsidRDefault="009650F3" w:rsidP="009650F3">
      <w:pPr>
        <w:pStyle w:val="EingangsformelStandardnderungsdokument"/>
      </w:pPr>
      <w:r>
        <w:t xml:space="preserve">The Federal Ministry of Food and Agriculture orders the following </w:t>
      </w:r>
      <w:proofErr w:type="gramStart"/>
      <w:r>
        <w:t>on the basis of</w:t>
      </w:r>
      <w:proofErr w:type="gramEnd"/>
    </w:p>
    <w:p w14:paraId="512FFA89" w14:textId="0A9A8E83" w:rsidR="00321AE7" w:rsidRPr="009E0D4B" w:rsidRDefault="004267EE" w:rsidP="005005AB">
      <w:pPr>
        <w:pStyle w:val="EingangsformelAufzhlungnderungsdokument"/>
        <w:numPr>
          <w:ilvl w:val="0"/>
          <w:numId w:val="39"/>
        </w:numPr>
      </w:pPr>
      <w:r>
        <w:t>§ 13(1)(1)(a)(2) and 4(</w:t>
      </w:r>
      <w:proofErr w:type="gramStart"/>
      <w:r>
        <w:t>1)(</w:t>
      </w:r>
      <w:proofErr w:type="gramEnd"/>
      <w:r>
        <w:t>a and b), § 35(1)(b)(aa), § 7(1)(1) also in conjunction with § 4(2)(2) of the Food and Feed Code in the version published on 3 June 2013 (Federal Law Gazette I p. 1426), of which § 13(1)(1)(a) and (4)(1)(b) were amended most recently by Article 1(13) of the Act of .. 2021 (Federal Law Gazette I p. ...), § 13(1)(2) and (4)(1)(a) were amended most recently by § 67(5) of the Ordinance of 31 August 2015 (Federal Law Gazette I p. 1474), and § 35(1)(</w:t>
      </w:r>
      <w:proofErr w:type="gramStart"/>
      <w:r>
        <w:t>b)(</w:t>
      </w:r>
      <w:proofErr w:type="gramEnd"/>
      <w:r>
        <w:t>aa) was amended most recently by Article 67(6) of the Ordinance of 31 August 2015 (Federal Law Gazette I p. 1474), in agreement with the Federal Ministry of Economic Affairs and Energy,</w:t>
      </w:r>
      <w:bookmarkStart w:id="0" w:name="DQPErrorScope6C4DC7B48DAD49F3910D9C706FB"/>
    </w:p>
    <w:p w14:paraId="38AB48AA" w14:textId="1975D840" w:rsidR="009650F3" w:rsidRPr="009E0D4B" w:rsidRDefault="009650F3" w:rsidP="00E84B01">
      <w:pPr>
        <w:pStyle w:val="EingangsformelAufzhlungnderungsdokument"/>
      </w:pPr>
      <w:r>
        <w:t>§ 13(1)(6), § 62(1)(1) and (2)(a) and of § 75(5), also in conjunction with § 4(2), of the Food and Feed Code in the version published on 3 June 2013 (Federal Law Gazette I p. 1426), of which § 13(1)(6) was amended most recently by Article 67(5) of the Ordinance of 31 August 2015 (Federal Law Gazette I p. 1474) and § 62(1)(1) and (2)(a), last reworded by Article 1(48) of the Act of ... 2021 (Federal Law Gazette I p. ...), and § 75(5), last amended by Article 1(53) of the Act of ... 2021 (Federal Law Gazette I p. ...), and</w:t>
      </w:r>
    </w:p>
    <w:p w14:paraId="1E0F7501" w14:textId="3B02D45A" w:rsidR="009650F3" w:rsidRPr="00E9574F" w:rsidRDefault="009650F3" w:rsidP="009650F3">
      <w:pPr>
        <w:pStyle w:val="EingangsformelAufzhlungnderungsdokument"/>
      </w:pPr>
      <w:r>
        <w:t>§ 3(1), first sentence, point 1 of the Milk and Margarine Act of 25 July 1990 (Federal Law Gazette I p. 1471), as last amended by Article 2(2) of the Act of 18 January 2019 (Federal Law Gazette I p. 33), in agreement with the Federal Ministry of Economic Affairs and Energy:</w:t>
      </w:r>
    </w:p>
    <w:p w14:paraId="520879A2" w14:textId="23D61F57" w:rsidR="00651E64" w:rsidRPr="00651E64" w:rsidRDefault="009A59A7" w:rsidP="009A59A7">
      <w:pPr>
        <w:pStyle w:val="ArtikelBezeichner"/>
        <w:numPr>
          <w:ilvl w:val="0"/>
          <w:numId w:val="0"/>
        </w:numPr>
      </w:pPr>
      <w:bookmarkStart w:id="1" w:name="DQPErrorScope24B7A3350EDE4A9ABF2103034B1"/>
      <w:bookmarkEnd w:id="0"/>
      <w:bookmarkEnd w:id="1"/>
      <w:r>
        <w:t>Article 1</w:t>
      </w:r>
    </w:p>
    <w:p w14:paraId="2A2F26A0" w14:textId="77777777" w:rsidR="00244293" w:rsidRPr="005632EA" w:rsidRDefault="005C3F8A" w:rsidP="00244293">
      <w:pPr>
        <w:pStyle w:val="BezeichnungStammdokument"/>
      </w:pPr>
      <w:bookmarkStart w:id="2" w:name="DQPErrorScope9E5B26B397B847A4B87D8A5E50F"/>
      <w:r>
        <w:t>Implementing Ordinance on flavourings and food containing flavourings</w:t>
      </w:r>
      <w:bookmarkEnd w:id="2"/>
    </w:p>
    <w:p w14:paraId="6DE99BBE" w14:textId="77777777" w:rsidR="005C3F8A" w:rsidRPr="005632EA" w:rsidRDefault="00E21259" w:rsidP="005F25F7">
      <w:pPr>
        <w:pStyle w:val="Kurzbezeichnung-AbkrzungStammdokument"/>
      </w:pPr>
      <w:r>
        <w:t xml:space="preserve">(Flavourings Implementation Ordinance - </w:t>
      </w:r>
      <w:proofErr w:type="spellStart"/>
      <w:r>
        <w:t>AromenDV</w:t>
      </w:r>
      <w:proofErr w:type="spellEnd"/>
      <w:r>
        <w:t>)</w:t>
      </w:r>
    </w:p>
    <w:p w14:paraId="3608BD23" w14:textId="03F7117D" w:rsidR="00651E64" w:rsidRPr="005632EA" w:rsidRDefault="009A59A7" w:rsidP="009A59A7">
      <w:pPr>
        <w:pStyle w:val="ParagraphBezeichner"/>
        <w:numPr>
          <w:ilvl w:val="0"/>
          <w:numId w:val="0"/>
        </w:numPr>
      </w:pPr>
      <w:r>
        <w:t>§ 1.</w:t>
      </w:r>
    </w:p>
    <w:p w14:paraId="084CBDF6" w14:textId="77777777" w:rsidR="00651E64" w:rsidRPr="005632EA" w:rsidRDefault="00817B35" w:rsidP="00651E64">
      <w:pPr>
        <w:pStyle w:val="Paragraphberschrift"/>
      </w:pPr>
      <w:r>
        <w:t>Scope of application</w:t>
      </w:r>
    </w:p>
    <w:p w14:paraId="03203C78" w14:textId="77777777" w:rsidR="00C9581A" w:rsidRPr="005632EA" w:rsidRDefault="00C9581A" w:rsidP="00E11DA0">
      <w:pPr>
        <w:pStyle w:val="JuristischerAbsatznummeriert"/>
      </w:pPr>
      <w:r>
        <w:t xml:space="preserve"> This Ordinance shall apply by supplementing</w:t>
      </w:r>
    </w:p>
    <w:p w14:paraId="06BC809E" w14:textId="77777777" w:rsidR="009D3ED5" w:rsidRPr="005632EA" w:rsidRDefault="00817B35" w:rsidP="00DD7B4D">
      <w:pPr>
        <w:pStyle w:val="NummerierungStufe1"/>
      </w:pPr>
      <w:r>
        <w:t xml:space="preserve">the rules laid down in 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w:t>
      </w:r>
      <w:r>
        <w:lastRenderedPageBreak/>
        <w:t>2000/13/EC (OJ L 354, 31.12.2008, p. 34; L 105, 27.4.2010, p. 115; L 406, 3.12.2020, p. 67), as last amended by Regulation (EU) 2020/1681 (OJ L 379, 13.11.2020, p. 27), as amended, as regards the placing on the market and labelling of flavourings within the meaning of Article 3(2)(a) of Regulation (EC) No 1334/2008,</w:t>
      </w:r>
    </w:p>
    <w:p w14:paraId="089EE9A6" w14:textId="77777777" w:rsidR="009D3ED5" w:rsidRPr="005632EA" w:rsidRDefault="00817B35" w:rsidP="00E11DA0">
      <w:pPr>
        <w:pStyle w:val="NummerierungStufe1"/>
      </w:pPr>
      <w:r>
        <w:t xml:space="preserve">the rules laid down in Regulation (EC) No 2065/2003 of the European Parliament and of the Council of 10 November 2003 on smoke flavourings used or intended for use in or on foods (OJ L 309, 26.11.2003, p. 1), as last amended by Regulation (EU) 2019/1381 (OJ L 231, 6.9.2019, p. 1), as amended, as regards placing on the market </w:t>
      </w:r>
    </w:p>
    <w:p w14:paraId="53762AE9" w14:textId="77777777" w:rsidR="00817B35" w:rsidRPr="005632EA" w:rsidRDefault="009D3ED5" w:rsidP="00E11DA0">
      <w:pPr>
        <w:pStyle w:val="NummerierungStufe2"/>
      </w:pPr>
      <w:r>
        <w:t>smoke flavourings within the meaning of Article 3(2)(f) of Regulation (EU) No 1334/2008 and</w:t>
      </w:r>
    </w:p>
    <w:p w14:paraId="7758FE44" w14:textId="77777777" w:rsidR="009D3ED5" w:rsidRPr="005632EA" w:rsidRDefault="009D3ED5" w:rsidP="00E11DA0">
      <w:pPr>
        <w:pStyle w:val="NummerierungStufe2"/>
      </w:pPr>
      <w:r>
        <w:t>food in or on which smoke flavouring is present.</w:t>
      </w:r>
    </w:p>
    <w:p w14:paraId="2C1F76E8" w14:textId="77777777" w:rsidR="00E11DA0" w:rsidRPr="005632EA" w:rsidRDefault="00E11DA0" w:rsidP="00E11DA0">
      <w:pPr>
        <w:pStyle w:val="JuristischerAbsatznummeriert"/>
      </w:pPr>
      <w:r>
        <w:t xml:space="preserve">This Ordinance regulates </w:t>
      </w:r>
    </w:p>
    <w:p w14:paraId="4E217407" w14:textId="77777777" w:rsidR="00E11DA0" w:rsidRPr="005632EA" w:rsidRDefault="00E11DA0" w:rsidP="00E11DA0">
      <w:pPr>
        <w:pStyle w:val="NummerierungStufe1"/>
      </w:pPr>
      <w:r>
        <w:t>the use of flavouring substances as defined in Article 3(2)(b) of Regulation (EC) No 1334/2008 in the production of foods intended for infants,</w:t>
      </w:r>
    </w:p>
    <w:p w14:paraId="746D10E6" w14:textId="77777777" w:rsidR="00E11DA0" w:rsidRPr="005632EA" w:rsidRDefault="00E11DA0" w:rsidP="00E11DA0">
      <w:pPr>
        <w:pStyle w:val="NummerierungStufe1"/>
      </w:pPr>
      <w:r>
        <w:t xml:space="preserve">the production and use of freshly generated smoke, </w:t>
      </w:r>
    </w:p>
    <w:p w14:paraId="172E3806" w14:textId="77777777" w:rsidR="00E11DA0" w:rsidRPr="005632EA" w:rsidRDefault="00E11DA0" w:rsidP="00E11DA0">
      <w:pPr>
        <w:pStyle w:val="NummerierungStufe1"/>
      </w:pPr>
      <w:r>
        <w:t>the labelling of certain prepacked food within the meaning of Article 2(2)(e)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 18; L 331, 18.11.2014, p. 41; L 50, 21.2.2015, p. 48; L 266, 30.9.2016, p. 7), as last amended by Regulation (EU) 2015/2283 (OJ L 327, 11.12.2015, p. 1), as amended, and the labelling of certain non-prepacked food intended for supply to</w:t>
      </w:r>
    </w:p>
    <w:p w14:paraId="63280A61" w14:textId="77777777" w:rsidR="002124E7" w:rsidRPr="005632EA" w:rsidRDefault="00E11DA0" w:rsidP="004D072A">
      <w:pPr>
        <w:pStyle w:val="NummerierungStufe2"/>
      </w:pPr>
      <w:r>
        <w:t>final consumers within the meaning of Article 3(18) of Regulation (EC) No 178/2002 of the European Parliament and of the Council of 28 January 2002 laying down the general principles and requirements of food law, establishing the European Food Safety Authority and laying down procedures in matters of food safety (OJ L 31, 1.2.2002, p. 1), last amended by Regulation (EU) No 2019/1381 (OJ L 231, 6.9.2019, p. 1), as amended; or</w:t>
      </w:r>
    </w:p>
    <w:p w14:paraId="12232107" w14:textId="77777777" w:rsidR="00E11DA0" w:rsidRPr="005632EA" w:rsidRDefault="00E11DA0" w:rsidP="004D072A">
      <w:pPr>
        <w:pStyle w:val="NummerierungStufe2"/>
      </w:pPr>
      <w:r>
        <w:t>mass caterers within the meaning of Article 2(2) of Regulation (EU) No 1169/2011.</w:t>
      </w:r>
    </w:p>
    <w:p w14:paraId="68B6D1B2" w14:textId="03260B6C" w:rsidR="002039AA" w:rsidRPr="005632EA" w:rsidRDefault="009A59A7" w:rsidP="009A59A7">
      <w:pPr>
        <w:pStyle w:val="ParagraphBezeichner"/>
        <w:numPr>
          <w:ilvl w:val="0"/>
          <w:numId w:val="0"/>
        </w:numPr>
      </w:pPr>
      <w:r>
        <w:t>§ 2</w:t>
      </w:r>
    </w:p>
    <w:p w14:paraId="489796CB" w14:textId="77777777" w:rsidR="002039AA" w:rsidRPr="005632EA" w:rsidRDefault="00F01166" w:rsidP="00F01166">
      <w:pPr>
        <w:pStyle w:val="Paragraphberschrift"/>
      </w:pPr>
      <w:r>
        <w:t>Definitions</w:t>
      </w:r>
    </w:p>
    <w:p w14:paraId="7A80D09F" w14:textId="77777777" w:rsidR="00E11DA0" w:rsidRPr="005632EA" w:rsidRDefault="00BC5CE3" w:rsidP="000D651F">
      <w:pPr>
        <w:pStyle w:val="JuristischerAbsatznichtnummeriert"/>
        <w:rPr>
          <w:b/>
        </w:rPr>
      </w:pPr>
      <w:r>
        <w:t>For the purposes of this Ordinance, non-prepacked food is</w:t>
      </w:r>
      <w:bookmarkStart w:id="3" w:name="DQPErrorScope67E92608D42740079E6457E1473"/>
      <w:r>
        <w:t xml:space="preserve"> food which is</w:t>
      </w:r>
    </w:p>
    <w:p w14:paraId="3AD04CA9" w14:textId="77777777" w:rsidR="00E11DA0" w:rsidRPr="005632EA" w:rsidRDefault="00E11DA0" w:rsidP="000D651F">
      <w:pPr>
        <w:pStyle w:val="NummerierungStufe1"/>
      </w:pPr>
      <w:r>
        <w:t>offered for sale without packaging,</w:t>
      </w:r>
    </w:p>
    <w:p w14:paraId="6419D49F" w14:textId="77777777" w:rsidR="00E11DA0" w:rsidRPr="005632EA" w:rsidRDefault="00E11DA0" w:rsidP="000D651F">
      <w:pPr>
        <w:pStyle w:val="NummerierungStufe1"/>
      </w:pPr>
      <w:r>
        <w:t>packed on the sale’s premises at the request of the final consumer or mass caterer, or</w:t>
      </w:r>
    </w:p>
    <w:p w14:paraId="4DFEC0D0" w14:textId="77777777" w:rsidR="00651E64" w:rsidRPr="005632EA" w:rsidRDefault="00E11DA0" w:rsidP="000D651F">
      <w:pPr>
        <w:pStyle w:val="NummerierungStufe1"/>
      </w:pPr>
      <w:r>
        <w:t>prepacked with a view to direct sale.</w:t>
      </w:r>
      <w:bookmarkEnd w:id="3"/>
    </w:p>
    <w:p w14:paraId="4137B85D" w14:textId="3AE4A84C" w:rsidR="00651E64" w:rsidRPr="005632EA" w:rsidRDefault="009A59A7" w:rsidP="009A59A7">
      <w:pPr>
        <w:pStyle w:val="ParagraphBezeichner"/>
        <w:numPr>
          <w:ilvl w:val="0"/>
          <w:numId w:val="0"/>
        </w:numPr>
      </w:pPr>
      <w:r>
        <w:lastRenderedPageBreak/>
        <w:t>§ 3</w:t>
      </w:r>
    </w:p>
    <w:p w14:paraId="11A8A898" w14:textId="77777777" w:rsidR="00651E64" w:rsidRPr="005632EA" w:rsidRDefault="008B28E1" w:rsidP="00651E64">
      <w:pPr>
        <w:pStyle w:val="Paragraphberschrift"/>
      </w:pPr>
      <w:r>
        <w:t>Food intended for infants</w:t>
      </w:r>
    </w:p>
    <w:p w14:paraId="0E589CC6" w14:textId="77777777" w:rsidR="00043572" w:rsidRPr="005632EA" w:rsidRDefault="0050376B" w:rsidP="00651E64">
      <w:pPr>
        <w:pStyle w:val="JuristischerAbsatznichtnummeriert"/>
      </w:pPr>
      <w:r>
        <w:t xml:space="preserve">The use of flavouring substances is prohibited in the production of </w:t>
      </w:r>
    </w:p>
    <w:p w14:paraId="78830B54" w14:textId="77777777" w:rsidR="00043572" w:rsidRPr="005632EA" w:rsidRDefault="00651E64" w:rsidP="009E788E">
      <w:pPr>
        <w:pStyle w:val="NummerierungStufe1"/>
      </w:pPr>
      <w:r>
        <w:t>infant formulae and</w:t>
      </w:r>
    </w:p>
    <w:p w14:paraId="56568695" w14:textId="77777777" w:rsidR="00043572" w:rsidRPr="005632EA" w:rsidRDefault="00043572" w:rsidP="009E788E">
      <w:pPr>
        <w:pStyle w:val="NummerierungStufe1"/>
      </w:pPr>
      <w:r>
        <w:t xml:space="preserve">food intended for infants less than sixteen weeks old. </w:t>
      </w:r>
    </w:p>
    <w:p w14:paraId="5075DFB7" w14:textId="10683200" w:rsidR="00651E64" w:rsidRPr="005632EA" w:rsidRDefault="009A59A7" w:rsidP="009A59A7">
      <w:pPr>
        <w:pStyle w:val="ParagraphBezeichner"/>
        <w:numPr>
          <w:ilvl w:val="0"/>
          <w:numId w:val="0"/>
        </w:numPr>
      </w:pPr>
      <w:r>
        <w:t>§ 4</w:t>
      </w:r>
    </w:p>
    <w:p w14:paraId="5514444C" w14:textId="77777777" w:rsidR="00651E64" w:rsidRPr="005632EA" w:rsidRDefault="00B7429A" w:rsidP="00651E64">
      <w:pPr>
        <w:pStyle w:val="Paragraphberschrift"/>
      </w:pPr>
      <w:r>
        <w:t>Use of freshly generated smoke</w:t>
      </w:r>
    </w:p>
    <w:p w14:paraId="058D0921" w14:textId="77777777" w:rsidR="00E11DA0" w:rsidRPr="005632EA" w:rsidRDefault="00C86B1E" w:rsidP="008A0CC7">
      <w:pPr>
        <w:pStyle w:val="JuristischerAbsatznummeriert"/>
      </w:pPr>
      <w:r>
        <w:t xml:space="preserve">It shall be prohibited to produce food using freshly generated smoke if the requirements of paragraphs 2, 4 or 5 are not complied with. </w:t>
      </w:r>
    </w:p>
    <w:p w14:paraId="0EA3F196" w14:textId="77777777" w:rsidR="00B9172A" w:rsidRPr="005632EA" w:rsidRDefault="00B9172A" w:rsidP="00B9172A">
      <w:pPr>
        <w:pStyle w:val="JuristischerAbsatznummeriert"/>
      </w:pPr>
      <w:r>
        <w:t xml:space="preserve">Only natural woods and twigs, heather and coniferous seed heads may be used in the production of freshly generated smoke, in each case also with the addition of spices. </w:t>
      </w:r>
    </w:p>
    <w:p w14:paraId="4277BC9E" w14:textId="77777777" w:rsidR="00B9172A" w:rsidRPr="005632EA" w:rsidRDefault="00DD78B3">
      <w:pPr>
        <w:pStyle w:val="JuristischerAbsatznummeriert"/>
      </w:pPr>
      <w:r>
        <w:t xml:space="preserve"> By way of derogation from paragraph 2, peat may also be used </w:t>
      </w:r>
      <w:proofErr w:type="gramStart"/>
      <w:r>
        <w:t>for the production of</w:t>
      </w:r>
      <w:proofErr w:type="gramEnd"/>
      <w:r>
        <w:t xml:space="preserve"> freshly generated smoke for the treatment of malt for the production </w:t>
      </w:r>
    </w:p>
    <w:p w14:paraId="068BCAED" w14:textId="77777777" w:rsidR="00B9172A" w:rsidRPr="005632EA" w:rsidRDefault="00B9172A" w:rsidP="00B9172A">
      <w:pPr>
        <w:pStyle w:val="NummerierungStufe1"/>
      </w:pPr>
      <w:r>
        <w:t>of whisky or whiskey within the meaning of point 2 of Annex I to 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 (OJ L 130, 17.5.2019, p. 1; L 316I, 6.12.2019, p. 3; L 178, 20.5.2021, p. 4) and</w:t>
      </w:r>
      <w:bookmarkStart w:id="4" w:name="DQPErrorScope28DA2E2C73EE4A8EA6577F4BAE0"/>
      <w:bookmarkStart w:id="5" w:name="DQPErrorScope99465381B6464B289894D728EEF"/>
      <w:bookmarkStart w:id="6" w:name="DQPErrorScope2DEF65B51EE44A5D8DE4F31006A"/>
    </w:p>
    <w:bookmarkEnd w:id="4"/>
    <w:bookmarkEnd w:id="5"/>
    <w:bookmarkEnd w:id="6"/>
    <w:p w14:paraId="3BF48B30" w14:textId="77777777" w:rsidR="00B9172A" w:rsidRPr="005632EA" w:rsidRDefault="00B9172A" w:rsidP="00B9172A">
      <w:pPr>
        <w:pStyle w:val="NummerierungStufe1"/>
      </w:pPr>
      <w:r>
        <w:t xml:space="preserve">of beer. </w:t>
      </w:r>
    </w:p>
    <w:p w14:paraId="2F8C86E8" w14:textId="77777777" w:rsidR="00B9172A" w:rsidRPr="005632EA" w:rsidRDefault="00B9172A" w:rsidP="00B9172A">
      <w:pPr>
        <w:pStyle w:val="JuristischerAbsatznummeriert"/>
      </w:pPr>
      <w:r>
        <w:t xml:space="preserve">Freshly generated smoke must not be used to treat water, aqueous solutions, edible oils and other liquids, or nitrite curing salt. </w:t>
      </w:r>
    </w:p>
    <w:p w14:paraId="3D203D49" w14:textId="77777777" w:rsidR="00651E64" w:rsidRPr="005632EA" w:rsidRDefault="00B9172A" w:rsidP="00E105DA">
      <w:pPr>
        <w:pStyle w:val="JuristischerAbsatznummeriert"/>
      </w:pPr>
      <w:bookmarkStart w:id="7" w:name="DQPErrorScopeBA1D14AAEDFE47A89FAAF10D3EE"/>
      <w:bookmarkStart w:id="8" w:name="DQPErrorScopeFE446157341546B19C8CB8CE8D1"/>
      <w:r>
        <w:t>The average content of benzo(a)pyrene in smoked cheese or smoked products made from cheese shall not exceed one microgram per kilogram (1.0 µg/kg).</w:t>
      </w:r>
      <w:bookmarkEnd w:id="7"/>
      <w:bookmarkEnd w:id="8"/>
      <w:r>
        <w:t xml:space="preserve"> </w:t>
      </w:r>
      <w:bookmarkStart w:id="9" w:name="DQPErrorScopeF11771B40F1748CCBE6ADFADDF1"/>
      <w:bookmarkStart w:id="10" w:name="DQPErrorScope6B12DDF99151491C95D7E2DA9D3"/>
      <w:bookmarkEnd w:id="9"/>
      <w:bookmarkEnd w:id="10"/>
    </w:p>
    <w:p w14:paraId="18DBEC8B" w14:textId="186FB22C" w:rsidR="00122C40" w:rsidRPr="005632EA" w:rsidRDefault="009A59A7" w:rsidP="009A59A7">
      <w:pPr>
        <w:pStyle w:val="ParagraphBezeichner"/>
        <w:numPr>
          <w:ilvl w:val="0"/>
          <w:numId w:val="0"/>
        </w:numPr>
      </w:pPr>
      <w:r>
        <w:t>§ 5</w:t>
      </w:r>
    </w:p>
    <w:p w14:paraId="480E4DDD" w14:textId="77777777" w:rsidR="00651E64" w:rsidRPr="005632EA" w:rsidRDefault="00651E64" w:rsidP="00651E64">
      <w:pPr>
        <w:pStyle w:val="Paragraphberschrift"/>
      </w:pPr>
      <w:r>
        <w:t>Labelling</w:t>
      </w:r>
    </w:p>
    <w:p w14:paraId="67CDE80E" w14:textId="77777777" w:rsidR="00651E64" w:rsidRPr="005632EA" w:rsidRDefault="00F707E6" w:rsidP="00651E64">
      <w:pPr>
        <w:pStyle w:val="JuristischerAbsatznummeriert"/>
      </w:pPr>
      <w:r>
        <w:t xml:space="preserve">Non-prepacked beverages containing up to 1.2 % by volume of alcohol and non-prepacked flavourings, each of which containing quinine or its salts, may be supplied to final consumers and mass caterers only if they are labelled with the particular ‘contains quinine’ in the manner specified in paragraphs 3 to 5. </w:t>
      </w:r>
      <w:bookmarkStart w:id="11" w:name="DQPErrorScopeE4EB20D4B1684A33878E68F0A6F"/>
      <w:r>
        <w:t>The particular under sentence 1 may be waived in the case of the products mentioned above with a list of ingredients complying with the requirements for the particulars referred to in Article 9(1)(b) in conjunction with Article 18 of Regulation (EU) No 1169/2011.</w:t>
      </w:r>
      <w:bookmarkEnd w:id="11"/>
      <w:r>
        <w:t xml:space="preserve"> </w:t>
      </w:r>
    </w:p>
    <w:p w14:paraId="614C59F2" w14:textId="77777777" w:rsidR="00651E64" w:rsidRPr="005632EA" w:rsidRDefault="00C621E8" w:rsidP="00651E64">
      <w:pPr>
        <w:pStyle w:val="JuristischerAbsatznummeriert"/>
      </w:pPr>
      <w:r>
        <w:t>Prepacked and non-prepacked liquorice products may be supplied to the final consumer and to mass caterers only with the following particulars, which shall be provided in the manner specified in paragraphs 3 to 5:</w:t>
      </w:r>
    </w:p>
    <w:p w14:paraId="4923723A" w14:textId="77777777" w:rsidR="00651E64" w:rsidRPr="005632EA" w:rsidRDefault="00651E64" w:rsidP="00651E64">
      <w:pPr>
        <w:pStyle w:val="NummerierungStufe1"/>
      </w:pPr>
      <w:r>
        <w:lastRenderedPageBreak/>
        <w:t xml:space="preserve">if the ammonium chloride content exceeds 20 grams per kilogram but does not exceed 44.9 grams per kilogram, with the particular ‘Adult liquorice - not children’s liquorice’, </w:t>
      </w:r>
    </w:p>
    <w:p w14:paraId="6FE208B0" w14:textId="77777777" w:rsidR="00B23B47" w:rsidRPr="005632EA" w:rsidRDefault="00651E64" w:rsidP="00B23B47">
      <w:pPr>
        <w:pStyle w:val="NummerierungStufe1"/>
      </w:pPr>
      <w:r>
        <w:t xml:space="preserve">if the ammonium chloride content exceeds 44.9 grams per kilogram but is less than 79.9 grams per kilogram, with the particular ‘Extra strong, adult liquorice - not children’s liquorice’, and </w:t>
      </w:r>
    </w:p>
    <w:p w14:paraId="4D743E2D" w14:textId="77777777" w:rsidR="00651E64" w:rsidRPr="005632EA" w:rsidRDefault="00651E64" w:rsidP="00B23B47">
      <w:pPr>
        <w:pStyle w:val="NummerierungStufe1"/>
      </w:pPr>
      <w:r>
        <w:t xml:space="preserve">if the ammonium chloride content exceeds 79.9 grams per kilogram, in addition to the </w:t>
      </w:r>
      <w:proofErr w:type="gramStart"/>
      <w:r>
        <w:t>particular provided</w:t>
      </w:r>
      <w:proofErr w:type="gramEnd"/>
      <w:r>
        <w:t xml:space="preserve"> for in point 2, the particular ‘Excessive consumption may be harmful to health, in particular for persons suffering from kidney disease’.</w:t>
      </w:r>
    </w:p>
    <w:p w14:paraId="7F821019" w14:textId="09B71547" w:rsidR="00DE2A80" w:rsidRPr="005632EA" w:rsidRDefault="00C756B3" w:rsidP="00C66A86">
      <w:pPr>
        <w:pStyle w:val="JuristischerAbsatznummeriert"/>
      </w:pPr>
      <w:bookmarkStart w:id="12" w:name="DQPErrorScope568EEC9C90CC421DBAB93096CD0"/>
      <w:r>
        <w:t>The particulars referred to in paragraph 1, first sentence and in paragraph 2 shall be provided as follows in the case of foods within the meaning of § 2(3), insofar as they are not offered for self-service, and in the case of foods within the meaning of § 2(1) and (2):</w:t>
      </w:r>
    </w:p>
    <w:p w14:paraId="3BB0816C" w14:textId="59F880FB" w:rsidR="00C756B3" w:rsidRPr="005632EA" w:rsidRDefault="00C756B3" w:rsidP="00E548ED">
      <w:pPr>
        <w:pStyle w:val="NummerierungStufe1"/>
      </w:pPr>
      <w:r>
        <w:t>in accordance with Article 12(2) of Regulation (EU) No 1169/2011 or § 4(3) and (4) of the Food Information Implementing Ordinance of 5 July 2017 (Federal Law Gazette I p. 2272), last amended by Article 4 of the Ordinance of 18 November 2020 (Federal Law Gazette I p. 2504) and</w:t>
      </w:r>
    </w:p>
    <w:p w14:paraId="7D61ED43" w14:textId="77777777" w:rsidR="00380DED" w:rsidRPr="005632EA" w:rsidRDefault="00C756B3" w:rsidP="00E548ED">
      <w:pPr>
        <w:pStyle w:val="NummerierungStufe1"/>
      </w:pPr>
      <w:r>
        <w:t>insofar as particulars pursuant to § 4(2) of the Food Information Implementation Ordinance are mandatory, in the same manner and through the identical medium as the particulars in accordance with § 4(2) of the Food Information Implementation Ordinance are to be provided.</w:t>
      </w:r>
    </w:p>
    <w:p w14:paraId="30D82C29" w14:textId="7BE80271" w:rsidR="0038729E" w:rsidRPr="005632EA" w:rsidRDefault="005A6DDD" w:rsidP="00D43DAA">
      <w:pPr>
        <w:pStyle w:val="JuristischerAbsatznummeriert"/>
      </w:pPr>
      <w:r>
        <w:t>The particulars referred to in paragraph 1, first sentence and in paragraph 2 shall be provided in the case of foods within the meaning of § 2(3) if they are offered for self-service and in the case of prepacked liquorice products, in accordance with Article 12(2) of Regulation (EU) No 1169/2011.</w:t>
      </w:r>
    </w:p>
    <w:p w14:paraId="7022EE71" w14:textId="77777777" w:rsidR="00C50450" w:rsidRPr="005632EA" w:rsidRDefault="001E604E">
      <w:pPr>
        <w:pStyle w:val="JuristischerAbsatznummeriert"/>
      </w:pPr>
      <w:r>
        <w:t>In the case of foods offered for sale by means of distance communication, the particulars referred to in paragraph 1, first sentence and in paragraph 2 shall be provided in accordance with Article 14(1) of Regulation (EU) No 1169/2011, without prejudice to paragraphs 3 and 4.</w:t>
      </w:r>
    </w:p>
    <w:bookmarkEnd w:id="12"/>
    <w:p w14:paraId="0722652F" w14:textId="77777777" w:rsidR="001E04AA" w:rsidRPr="005632EA" w:rsidRDefault="001E04AA" w:rsidP="004C2AB1">
      <w:pPr>
        <w:pStyle w:val="JuristischerAbsatznummeriert"/>
      </w:pPr>
      <w:r>
        <w:t>Flavourings intended for sale to the final consumer which use the term ‘natural’ in their description may be placed on the market only if the use of that term complies with the requirements of Article 17(2) in conjunction with Article 16 of Regulation (EC) No 1334/2008.</w:t>
      </w:r>
    </w:p>
    <w:p w14:paraId="4D906090" w14:textId="1DD4D1E0" w:rsidR="00651E64" w:rsidRPr="005632EA" w:rsidRDefault="009A59A7" w:rsidP="009A59A7">
      <w:pPr>
        <w:pStyle w:val="ParagraphBezeichner"/>
        <w:numPr>
          <w:ilvl w:val="0"/>
          <w:numId w:val="0"/>
        </w:numPr>
      </w:pPr>
      <w:r>
        <w:t>§ 6</w:t>
      </w:r>
    </w:p>
    <w:p w14:paraId="36D55FC3" w14:textId="77777777" w:rsidR="00651E64" w:rsidRPr="005632EA" w:rsidRDefault="00651E64" w:rsidP="00651E64">
      <w:pPr>
        <w:pStyle w:val="Paragraphberschrift"/>
      </w:pPr>
      <w:r>
        <w:t>Criminal offences</w:t>
      </w:r>
    </w:p>
    <w:p w14:paraId="32C78173" w14:textId="77777777" w:rsidR="007B7086" w:rsidRPr="005632EA" w:rsidRDefault="00651E64" w:rsidP="00651E64">
      <w:pPr>
        <w:pStyle w:val="JuristischerAbsatznummeriert"/>
      </w:pPr>
      <w:r>
        <w:t>Under § 58(1)(18), paragraphs 4 to 6 of the Food and Feed Code, penalties shall be imposed on any party which wilfully or negligently</w:t>
      </w:r>
    </w:p>
    <w:p w14:paraId="2ABDE8CD" w14:textId="77777777" w:rsidR="007B7086" w:rsidRPr="005632EA" w:rsidRDefault="00DF49C8" w:rsidP="007B7086">
      <w:pPr>
        <w:pStyle w:val="NummerierungStufe1"/>
      </w:pPr>
      <w:r>
        <w:t>uses a flavouring substance contrary to § 3; or</w:t>
      </w:r>
    </w:p>
    <w:p w14:paraId="5298DA03" w14:textId="77777777" w:rsidR="00DF49C8" w:rsidRPr="005632EA" w:rsidRDefault="00732057" w:rsidP="00C15A69">
      <w:pPr>
        <w:pStyle w:val="NummerierungStufe1"/>
      </w:pPr>
      <w:r>
        <w:t xml:space="preserve">produces food contrary to § 4(1). </w:t>
      </w:r>
    </w:p>
    <w:p w14:paraId="4CF08140" w14:textId="77777777" w:rsidR="00251B11" w:rsidRPr="005632EA" w:rsidRDefault="00651E64" w:rsidP="00251B11">
      <w:pPr>
        <w:pStyle w:val="JuristischerAbsatznummeriert"/>
      </w:pPr>
      <w:r>
        <w:t>Under § 59(1)(21)(a) of the Food and Feed Code, penalties shall be imposed on any party who, contrary to § 5(1), first sentence or to § 5(2), supplies a product or flavouring referred to therein.</w:t>
      </w:r>
    </w:p>
    <w:p w14:paraId="419B5E20" w14:textId="77777777" w:rsidR="00021797" w:rsidRPr="005632EA" w:rsidRDefault="00651E64" w:rsidP="00020477">
      <w:pPr>
        <w:pStyle w:val="JuristischerAbsatznummeriert"/>
      </w:pPr>
      <w:bookmarkStart w:id="13" w:name="DQPErrorScopeC76905A79867435F8B7C38D4B45"/>
      <w:r>
        <w:lastRenderedPageBreak/>
        <w:t>Under § 58(3)(2), paragraphs 4 to 6 of the Food and Feed Code, penalties shall be imposed on any party who wilfully or negligently places a smoke flavouring or a food</w:t>
      </w:r>
      <w:bookmarkEnd w:id="13"/>
      <w:r>
        <w:t xml:space="preserve"> on the market contrary to Article 4(2) of Regulation (EC) No 2065/2003 of the European Parliament and of the Council of 10 November 2003 on smoke flavourings or intended for use in or on foods (OJ L 309, 26.11.2003, p. 1), as last amended by Regulation (EU) 2019/1381 (OJ L 231, 6.9.2019, p. 1).</w:t>
      </w:r>
    </w:p>
    <w:p w14:paraId="0076BE5B" w14:textId="5CE6E0B5" w:rsidR="00D43DAA" w:rsidRPr="005632EA" w:rsidRDefault="009A59A7" w:rsidP="009A59A7">
      <w:pPr>
        <w:pStyle w:val="ParagraphBezeichner"/>
        <w:numPr>
          <w:ilvl w:val="0"/>
          <w:numId w:val="0"/>
        </w:numPr>
      </w:pPr>
      <w:r>
        <w:t>§ 7</w:t>
      </w:r>
    </w:p>
    <w:p w14:paraId="66715C88" w14:textId="77777777" w:rsidR="00021797" w:rsidRPr="005632EA" w:rsidRDefault="00021797" w:rsidP="00E548ED">
      <w:pPr>
        <w:pStyle w:val="Paragraphberschrift"/>
      </w:pPr>
      <w:r>
        <w:t>Administrative offences</w:t>
      </w:r>
    </w:p>
    <w:p w14:paraId="25F7C572" w14:textId="77777777" w:rsidR="00651E64" w:rsidRPr="005632EA" w:rsidRDefault="009A5EF4" w:rsidP="00651E64">
      <w:pPr>
        <w:pStyle w:val="JuristischerAbsatznummeriert"/>
      </w:pPr>
      <w:bookmarkStart w:id="14" w:name="DQPErrorScope198834BC410D4A869AB7DF5798B"/>
      <w:r>
        <w:t>Any party who negligently commits</w:t>
      </w:r>
      <w:bookmarkEnd w:id="14"/>
      <w:r>
        <w:t xml:space="preserve"> an act referred to in § 6(1) shall be deemed to have committed an administrative offence under § 60(1)(2) of the Food and Feed Code. </w:t>
      </w:r>
    </w:p>
    <w:p w14:paraId="2D5E64E8" w14:textId="77777777" w:rsidR="001E04AA" w:rsidRPr="005632EA" w:rsidRDefault="001E04AA" w:rsidP="001E04AA">
      <w:pPr>
        <w:pStyle w:val="JuristischerAbsatznummeriert"/>
      </w:pPr>
      <w:bookmarkStart w:id="15" w:name="DQPErrorScope54B3504AEBF347B489F4C3F8811"/>
      <w:bookmarkStart w:id="16" w:name="DQPErrorScope7CF15FF5351E44E09993510841B"/>
      <w:r>
        <w:t>An administrative offence within the meaning of § 60(2)(26)(a) of the Food and Feed Code is committed by any party who, contrary to § 5(6), wilfully or negligently places a flavouring specified therein on the market.</w:t>
      </w:r>
    </w:p>
    <w:p w14:paraId="74D142D0" w14:textId="6230AEF7" w:rsidR="008A0CC7" w:rsidRPr="005632EA" w:rsidRDefault="00486873" w:rsidP="008A0CC7">
      <w:pPr>
        <w:pStyle w:val="JuristischerAbsatznummeriert"/>
      </w:pPr>
      <w:r>
        <w:t>An administrative offence within the meaning of § 60(4)(2)(a) of the Food and Feed Code is committed by any party who violates 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 (OJ L 354, 31.12.2008, p. 34; L 105, 27.4.2010, p. 115), as last amended by Regulation (EU) 2020/1681 (OJ L 379, 13.11.2020, p. 27), by wilfully or negligently placing a flavouring on the market contrary to Article 14(1), first sentence in conjunction with Articles 15 or 16 or contrary to Article 17(1).</w:t>
      </w:r>
      <w:bookmarkEnd w:id="15"/>
      <w:bookmarkEnd w:id="16"/>
    </w:p>
    <w:p w14:paraId="1AFD2ADD" w14:textId="69B8FC8B" w:rsidR="00651E64" w:rsidRPr="005632EA" w:rsidRDefault="009A59A7" w:rsidP="009A59A7">
      <w:pPr>
        <w:pStyle w:val="ParagraphBezeichner"/>
        <w:numPr>
          <w:ilvl w:val="0"/>
          <w:numId w:val="0"/>
        </w:numPr>
      </w:pPr>
      <w:r>
        <w:t>§ 8</w:t>
      </w:r>
    </w:p>
    <w:p w14:paraId="7D621927" w14:textId="77777777" w:rsidR="00651E64" w:rsidRPr="005632EA" w:rsidRDefault="00651E64" w:rsidP="00651E64">
      <w:pPr>
        <w:pStyle w:val="Paragraphberschrift"/>
      </w:pPr>
      <w:r>
        <w:t>Transitional provisions</w:t>
      </w:r>
    </w:p>
    <w:p w14:paraId="376BE833" w14:textId="026E9F23" w:rsidR="00651E64" w:rsidRPr="005632EA" w:rsidRDefault="00651E64" w:rsidP="00651E64">
      <w:pPr>
        <w:pStyle w:val="JuristischerAbsatznichtnummeriert"/>
      </w:pPr>
      <w:r>
        <w:t xml:space="preserve">Liquorice goods which do not comply with the requirements of § 5(2) may, until stocks are exhausted, continue to be placed on the market even after... [insert: </w:t>
      </w:r>
      <w:r>
        <w:rPr>
          <w:i/>
        </w:rPr>
        <w:t>date of entry into force referred to in the first sentence of Article 3 of this Regulation]</w:t>
      </w:r>
      <w:r>
        <w:t>.</w:t>
      </w:r>
    </w:p>
    <w:p w14:paraId="41B7D042" w14:textId="063AF1BB" w:rsidR="00321AE7" w:rsidRPr="005632EA" w:rsidRDefault="009A59A7" w:rsidP="009A59A7">
      <w:pPr>
        <w:pStyle w:val="ArtikelBezeichner"/>
        <w:numPr>
          <w:ilvl w:val="0"/>
          <w:numId w:val="0"/>
        </w:numPr>
        <w:ind w:left="720"/>
      </w:pPr>
      <w:r>
        <w:t>Article 2</w:t>
      </w:r>
    </w:p>
    <w:p w14:paraId="43BD44C0" w14:textId="77777777" w:rsidR="00321AE7" w:rsidRPr="005632EA" w:rsidRDefault="00321AE7" w:rsidP="00321AE7">
      <w:pPr>
        <w:pStyle w:val="Artikelberschrift"/>
      </w:pPr>
      <w:r>
        <w:t>Amendment to the Cheese Ordinance</w:t>
      </w:r>
    </w:p>
    <w:p w14:paraId="4F034C3F" w14:textId="77777777" w:rsidR="00321AE7" w:rsidRPr="005632EA" w:rsidRDefault="00321AE7" w:rsidP="00321AE7">
      <w:pPr>
        <w:pStyle w:val="JuristischerAbsatznichtnummeriert"/>
      </w:pPr>
      <w:r>
        <w:t>The Cheese Ordinance, in the version published on 14 April 1986 (Federal Law Gazette I p. 412), as last amended by Article 18 of the Ordinance of 5 July 2017 (Federal Law Gazette I p. 2272), is amended as follows:</w:t>
      </w:r>
    </w:p>
    <w:p w14:paraId="4C90E633" w14:textId="77777777" w:rsidR="00321AE7" w:rsidRPr="005632EA" w:rsidRDefault="00321AE7" w:rsidP="00321AE7">
      <w:pPr>
        <w:pStyle w:val="NummerierungStufe1"/>
      </w:pPr>
      <w:r>
        <w:t>§ 3 is amended as follows:</w:t>
      </w:r>
    </w:p>
    <w:p w14:paraId="6DDC2025" w14:textId="77777777" w:rsidR="0067727A" w:rsidRPr="005632EA" w:rsidRDefault="00321AE7" w:rsidP="00321AE7">
      <w:pPr>
        <w:pStyle w:val="NummerierungStufe2"/>
      </w:pPr>
      <w:r>
        <w:t>Paragraph 1 is amended as follows:</w:t>
      </w:r>
    </w:p>
    <w:p w14:paraId="30CA21AE" w14:textId="77777777" w:rsidR="00321AE7" w:rsidRPr="005632EA" w:rsidRDefault="0067727A" w:rsidP="00D65456">
      <w:pPr>
        <w:pStyle w:val="NummerierungStufe3"/>
      </w:pPr>
      <w:r>
        <w:t xml:space="preserve">n the clause before point 1, the words </w:t>
      </w:r>
      <w:bookmarkStart w:id="17" w:name="DQPErrorScope9F6C3AFBC940482287EA8CACE7D"/>
      <w:r>
        <w:rPr>
          <w:color w:val="800000"/>
        </w:rPr>
        <w:t>‘and subject to § 23’</w:t>
      </w:r>
      <w:bookmarkEnd w:id="17"/>
      <w:r>
        <w:rPr>
          <w:color w:val="0000FF"/>
        </w:rPr>
        <w:t xml:space="preserve"> </w:t>
      </w:r>
      <w:r>
        <w:t>are deleted.</w:t>
      </w:r>
    </w:p>
    <w:p w14:paraId="557ADBF6" w14:textId="4AFAFB57" w:rsidR="00DE766B" w:rsidRPr="005632EA" w:rsidRDefault="00DE766B" w:rsidP="00DE766B">
      <w:pPr>
        <w:pStyle w:val="NummerierungStufe3"/>
      </w:pPr>
      <w:r>
        <w:t>In point 1(e), the semicolon at the end is replaced by a comma.</w:t>
      </w:r>
    </w:p>
    <w:p w14:paraId="39DA0767" w14:textId="71F849AB" w:rsidR="00A22FC2" w:rsidRPr="005632EA" w:rsidRDefault="0039746B" w:rsidP="00D65456">
      <w:pPr>
        <w:pStyle w:val="NummerierungStufe3"/>
      </w:pPr>
      <w:r>
        <w:lastRenderedPageBreak/>
        <w:t>Point 2 is amended as follows:</w:t>
      </w:r>
    </w:p>
    <w:p w14:paraId="56ED3096" w14:textId="41BECEC2" w:rsidR="00A22FC2" w:rsidRPr="005632EA" w:rsidRDefault="00A22FC2" w:rsidP="009E0D4B">
      <w:pPr>
        <w:pStyle w:val="NummerierungStufe4"/>
      </w:pPr>
      <w:r>
        <w:t>In point (e), the semicolon at the end is replaced by a comma.</w:t>
      </w:r>
    </w:p>
    <w:p w14:paraId="65555EB5" w14:textId="5D2F1E21" w:rsidR="0039746B" w:rsidRPr="005632EA" w:rsidRDefault="00A22FC2" w:rsidP="009E0D4B">
      <w:pPr>
        <w:pStyle w:val="NummerierungStufe4"/>
      </w:pPr>
      <w:r>
        <w:t>The following letter f is added:</w:t>
      </w:r>
    </w:p>
    <w:p w14:paraId="171F26A4" w14:textId="6A31659F" w:rsidR="00321AE7" w:rsidRDefault="00321AE7" w:rsidP="00871D83">
      <w:pPr>
        <w:pStyle w:val="RevisionNummerierungStufe2"/>
        <w:numPr>
          <w:ilvl w:val="4"/>
          <w:numId w:val="2"/>
        </w:numPr>
        <w:tabs>
          <w:tab w:val="clear" w:pos="850"/>
          <w:tab w:val="left" w:pos="2484"/>
        </w:tabs>
        <w:ind w:left="2484"/>
      </w:pPr>
      <w:r>
        <w:fldChar w:fldCharType="begin"/>
      </w:r>
      <w:r>
        <w:instrText xml:space="preserve"> ADVANCE  \l 26  </w:instrText>
      </w:r>
      <w:r>
        <w:fldChar w:fldCharType="end"/>
      </w:r>
      <w:r>
        <w:t>‘</w:t>
      </w:r>
      <w:r>
        <w:tab/>
      </w:r>
      <w:proofErr w:type="gramStart"/>
      <w:r>
        <w:t>freshly</w:t>
      </w:r>
      <w:proofErr w:type="gramEnd"/>
      <w:r>
        <w:t xml:space="preserve"> generated smoke within the meaning of § 4(2) of the Flavourings Implementation Ordinance;’.</w:t>
      </w:r>
    </w:p>
    <w:p w14:paraId="211A0FBC" w14:textId="77777777" w:rsidR="00321AE7" w:rsidRPr="005632EA" w:rsidRDefault="00321AE7" w:rsidP="00321AE7">
      <w:pPr>
        <w:pStyle w:val="NummerierungStufe2"/>
      </w:pPr>
      <w:r>
        <w:t xml:space="preserve">In paragraph 2 and paragraph 2a, first sentence, respectively the words </w:t>
      </w:r>
      <w:bookmarkStart w:id="18" w:name="DQPErrorScope5FBBE17180284D6297EB00D6129"/>
      <w:r>
        <w:rPr>
          <w:rStyle w:val="RevisionText"/>
        </w:rPr>
        <w:t>‘</w:t>
      </w:r>
      <w:r>
        <w:rPr>
          <w:color w:val="800000"/>
        </w:rPr>
        <w:t>and subject to § 23</w:t>
      </w:r>
      <w:r>
        <w:rPr>
          <w:rStyle w:val="RevisionText"/>
        </w:rPr>
        <w:t>’</w:t>
      </w:r>
      <w:bookmarkEnd w:id="18"/>
      <w:r>
        <w:rPr>
          <w:rStyle w:val="RevisionText"/>
        </w:rPr>
        <w:t xml:space="preserve"> </w:t>
      </w:r>
      <w:r>
        <w:t>are deleted.</w:t>
      </w:r>
    </w:p>
    <w:p w14:paraId="7FDA74F0" w14:textId="77777777" w:rsidR="00321AE7" w:rsidRPr="005632EA" w:rsidRDefault="00321AE7" w:rsidP="004E38D6">
      <w:pPr>
        <w:pStyle w:val="NummerierungStufe1"/>
      </w:pPr>
      <w:r>
        <w:t xml:space="preserve">In § 4(1), the words </w:t>
      </w:r>
      <w:bookmarkStart w:id="19" w:name="DQPErrorScope139E5972AC4743AFB0D787C277F"/>
      <w:r>
        <w:rPr>
          <w:rStyle w:val="RevisionText"/>
        </w:rPr>
        <w:t>‘</w:t>
      </w:r>
      <w:r>
        <w:rPr>
          <w:color w:val="800000"/>
        </w:rPr>
        <w:t>and subject to § 23</w:t>
      </w:r>
      <w:r>
        <w:rPr>
          <w:rStyle w:val="RevisionText"/>
        </w:rPr>
        <w:t>’</w:t>
      </w:r>
      <w:bookmarkEnd w:id="19"/>
      <w:r>
        <w:t xml:space="preserve"> are deleted.</w:t>
      </w:r>
    </w:p>
    <w:p w14:paraId="7AC50CA0" w14:textId="77777777" w:rsidR="00321AE7" w:rsidRPr="005632EA" w:rsidRDefault="00321AE7" w:rsidP="004E38D6">
      <w:pPr>
        <w:pStyle w:val="NummerierungStufe1"/>
      </w:pPr>
      <w:r>
        <w:t>The sixth section is repealed.</w:t>
      </w:r>
    </w:p>
    <w:p w14:paraId="748256A0" w14:textId="77777777" w:rsidR="00031266" w:rsidRPr="005632EA" w:rsidRDefault="00E253F9" w:rsidP="000E0920">
      <w:pPr>
        <w:pStyle w:val="NummerierungStufe1"/>
      </w:pPr>
      <w:r>
        <w:t>§ 30 is amended as follows:</w:t>
      </w:r>
    </w:p>
    <w:p w14:paraId="474225BF" w14:textId="77777777" w:rsidR="00031266" w:rsidRPr="005632EA" w:rsidRDefault="00321AE7" w:rsidP="00866FD2">
      <w:pPr>
        <w:pStyle w:val="NummerierungStufe2"/>
      </w:pPr>
      <w:r>
        <w:t>Paragraph 3 is repealed.</w:t>
      </w:r>
    </w:p>
    <w:p w14:paraId="4FAEE056" w14:textId="77777777" w:rsidR="0039746B" w:rsidRPr="005632EA" w:rsidRDefault="00E253F9" w:rsidP="00031266">
      <w:pPr>
        <w:pStyle w:val="NummerierungStufe2"/>
      </w:pPr>
      <w:r>
        <w:t xml:space="preserve">In Paragraph 5, the word </w:t>
      </w:r>
      <w:r>
        <w:rPr>
          <w:color w:val="800000"/>
        </w:rPr>
        <w:t>‘until’</w:t>
      </w:r>
      <w:r>
        <w:t xml:space="preserve"> replaced by the word </w:t>
      </w:r>
      <w:r>
        <w:rPr>
          <w:color w:val="800000"/>
        </w:rPr>
        <w:t>‘or’</w:t>
      </w:r>
      <w:r>
        <w:t>.</w:t>
      </w:r>
    </w:p>
    <w:p w14:paraId="02E115D1" w14:textId="48D58A42" w:rsidR="00651E64" w:rsidRDefault="009A59A7" w:rsidP="009A59A7">
      <w:pPr>
        <w:pStyle w:val="ArtikelBezeichner"/>
        <w:numPr>
          <w:ilvl w:val="0"/>
          <w:numId w:val="0"/>
        </w:numPr>
      </w:pPr>
      <w:r>
        <w:t>Article 3</w:t>
      </w:r>
    </w:p>
    <w:p w14:paraId="100EACD9" w14:textId="77777777" w:rsidR="00651E64" w:rsidRPr="005632EA" w:rsidRDefault="00651E64" w:rsidP="00484650">
      <w:pPr>
        <w:pStyle w:val="Artikelberschrift"/>
      </w:pPr>
      <w:r>
        <w:rPr>
          <w:rStyle w:val="Marker"/>
          <w:color w:val="auto"/>
        </w:rPr>
        <w:t>Entry into force, abrogation</w:t>
      </w:r>
    </w:p>
    <w:p w14:paraId="1E09C3F9" w14:textId="77777777" w:rsidR="00651E64" w:rsidRPr="005632EA" w:rsidRDefault="0039746B" w:rsidP="009E0D4B">
      <w:pPr>
        <w:pStyle w:val="JuristischerAbsatznichtnummeriert"/>
      </w:pPr>
      <w:bookmarkStart w:id="20" w:name="DQPErrorScopeD3252BF2A46E4F62B3685A17D3C"/>
      <w:bookmarkStart w:id="21" w:name="DQPErrorScope31C361210E2349D08419C0C661C"/>
      <w:bookmarkStart w:id="22" w:name="DQPErrorScopeEC6183466E3B4F8BB3C1A099256"/>
      <w:r>
        <w:t>This Ordinance shall enter into force on the day following its promulgation. At the same time, the Flavourings Ordinance, in the version published on 2 May 2006 (Federal Law Gazette I p. 1127), as last amended by Article 3 of the Ordinance of 5 July 2017 (Federal Law Gazette I p. 2272) shall expire.</w:t>
      </w:r>
      <w:bookmarkEnd w:id="20"/>
      <w:bookmarkEnd w:id="21"/>
      <w:bookmarkEnd w:id="22"/>
    </w:p>
    <w:p w14:paraId="77AFE858" w14:textId="77777777" w:rsidR="00651E64" w:rsidRPr="005632EA" w:rsidRDefault="00651E64" w:rsidP="00651E64">
      <w:pPr>
        <w:pStyle w:val="Schlussformel"/>
      </w:pPr>
      <w:r>
        <w:rPr>
          <w:rStyle w:val="Marker"/>
          <w:color w:val="auto"/>
        </w:rPr>
        <w:t>The Bundesrat has granted its approval.</w:t>
      </w:r>
    </w:p>
    <w:p w14:paraId="32715D59" w14:textId="77777777" w:rsidR="00D16906" w:rsidRDefault="00D16906" w:rsidP="00D16906">
      <w:pPr>
        <w:pStyle w:val="OrtDatum"/>
        <w:jc w:val="left"/>
      </w:pPr>
      <w:r>
        <w:t>Bonn, [date]</w:t>
      </w:r>
    </w:p>
    <w:p w14:paraId="4216F008" w14:textId="77777777" w:rsidR="00D16906" w:rsidRDefault="00D16906" w:rsidP="00D16906">
      <w:pPr>
        <w:pStyle w:val="Organisation"/>
      </w:pPr>
      <w:r>
        <w:t>The Federal Minister for Nutrition and Agriculture</w:t>
      </w:r>
    </w:p>
    <w:p w14:paraId="01502FBD" w14:textId="07423031" w:rsidR="00D16906" w:rsidRPr="005632EA" w:rsidRDefault="00D16906" w:rsidP="00576F59">
      <w:pPr>
        <w:pStyle w:val="Person"/>
      </w:pPr>
      <w:r>
        <w:t xml:space="preserve">Julia </w:t>
      </w:r>
      <w:proofErr w:type="spellStart"/>
      <w:r>
        <w:t>Klöckner</w:t>
      </w:r>
      <w:proofErr w:type="spellEnd"/>
    </w:p>
    <w:sectPr w:rsidR="00D16906" w:rsidRPr="005632EA" w:rsidSect="00E73B8E">
      <w:headerReference w:type="default" r:id="rId8"/>
      <w:headerReference w:type="first" r:id="rId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6D7D" w14:textId="77777777" w:rsidR="002430AE" w:rsidRDefault="002430AE" w:rsidP="005D1540">
      <w:pPr>
        <w:spacing w:before="0" w:after="0"/>
      </w:pPr>
      <w:r>
        <w:separator/>
      </w:r>
    </w:p>
  </w:endnote>
  <w:endnote w:type="continuationSeparator" w:id="0">
    <w:p w14:paraId="47C3F04F" w14:textId="77777777" w:rsidR="002430AE" w:rsidRDefault="002430AE" w:rsidP="005D1540">
      <w:pPr>
        <w:spacing w:before="0" w:after="0"/>
      </w:pPr>
      <w:r>
        <w:continuationSeparator/>
      </w:r>
    </w:p>
  </w:endnote>
  <w:endnote w:type="continuationNotice" w:id="1">
    <w:p w14:paraId="2D6389C4" w14:textId="77777777" w:rsidR="002430AE" w:rsidRDefault="002430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414D" w14:textId="77777777" w:rsidR="002430AE" w:rsidRDefault="002430AE" w:rsidP="005D1540">
      <w:pPr>
        <w:spacing w:before="0" w:after="0"/>
      </w:pPr>
      <w:r>
        <w:separator/>
      </w:r>
    </w:p>
  </w:footnote>
  <w:footnote w:type="continuationSeparator" w:id="0">
    <w:p w14:paraId="631FBCEB" w14:textId="77777777" w:rsidR="002430AE" w:rsidRDefault="002430AE" w:rsidP="005D1540">
      <w:pPr>
        <w:spacing w:before="0" w:after="0"/>
      </w:pPr>
      <w:r>
        <w:continuationSeparator/>
      </w:r>
    </w:p>
  </w:footnote>
  <w:footnote w:type="continuationNotice" w:id="1">
    <w:p w14:paraId="258AFDFD" w14:textId="77777777" w:rsidR="002430AE" w:rsidRDefault="002430AE">
      <w:pPr>
        <w:spacing w:before="0" w:after="0"/>
      </w:pPr>
    </w:p>
  </w:footnote>
  <w:footnote w:id="2">
    <w:p w14:paraId="3CD683E6" w14:textId="77777777" w:rsidR="00FF2308" w:rsidRDefault="00FF2308">
      <w:pPr>
        <w:pStyle w:val="FootnoteText"/>
      </w:pPr>
      <w:r>
        <w:rPr>
          <w:rStyle w:val="FootnoteReference"/>
        </w:rPr>
        <w:footnoteRef/>
      </w:r>
      <w:r>
        <w:t xml:space="preserve"> The obligations arising from Directive (EU) 2015/1535 of the European Parliament and of the Council of 9 September 2015 laying down a procedure for the provision of information in the field of technical regulations and of rules on Information Society services (OJ L 241, 17.9.2015, p. 1) have been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3CA1" w14:textId="65879414" w:rsidR="00FF2308" w:rsidRPr="00E73B8E" w:rsidRDefault="00E73B8E" w:rsidP="00E73B8E">
    <w:pPr>
      <w:pStyle w:val="Header"/>
    </w:pPr>
    <w:r>
      <w:tab/>
      <w:t xml:space="preserve">- </w:t>
    </w:r>
    <w:r>
      <w:fldChar w:fldCharType="begin"/>
    </w:r>
    <w:r>
      <w:instrText xml:space="preserve"> PAGE  \* MERGEFORMAT </w:instrText>
    </w:r>
    <w:r>
      <w:fldChar w:fldCharType="separate"/>
    </w:r>
    <w:r w:rsidR="00576F59">
      <w:t>7</w:t>
    </w:r>
    <w:r>
      <w:fldChar w:fldCharType="end"/>
    </w:r>
    <w:r>
      <w:t xml:space="preserve"> -</w:t>
    </w:r>
    <w:r>
      <w:tab/>
    </w:r>
    <w:r>
      <w:rPr>
        <w:sz w:val="18"/>
      </w:rPr>
      <w:t>Last updated: 11 October 2021 12:12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6097" w14:textId="6695D769" w:rsidR="00FF2308" w:rsidRPr="00E73B8E" w:rsidRDefault="00E73B8E" w:rsidP="00E73B8E">
    <w:pPr>
      <w:pStyle w:val="Header"/>
    </w:pPr>
    <w:r>
      <w:tab/>
    </w:r>
    <w:r>
      <w:tab/>
    </w:r>
    <w:r w:rsidR="00CC2C89">
      <w:fldChar w:fldCharType="begin"/>
    </w:r>
    <w:r w:rsidR="00CC2C89">
      <w:instrText xml:space="preserve"> DOCPROPERTY "Bearbeitungsstand" \* MERGEFORMAT </w:instrText>
    </w:r>
    <w:r w:rsidR="00CC2C89">
      <w:fldChar w:fldCharType="separate"/>
    </w:r>
    <w:proofErr w:type="spellStart"/>
    <w:r w:rsidRPr="00E73B8E">
      <w:rPr>
        <w:sz w:val="18"/>
      </w:rPr>
      <w:t>Bearbeitungsstand</w:t>
    </w:r>
    <w:proofErr w:type="spellEnd"/>
    <w:r w:rsidRPr="00E73B8E">
      <w:rPr>
        <w:sz w:val="18"/>
      </w:rPr>
      <w:t xml:space="preserve">: </w:t>
    </w:r>
    <w:proofErr w:type="gramStart"/>
    <w:r w:rsidRPr="00E73B8E">
      <w:rPr>
        <w:sz w:val="18"/>
      </w:rPr>
      <w:t>11.10.2021  12</w:t>
    </w:r>
    <w:proofErr w:type="gramEnd"/>
    <w:r w:rsidRPr="00E73B8E">
      <w:rPr>
        <w:sz w:val="18"/>
      </w:rPr>
      <w:t>:12</w:t>
    </w:r>
    <w:r w:rsidR="00CC2C8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80657"/>
    <w:multiLevelType w:val="hybridMultilevel"/>
    <w:tmpl w:val="E9640788"/>
    <w:lvl w:ilvl="0" w:tplc="FFFFFFFF">
      <w:start w:val="1"/>
      <w:numFmt w:val="bullet"/>
      <w:pStyle w:val="TOCHead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2"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3"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5"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7"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8"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9"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0"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4"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5"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8"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9"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num>
  <w:num w:numId="5">
    <w:abstractNumId w:val="28"/>
  </w:num>
  <w:num w:numId="6">
    <w:abstractNumId w:val="35"/>
  </w:num>
  <w:num w:numId="7">
    <w:abstractNumId w:val="27"/>
  </w:num>
  <w:num w:numId="8">
    <w:abstractNumId w:val="14"/>
  </w:num>
  <w:num w:numId="9">
    <w:abstractNumId w:val="21"/>
  </w:num>
  <w:num w:numId="10">
    <w:abstractNumId w:val="11"/>
  </w:num>
  <w:num w:numId="11">
    <w:abstractNumId w:val="34"/>
  </w:num>
  <w:num w:numId="12">
    <w:abstractNumId w:val="22"/>
  </w:num>
  <w:num w:numId="13">
    <w:abstractNumId w:val="30"/>
  </w:num>
  <w:num w:numId="14">
    <w:abstractNumId w:val="13"/>
  </w:num>
  <w:num w:numId="15">
    <w:abstractNumId w:val="26"/>
  </w:num>
  <w:num w:numId="16">
    <w:abstractNumId w:val="18"/>
  </w:num>
  <w:num w:numId="17">
    <w:abstractNumId w:val="17"/>
  </w:num>
  <w:num w:numId="18">
    <w:abstractNumId w:val="25"/>
  </w:num>
  <w:num w:numId="19">
    <w:abstractNumId w:val="31"/>
  </w:num>
  <w:num w:numId="20">
    <w:abstractNumId w:val="19"/>
  </w:num>
  <w:num w:numId="21">
    <w:abstractNumId w:val="23"/>
  </w:num>
  <w:num w:numId="22">
    <w:abstractNumId w:val="12"/>
  </w:num>
  <w:num w:numId="23">
    <w:abstractNumId w:val="24"/>
  </w:num>
  <w:num w:numId="24">
    <w:abstractNumId w:val="15"/>
  </w:num>
  <w:num w:numId="25">
    <w:abstractNumId w:val="33"/>
  </w:num>
  <w:num w:numId="26">
    <w:abstractNumId w:val="32"/>
  </w:num>
  <w:num w:numId="27">
    <w:abstractNumId w:val="20"/>
  </w:num>
  <w:num w:numId="28">
    <w:abstractNumId w:val="29"/>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24"/>
    <w:lvlOverride w:ilvl="0">
      <w:startOverride w:val="1"/>
    </w:lvlOverride>
  </w:num>
  <w:num w:numId="40">
    <w:abstractNumId w:val="15"/>
  </w:num>
  <w:num w:numId="41">
    <w:abstractNumId w:val="15"/>
  </w:num>
  <w:num w:numId="42">
    <w:abstractNumId w:val="15"/>
  </w:num>
  <w:num w:numId="43">
    <w:abstractNumId w:val="15"/>
  </w:num>
  <w:num w:numId="44">
    <w:abstractNumId w:val="15"/>
  </w:num>
  <w:num w:numId="45">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ErmittelnOPC_Maximum" w:val="150ms"/>
    <w:docVar w:name="BefehlsKontext_ErmittelnOPC_Schnitt" w:val="150ms"/>
    <w:docVar w:name="BefehlsKontext_KonvertierenOPC2OOXML_Maximum" w:val="116ms"/>
    <w:docVar w:name="BefehlsKontext_KonvertierenOPC2OOXML_Schnitt" w:val="116ms"/>
    <w:docVar w:name="BefehlsKontext_SpeichernOOXML_Maximum" w:val="360ms"/>
    <w:docVar w:name="BefehlsKontext_SpeichernOOXML_Schnitt" w:val="360ms"/>
    <w:docVar w:name="DQCDateTime" w:val="11.02.2020 15:46:55"/>
    <w:docVar w:name="DQCHighlighting" w:val="100"/>
    <w:docVar w:name="DQCPart_Begruendung" w:val="0"/>
    <w:docVar w:name="DQCPart_Dokument" w:val="0"/>
    <w:docVar w:name="DQCPart_Regelungsteil" w:val="0"/>
    <w:docVar w:name="DQCPart_Vorblatt" w:val="0"/>
    <w:docVar w:name="DQCResult_Aenderungsbefehl" w:val="0;4"/>
    <w:docVar w:name="DQCResult_Binnenverweise" w:val="0;0"/>
    <w:docVar w:name="DQCResult_Citations" w:val="0;4"/>
    <w:docVar w:name="DQCResult_EinzelneRegelungsteile" w:val="0;2"/>
    <w:docVar w:name="DQCResult_EmbeddedObjects" w:val="0;0"/>
    <w:docVar w:name="DQCResult_Gliederung" w:val="6;6"/>
    <w:docVar w:name="DQCResult_Marker" w:val="2;0"/>
    <w:docVar w:name="DQCResult_Metadata" w:val="0;0"/>
    <w:docVar w:name="DQCResult_ModifiedCharFormat" w:val="0;0"/>
    <w:docVar w:name="DQCResult_ModifiedMargins" w:val="5;0"/>
    <w:docVar w:name="DQCResult_ModifiedNumbering" w:val="5;0"/>
    <w:docVar w:name="DQCResult_StructureCheck" w:val="3;0"/>
    <w:docVar w:name="DQCResult_SuperfluousWhitespace" w:val="2;0"/>
    <w:docVar w:name="DQCResult_TermsAndDiction" w:val="0;10"/>
    <w:docVar w:name="DQCResult_Verweise" w:val="0;0"/>
    <w:docVar w:name="DQCWithWarnings" w:val="1"/>
    <w:docVar w:name="eNorm_Property_Save_Classification" w:val=" "/>
    <w:docVar w:name="eNorm_Property_Save_Created using" w:val="LW 5.4, Build 20190301"/>
    <w:docVar w:name="eNorm_Property_Save_eNorm-Version Erstellung" w:val="4.0.3.1, Bundesregierung, [20190301]"/>
    <w:docVar w:name="eNorm_Property_Save_eNorm-Version letzte Bearbeitung" w:val="4.2.1.1 Bundesregierung [20210518]"/>
    <w:docVar w:name="eNorm_Property_Save_eNorm-Version letzte DQP" w:val="4.1.2.1, Bundesregierung, [20191227]"/>
    <w:docVar w:name="eNorm_Property_Save_eNorm-Version vorherige Bearbeitung" w:val="4.2.1.1 Bundesregierung [20210518]"/>
    <w:docVar w:name="eNorm_Property_Save_Kategorie" w:val="AENDER/ARTVER"/>
    <w:docVar w:name="eNorm_Property_Save_Last edited using" w:val="LW 5.4, Build 20210518"/>
    <w:docVar w:name="eNorm_Property_Save_Version" w:val="4.0.3.0"/>
    <w:docVar w:name="eNorm_Template_Save" w:val="AENDER.dotm"/>
    <w:docVar w:name="eNorm_Variable_Save_BMJ" w:val="True"/>
    <w:docVar w:name="eNorm_Variable_Save_CUSTOMER" w:val="8"/>
    <w:docVar w:name="eNorm_Variable_Save_LW_DocType" w:val="AENDER"/>
    <w:docVar w:name="eNorm_Variable_Save_LWCons_Langue" w:val="DE"/>
    <w:docVar w:name="eNormPrintPreview" w:val="1"/>
  </w:docVars>
  <w:rsids>
    <w:rsidRoot w:val="00651E64"/>
    <w:rsid w:val="00000FC3"/>
    <w:rsid w:val="00001A58"/>
    <w:rsid w:val="00003CAC"/>
    <w:rsid w:val="00006385"/>
    <w:rsid w:val="00010DB1"/>
    <w:rsid w:val="00011A12"/>
    <w:rsid w:val="000120A9"/>
    <w:rsid w:val="00015ACF"/>
    <w:rsid w:val="00016412"/>
    <w:rsid w:val="00020477"/>
    <w:rsid w:val="00021797"/>
    <w:rsid w:val="00025E80"/>
    <w:rsid w:val="000271B7"/>
    <w:rsid w:val="00030172"/>
    <w:rsid w:val="00031266"/>
    <w:rsid w:val="00031EB2"/>
    <w:rsid w:val="00035FF5"/>
    <w:rsid w:val="0003619E"/>
    <w:rsid w:val="00043013"/>
    <w:rsid w:val="00043572"/>
    <w:rsid w:val="0004415B"/>
    <w:rsid w:val="0004459C"/>
    <w:rsid w:val="00045B16"/>
    <w:rsid w:val="00047F77"/>
    <w:rsid w:val="0005114E"/>
    <w:rsid w:val="00052AE2"/>
    <w:rsid w:val="00056FA3"/>
    <w:rsid w:val="0007227F"/>
    <w:rsid w:val="00072FCA"/>
    <w:rsid w:val="00073B65"/>
    <w:rsid w:val="00076B25"/>
    <w:rsid w:val="000811C1"/>
    <w:rsid w:val="00082646"/>
    <w:rsid w:val="00082690"/>
    <w:rsid w:val="000910A9"/>
    <w:rsid w:val="000929F5"/>
    <w:rsid w:val="00092FC1"/>
    <w:rsid w:val="0009628C"/>
    <w:rsid w:val="000A0398"/>
    <w:rsid w:val="000A0FF0"/>
    <w:rsid w:val="000A68EC"/>
    <w:rsid w:val="000B0588"/>
    <w:rsid w:val="000B148A"/>
    <w:rsid w:val="000B2D02"/>
    <w:rsid w:val="000B2D63"/>
    <w:rsid w:val="000B63B3"/>
    <w:rsid w:val="000B69A1"/>
    <w:rsid w:val="000B75F9"/>
    <w:rsid w:val="000C30FF"/>
    <w:rsid w:val="000C4751"/>
    <w:rsid w:val="000D1137"/>
    <w:rsid w:val="000D49D1"/>
    <w:rsid w:val="000D5069"/>
    <w:rsid w:val="000D651F"/>
    <w:rsid w:val="000E0920"/>
    <w:rsid w:val="000E15FD"/>
    <w:rsid w:val="000E3114"/>
    <w:rsid w:val="000E4C93"/>
    <w:rsid w:val="000E6052"/>
    <w:rsid w:val="000E67F6"/>
    <w:rsid w:val="000E7D5E"/>
    <w:rsid w:val="000F42E8"/>
    <w:rsid w:val="000F6F60"/>
    <w:rsid w:val="000F799F"/>
    <w:rsid w:val="001011BA"/>
    <w:rsid w:val="00102D84"/>
    <w:rsid w:val="00106731"/>
    <w:rsid w:val="001130F4"/>
    <w:rsid w:val="00113235"/>
    <w:rsid w:val="001140E3"/>
    <w:rsid w:val="001205F9"/>
    <w:rsid w:val="00122C40"/>
    <w:rsid w:val="00122D3A"/>
    <w:rsid w:val="001238B0"/>
    <w:rsid w:val="00132228"/>
    <w:rsid w:val="00134B44"/>
    <w:rsid w:val="00141D5C"/>
    <w:rsid w:val="00144B0D"/>
    <w:rsid w:val="00145059"/>
    <w:rsid w:val="001458B1"/>
    <w:rsid w:val="00151563"/>
    <w:rsid w:val="0015162E"/>
    <w:rsid w:val="00154238"/>
    <w:rsid w:val="001572DC"/>
    <w:rsid w:val="00161C2E"/>
    <w:rsid w:val="0016247A"/>
    <w:rsid w:val="00162CCE"/>
    <w:rsid w:val="00162EEC"/>
    <w:rsid w:val="00165ED1"/>
    <w:rsid w:val="00170C3B"/>
    <w:rsid w:val="00171DE0"/>
    <w:rsid w:val="0017378C"/>
    <w:rsid w:val="00177BB6"/>
    <w:rsid w:val="00182DCC"/>
    <w:rsid w:val="00183378"/>
    <w:rsid w:val="00184039"/>
    <w:rsid w:val="00185BAB"/>
    <w:rsid w:val="00197181"/>
    <w:rsid w:val="001A071B"/>
    <w:rsid w:val="001A0DC7"/>
    <w:rsid w:val="001A192A"/>
    <w:rsid w:val="001A2772"/>
    <w:rsid w:val="001A420F"/>
    <w:rsid w:val="001B0BAB"/>
    <w:rsid w:val="001B2D92"/>
    <w:rsid w:val="001B4B4F"/>
    <w:rsid w:val="001B4C4A"/>
    <w:rsid w:val="001B791A"/>
    <w:rsid w:val="001B7E3B"/>
    <w:rsid w:val="001C134D"/>
    <w:rsid w:val="001C2850"/>
    <w:rsid w:val="001C2C2D"/>
    <w:rsid w:val="001C4621"/>
    <w:rsid w:val="001C4F0B"/>
    <w:rsid w:val="001C7481"/>
    <w:rsid w:val="001D3819"/>
    <w:rsid w:val="001D503A"/>
    <w:rsid w:val="001D56F9"/>
    <w:rsid w:val="001D5C75"/>
    <w:rsid w:val="001D7BAA"/>
    <w:rsid w:val="001E04AA"/>
    <w:rsid w:val="001E31B0"/>
    <w:rsid w:val="001E53AE"/>
    <w:rsid w:val="001E5DD3"/>
    <w:rsid w:val="001E604E"/>
    <w:rsid w:val="001E683D"/>
    <w:rsid w:val="001E7221"/>
    <w:rsid w:val="001F3FB7"/>
    <w:rsid w:val="001F5545"/>
    <w:rsid w:val="001F5CA7"/>
    <w:rsid w:val="002015F3"/>
    <w:rsid w:val="00202C5B"/>
    <w:rsid w:val="002039AA"/>
    <w:rsid w:val="00203E05"/>
    <w:rsid w:val="002124E7"/>
    <w:rsid w:val="0021414D"/>
    <w:rsid w:val="00215B2A"/>
    <w:rsid w:val="00233F52"/>
    <w:rsid w:val="0024155A"/>
    <w:rsid w:val="002430AE"/>
    <w:rsid w:val="00244293"/>
    <w:rsid w:val="00245662"/>
    <w:rsid w:val="002477FF"/>
    <w:rsid w:val="002510CA"/>
    <w:rsid w:val="00251B11"/>
    <w:rsid w:val="00255A59"/>
    <w:rsid w:val="00257A57"/>
    <w:rsid w:val="00260420"/>
    <w:rsid w:val="00260B37"/>
    <w:rsid w:val="00265790"/>
    <w:rsid w:val="00270AE0"/>
    <w:rsid w:val="00272EEA"/>
    <w:rsid w:val="00273098"/>
    <w:rsid w:val="00274E4D"/>
    <w:rsid w:val="002767F9"/>
    <w:rsid w:val="00280BA3"/>
    <w:rsid w:val="00280F1D"/>
    <w:rsid w:val="00285AD2"/>
    <w:rsid w:val="00290432"/>
    <w:rsid w:val="00292712"/>
    <w:rsid w:val="00293836"/>
    <w:rsid w:val="002965B2"/>
    <w:rsid w:val="002A25FE"/>
    <w:rsid w:val="002A5D72"/>
    <w:rsid w:val="002A6052"/>
    <w:rsid w:val="002C02FD"/>
    <w:rsid w:val="002D05B8"/>
    <w:rsid w:val="002D4C8A"/>
    <w:rsid w:val="002D5A17"/>
    <w:rsid w:val="002D6BF8"/>
    <w:rsid w:val="002D75D1"/>
    <w:rsid w:val="002E3232"/>
    <w:rsid w:val="003019E6"/>
    <w:rsid w:val="00313BE7"/>
    <w:rsid w:val="00315243"/>
    <w:rsid w:val="00321AE7"/>
    <w:rsid w:val="003248A5"/>
    <w:rsid w:val="00327774"/>
    <w:rsid w:val="00327D7F"/>
    <w:rsid w:val="00330F6A"/>
    <w:rsid w:val="00335377"/>
    <w:rsid w:val="00341C1D"/>
    <w:rsid w:val="00342737"/>
    <w:rsid w:val="003441B6"/>
    <w:rsid w:val="00346EA3"/>
    <w:rsid w:val="003524A9"/>
    <w:rsid w:val="003546B1"/>
    <w:rsid w:val="00354843"/>
    <w:rsid w:val="003561F4"/>
    <w:rsid w:val="0035620C"/>
    <w:rsid w:val="00364BD1"/>
    <w:rsid w:val="0036548C"/>
    <w:rsid w:val="00366A37"/>
    <w:rsid w:val="00380DED"/>
    <w:rsid w:val="0038729E"/>
    <w:rsid w:val="00391602"/>
    <w:rsid w:val="00392519"/>
    <w:rsid w:val="00393833"/>
    <w:rsid w:val="0039746B"/>
    <w:rsid w:val="003A189F"/>
    <w:rsid w:val="003A30B7"/>
    <w:rsid w:val="003A34B3"/>
    <w:rsid w:val="003A4B05"/>
    <w:rsid w:val="003B4510"/>
    <w:rsid w:val="003B7C26"/>
    <w:rsid w:val="003C1135"/>
    <w:rsid w:val="003C7A1D"/>
    <w:rsid w:val="003D0970"/>
    <w:rsid w:val="003D2D3B"/>
    <w:rsid w:val="003E7110"/>
    <w:rsid w:val="003E7571"/>
    <w:rsid w:val="003E7F75"/>
    <w:rsid w:val="003F2418"/>
    <w:rsid w:val="003F6AE4"/>
    <w:rsid w:val="00400381"/>
    <w:rsid w:val="00407B54"/>
    <w:rsid w:val="00411AB0"/>
    <w:rsid w:val="00413C4F"/>
    <w:rsid w:val="00415634"/>
    <w:rsid w:val="0042005C"/>
    <w:rsid w:val="00422B35"/>
    <w:rsid w:val="0042561C"/>
    <w:rsid w:val="004267EE"/>
    <w:rsid w:val="00431D84"/>
    <w:rsid w:val="00432F13"/>
    <w:rsid w:val="00434185"/>
    <w:rsid w:val="00434792"/>
    <w:rsid w:val="00437F5C"/>
    <w:rsid w:val="0044758B"/>
    <w:rsid w:val="00447E2D"/>
    <w:rsid w:val="004501CE"/>
    <w:rsid w:val="004556F1"/>
    <w:rsid w:val="004626FD"/>
    <w:rsid w:val="004651B8"/>
    <w:rsid w:val="004657B9"/>
    <w:rsid w:val="00467556"/>
    <w:rsid w:val="00470EDF"/>
    <w:rsid w:val="00484650"/>
    <w:rsid w:val="00486653"/>
    <w:rsid w:val="00486873"/>
    <w:rsid w:val="0049115F"/>
    <w:rsid w:val="00491412"/>
    <w:rsid w:val="00492A3D"/>
    <w:rsid w:val="00493903"/>
    <w:rsid w:val="0049435D"/>
    <w:rsid w:val="004943C4"/>
    <w:rsid w:val="004A5456"/>
    <w:rsid w:val="004A6112"/>
    <w:rsid w:val="004A65D4"/>
    <w:rsid w:val="004A6930"/>
    <w:rsid w:val="004A6F89"/>
    <w:rsid w:val="004A7C38"/>
    <w:rsid w:val="004B0006"/>
    <w:rsid w:val="004B01A7"/>
    <w:rsid w:val="004B352C"/>
    <w:rsid w:val="004B5D11"/>
    <w:rsid w:val="004B7058"/>
    <w:rsid w:val="004B798D"/>
    <w:rsid w:val="004C272A"/>
    <w:rsid w:val="004C2AB1"/>
    <w:rsid w:val="004C4640"/>
    <w:rsid w:val="004C71B8"/>
    <w:rsid w:val="004C7692"/>
    <w:rsid w:val="004D072A"/>
    <w:rsid w:val="004D07C3"/>
    <w:rsid w:val="004D0E72"/>
    <w:rsid w:val="004D1525"/>
    <w:rsid w:val="004D383E"/>
    <w:rsid w:val="004D460E"/>
    <w:rsid w:val="004D50C1"/>
    <w:rsid w:val="004D5BC9"/>
    <w:rsid w:val="004E0F1B"/>
    <w:rsid w:val="004E38D6"/>
    <w:rsid w:val="004E46AA"/>
    <w:rsid w:val="004E6B26"/>
    <w:rsid w:val="004F03AF"/>
    <w:rsid w:val="004F05F1"/>
    <w:rsid w:val="004F1969"/>
    <w:rsid w:val="004F48DD"/>
    <w:rsid w:val="004F5437"/>
    <w:rsid w:val="004F7909"/>
    <w:rsid w:val="005005AB"/>
    <w:rsid w:val="0050376B"/>
    <w:rsid w:val="005068EB"/>
    <w:rsid w:val="00510BF4"/>
    <w:rsid w:val="005159A3"/>
    <w:rsid w:val="00522C32"/>
    <w:rsid w:val="00525629"/>
    <w:rsid w:val="005325CE"/>
    <w:rsid w:val="00532972"/>
    <w:rsid w:val="005329B4"/>
    <w:rsid w:val="00535F62"/>
    <w:rsid w:val="00540A2B"/>
    <w:rsid w:val="00541CDB"/>
    <w:rsid w:val="00550DAC"/>
    <w:rsid w:val="00553E49"/>
    <w:rsid w:val="00557C71"/>
    <w:rsid w:val="00561016"/>
    <w:rsid w:val="00562EE4"/>
    <w:rsid w:val="00563060"/>
    <w:rsid w:val="005632EA"/>
    <w:rsid w:val="0056521D"/>
    <w:rsid w:val="0056761A"/>
    <w:rsid w:val="005722AF"/>
    <w:rsid w:val="00572404"/>
    <w:rsid w:val="0057348E"/>
    <w:rsid w:val="00576F59"/>
    <w:rsid w:val="00580378"/>
    <w:rsid w:val="005841AE"/>
    <w:rsid w:val="00584989"/>
    <w:rsid w:val="00587568"/>
    <w:rsid w:val="00597A33"/>
    <w:rsid w:val="005A05A9"/>
    <w:rsid w:val="005A6DD8"/>
    <w:rsid w:val="005A6DDD"/>
    <w:rsid w:val="005B042F"/>
    <w:rsid w:val="005B5827"/>
    <w:rsid w:val="005C3F8A"/>
    <w:rsid w:val="005C65CA"/>
    <w:rsid w:val="005D1540"/>
    <w:rsid w:val="005D3A74"/>
    <w:rsid w:val="005D41D5"/>
    <w:rsid w:val="005D54AA"/>
    <w:rsid w:val="005D7A68"/>
    <w:rsid w:val="005E483E"/>
    <w:rsid w:val="005E7839"/>
    <w:rsid w:val="005F25F7"/>
    <w:rsid w:val="005F4E7B"/>
    <w:rsid w:val="00605CB4"/>
    <w:rsid w:val="00611BDB"/>
    <w:rsid w:val="00617D39"/>
    <w:rsid w:val="00622BF0"/>
    <w:rsid w:val="00630A69"/>
    <w:rsid w:val="00651E64"/>
    <w:rsid w:val="006548AA"/>
    <w:rsid w:val="006616ED"/>
    <w:rsid w:val="00664EC4"/>
    <w:rsid w:val="0067042F"/>
    <w:rsid w:val="006708DE"/>
    <w:rsid w:val="006713F9"/>
    <w:rsid w:val="0067727A"/>
    <w:rsid w:val="00682A63"/>
    <w:rsid w:val="00686B8E"/>
    <w:rsid w:val="006878F4"/>
    <w:rsid w:val="006A0054"/>
    <w:rsid w:val="006A63AE"/>
    <w:rsid w:val="006B254E"/>
    <w:rsid w:val="006B406A"/>
    <w:rsid w:val="006B4601"/>
    <w:rsid w:val="006B4AB6"/>
    <w:rsid w:val="006B6A81"/>
    <w:rsid w:val="006C2A92"/>
    <w:rsid w:val="006C2B2F"/>
    <w:rsid w:val="006C2C7F"/>
    <w:rsid w:val="006C3D6B"/>
    <w:rsid w:val="006D003B"/>
    <w:rsid w:val="006D0338"/>
    <w:rsid w:val="006E1675"/>
    <w:rsid w:val="006E4A84"/>
    <w:rsid w:val="006E5EAC"/>
    <w:rsid w:val="006E627B"/>
    <w:rsid w:val="006F1439"/>
    <w:rsid w:val="006F26DD"/>
    <w:rsid w:val="006F26E0"/>
    <w:rsid w:val="006F4734"/>
    <w:rsid w:val="006F5A3E"/>
    <w:rsid w:val="006F68D1"/>
    <w:rsid w:val="007020C6"/>
    <w:rsid w:val="00703769"/>
    <w:rsid w:val="00707B98"/>
    <w:rsid w:val="007127B5"/>
    <w:rsid w:val="0071379A"/>
    <w:rsid w:val="00714FDA"/>
    <w:rsid w:val="00716BC9"/>
    <w:rsid w:val="007173F8"/>
    <w:rsid w:val="00726AF7"/>
    <w:rsid w:val="00730026"/>
    <w:rsid w:val="00730244"/>
    <w:rsid w:val="00731341"/>
    <w:rsid w:val="00732057"/>
    <w:rsid w:val="007334FC"/>
    <w:rsid w:val="00733666"/>
    <w:rsid w:val="0073539B"/>
    <w:rsid w:val="00736B0A"/>
    <w:rsid w:val="00741F05"/>
    <w:rsid w:val="00742CF5"/>
    <w:rsid w:val="00742E3B"/>
    <w:rsid w:val="00746119"/>
    <w:rsid w:val="00750A46"/>
    <w:rsid w:val="0075207D"/>
    <w:rsid w:val="0075208B"/>
    <w:rsid w:val="00752513"/>
    <w:rsid w:val="00754486"/>
    <w:rsid w:val="00755F49"/>
    <w:rsid w:val="00756559"/>
    <w:rsid w:val="00757561"/>
    <w:rsid w:val="00757AC1"/>
    <w:rsid w:val="00757F9D"/>
    <w:rsid w:val="007603EE"/>
    <w:rsid w:val="00760ABA"/>
    <w:rsid w:val="00761FBF"/>
    <w:rsid w:val="00765960"/>
    <w:rsid w:val="00765BFB"/>
    <w:rsid w:val="007663C7"/>
    <w:rsid w:val="0076640D"/>
    <w:rsid w:val="00776370"/>
    <w:rsid w:val="00781973"/>
    <w:rsid w:val="0078308B"/>
    <w:rsid w:val="007917F9"/>
    <w:rsid w:val="00796596"/>
    <w:rsid w:val="007A1BD0"/>
    <w:rsid w:val="007B0105"/>
    <w:rsid w:val="007B0699"/>
    <w:rsid w:val="007B15E3"/>
    <w:rsid w:val="007B1C01"/>
    <w:rsid w:val="007B1CEB"/>
    <w:rsid w:val="007B2D34"/>
    <w:rsid w:val="007B3238"/>
    <w:rsid w:val="007B6305"/>
    <w:rsid w:val="007B7086"/>
    <w:rsid w:val="007B7B98"/>
    <w:rsid w:val="007C21BE"/>
    <w:rsid w:val="007C5938"/>
    <w:rsid w:val="007D52E7"/>
    <w:rsid w:val="007E6F83"/>
    <w:rsid w:val="007F23EF"/>
    <w:rsid w:val="007F4D42"/>
    <w:rsid w:val="007F5E1A"/>
    <w:rsid w:val="00800739"/>
    <w:rsid w:val="00801A82"/>
    <w:rsid w:val="0080255C"/>
    <w:rsid w:val="00802E38"/>
    <w:rsid w:val="00803FE0"/>
    <w:rsid w:val="00810210"/>
    <w:rsid w:val="00814B88"/>
    <w:rsid w:val="00816CEC"/>
    <w:rsid w:val="00817B35"/>
    <w:rsid w:val="00831289"/>
    <w:rsid w:val="008345CC"/>
    <w:rsid w:val="008349FF"/>
    <w:rsid w:val="00837E0C"/>
    <w:rsid w:val="00841937"/>
    <w:rsid w:val="00850F69"/>
    <w:rsid w:val="00857380"/>
    <w:rsid w:val="008651BA"/>
    <w:rsid w:val="00866FD2"/>
    <w:rsid w:val="00867029"/>
    <w:rsid w:val="00867AEB"/>
    <w:rsid w:val="0087079E"/>
    <w:rsid w:val="00871D83"/>
    <w:rsid w:val="00872610"/>
    <w:rsid w:val="008748A3"/>
    <w:rsid w:val="00877A6F"/>
    <w:rsid w:val="0088583E"/>
    <w:rsid w:val="0088611B"/>
    <w:rsid w:val="00887F76"/>
    <w:rsid w:val="008902BF"/>
    <w:rsid w:val="008958B7"/>
    <w:rsid w:val="008969EA"/>
    <w:rsid w:val="00897A9A"/>
    <w:rsid w:val="008A0CC7"/>
    <w:rsid w:val="008A366B"/>
    <w:rsid w:val="008A3BF3"/>
    <w:rsid w:val="008A6027"/>
    <w:rsid w:val="008A7D4F"/>
    <w:rsid w:val="008B28E1"/>
    <w:rsid w:val="008B35B6"/>
    <w:rsid w:val="008B6A37"/>
    <w:rsid w:val="008B6A4A"/>
    <w:rsid w:val="008C1F9E"/>
    <w:rsid w:val="008C44BB"/>
    <w:rsid w:val="008C5742"/>
    <w:rsid w:val="008C78A0"/>
    <w:rsid w:val="008D0D65"/>
    <w:rsid w:val="008D5552"/>
    <w:rsid w:val="008D57D0"/>
    <w:rsid w:val="008E090E"/>
    <w:rsid w:val="008E1209"/>
    <w:rsid w:val="008E234F"/>
    <w:rsid w:val="008E61F5"/>
    <w:rsid w:val="008E746C"/>
    <w:rsid w:val="008F0920"/>
    <w:rsid w:val="008F4006"/>
    <w:rsid w:val="00905EC0"/>
    <w:rsid w:val="009106C6"/>
    <w:rsid w:val="00910772"/>
    <w:rsid w:val="00910777"/>
    <w:rsid w:val="009117D7"/>
    <w:rsid w:val="00912C60"/>
    <w:rsid w:val="009138A3"/>
    <w:rsid w:val="00921852"/>
    <w:rsid w:val="009232DB"/>
    <w:rsid w:val="0092431A"/>
    <w:rsid w:val="00924C17"/>
    <w:rsid w:val="00927715"/>
    <w:rsid w:val="009340B5"/>
    <w:rsid w:val="0094164D"/>
    <w:rsid w:val="009463DF"/>
    <w:rsid w:val="00946493"/>
    <w:rsid w:val="0094760A"/>
    <w:rsid w:val="00947693"/>
    <w:rsid w:val="00950CA7"/>
    <w:rsid w:val="00951ED9"/>
    <w:rsid w:val="00953222"/>
    <w:rsid w:val="00953EDE"/>
    <w:rsid w:val="009542FD"/>
    <w:rsid w:val="009650F3"/>
    <w:rsid w:val="0096655A"/>
    <w:rsid w:val="009706B3"/>
    <w:rsid w:val="00971E15"/>
    <w:rsid w:val="0097471D"/>
    <w:rsid w:val="009763A6"/>
    <w:rsid w:val="00982A98"/>
    <w:rsid w:val="00986075"/>
    <w:rsid w:val="0098689C"/>
    <w:rsid w:val="00991408"/>
    <w:rsid w:val="009959A3"/>
    <w:rsid w:val="009A0256"/>
    <w:rsid w:val="009A18B7"/>
    <w:rsid w:val="009A275C"/>
    <w:rsid w:val="009A59A7"/>
    <w:rsid w:val="009A5EF4"/>
    <w:rsid w:val="009A61C2"/>
    <w:rsid w:val="009A785E"/>
    <w:rsid w:val="009B1EBD"/>
    <w:rsid w:val="009B573C"/>
    <w:rsid w:val="009B7194"/>
    <w:rsid w:val="009C0C9F"/>
    <w:rsid w:val="009C4376"/>
    <w:rsid w:val="009C4B07"/>
    <w:rsid w:val="009C5BFE"/>
    <w:rsid w:val="009D2E7F"/>
    <w:rsid w:val="009D3D8C"/>
    <w:rsid w:val="009D3ED5"/>
    <w:rsid w:val="009D6088"/>
    <w:rsid w:val="009D7669"/>
    <w:rsid w:val="009E0D4B"/>
    <w:rsid w:val="009E745F"/>
    <w:rsid w:val="009E788E"/>
    <w:rsid w:val="009F122D"/>
    <w:rsid w:val="009F5678"/>
    <w:rsid w:val="009F7E5E"/>
    <w:rsid w:val="00A0312F"/>
    <w:rsid w:val="00A058B0"/>
    <w:rsid w:val="00A11BBC"/>
    <w:rsid w:val="00A147E3"/>
    <w:rsid w:val="00A22079"/>
    <w:rsid w:val="00A22FC2"/>
    <w:rsid w:val="00A23367"/>
    <w:rsid w:val="00A266A3"/>
    <w:rsid w:val="00A2786E"/>
    <w:rsid w:val="00A33AA0"/>
    <w:rsid w:val="00A34364"/>
    <w:rsid w:val="00A35832"/>
    <w:rsid w:val="00A404E7"/>
    <w:rsid w:val="00A42602"/>
    <w:rsid w:val="00A53CED"/>
    <w:rsid w:val="00A54EAB"/>
    <w:rsid w:val="00A5555E"/>
    <w:rsid w:val="00A56739"/>
    <w:rsid w:val="00A62BD2"/>
    <w:rsid w:val="00A63C24"/>
    <w:rsid w:val="00A640FD"/>
    <w:rsid w:val="00A64C61"/>
    <w:rsid w:val="00A64D73"/>
    <w:rsid w:val="00A77781"/>
    <w:rsid w:val="00A77FC8"/>
    <w:rsid w:val="00A82FBE"/>
    <w:rsid w:val="00A85AFE"/>
    <w:rsid w:val="00A86915"/>
    <w:rsid w:val="00A95694"/>
    <w:rsid w:val="00AA3708"/>
    <w:rsid w:val="00AA4DCA"/>
    <w:rsid w:val="00AA78A3"/>
    <w:rsid w:val="00AB0E6A"/>
    <w:rsid w:val="00AB44F8"/>
    <w:rsid w:val="00AB5720"/>
    <w:rsid w:val="00AB7741"/>
    <w:rsid w:val="00AD57C4"/>
    <w:rsid w:val="00AD6C85"/>
    <w:rsid w:val="00AD770D"/>
    <w:rsid w:val="00AE0BC0"/>
    <w:rsid w:val="00AE7889"/>
    <w:rsid w:val="00AF261D"/>
    <w:rsid w:val="00AF3AD5"/>
    <w:rsid w:val="00B03B04"/>
    <w:rsid w:val="00B04FC4"/>
    <w:rsid w:val="00B06201"/>
    <w:rsid w:val="00B07B6B"/>
    <w:rsid w:val="00B16212"/>
    <w:rsid w:val="00B23B47"/>
    <w:rsid w:val="00B26CC4"/>
    <w:rsid w:val="00B35B96"/>
    <w:rsid w:val="00B405E0"/>
    <w:rsid w:val="00B461EF"/>
    <w:rsid w:val="00B46722"/>
    <w:rsid w:val="00B57E94"/>
    <w:rsid w:val="00B66951"/>
    <w:rsid w:val="00B70DE0"/>
    <w:rsid w:val="00B71D4F"/>
    <w:rsid w:val="00B7429A"/>
    <w:rsid w:val="00B77996"/>
    <w:rsid w:val="00B83A4C"/>
    <w:rsid w:val="00B845D6"/>
    <w:rsid w:val="00B86F29"/>
    <w:rsid w:val="00B87118"/>
    <w:rsid w:val="00B91321"/>
    <w:rsid w:val="00B9172A"/>
    <w:rsid w:val="00B91F43"/>
    <w:rsid w:val="00B92A4F"/>
    <w:rsid w:val="00B92EAD"/>
    <w:rsid w:val="00B93964"/>
    <w:rsid w:val="00B95BAA"/>
    <w:rsid w:val="00B95CB9"/>
    <w:rsid w:val="00B96E8D"/>
    <w:rsid w:val="00BA0387"/>
    <w:rsid w:val="00BA0BBA"/>
    <w:rsid w:val="00BA73F8"/>
    <w:rsid w:val="00BB1758"/>
    <w:rsid w:val="00BB31DD"/>
    <w:rsid w:val="00BB65E0"/>
    <w:rsid w:val="00BB69B2"/>
    <w:rsid w:val="00BB70B1"/>
    <w:rsid w:val="00BC00C0"/>
    <w:rsid w:val="00BC027C"/>
    <w:rsid w:val="00BC4428"/>
    <w:rsid w:val="00BC544C"/>
    <w:rsid w:val="00BC5CE3"/>
    <w:rsid w:val="00BD635A"/>
    <w:rsid w:val="00BD7BAC"/>
    <w:rsid w:val="00BE05C9"/>
    <w:rsid w:val="00BE566A"/>
    <w:rsid w:val="00BF2044"/>
    <w:rsid w:val="00BF356C"/>
    <w:rsid w:val="00BF38CB"/>
    <w:rsid w:val="00BF4D5D"/>
    <w:rsid w:val="00C05C64"/>
    <w:rsid w:val="00C13B67"/>
    <w:rsid w:val="00C1485F"/>
    <w:rsid w:val="00C14AB6"/>
    <w:rsid w:val="00C15A69"/>
    <w:rsid w:val="00C16A44"/>
    <w:rsid w:val="00C20425"/>
    <w:rsid w:val="00C20F1E"/>
    <w:rsid w:val="00C217D8"/>
    <w:rsid w:val="00C23CC1"/>
    <w:rsid w:val="00C27492"/>
    <w:rsid w:val="00C27846"/>
    <w:rsid w:val="00C35A99"/>
    <w:rsid w:val="00C36611"/>
    <w:rsid w:val="00C36619"/>
    <w:rsid w:val="00C366A6"/>
    <w:rsid w:val="00C36939"/>
    <w:rsid w:val="00C41F00"/>
    <w:rsid w:val="00C46290"/>
    <w:rsid w:val="00C50450"/>
    <w:rsid w:val="00C50F07"/>
    <w:rsid w:val="00C621E8"/>
    <w:rsid w:val="00C62560"/>
    <w:rsid w:val="00C64CF5"/>
    <w:rsid w:val="00C66A86"/>
    <w:rsid w:val="00C70998"/>
    <w:rsid w:val="00C71372"/>
    <w:rsid w:val="00C73817"/>
    <w:rsid w:val="00C756B3"/>
    <w:rsid w:val="00C76927"/>
    <w:rsid w:val="00C77353"/>
    <w:rsid w:val="00C840DD"/>
    <w:rsid w:val="00C86060"/>
    <w:rsid w:val="00C86B1E"/>
    <w:rsid w:val="00C9581A"/>
    <w:rsid w:val="00C97DE4"/>
    <w:rsid w:val="00CA4904"/>
    <w:rsid w:val="00CA4BFB"/>
    <w:rsid w:val="00CB13B6"/>
    <w:rsid w:val="00CB3103"/>
    <w:rsid w:val="00CB6A02"/>
    <w:rsid w:val="00CC0294"/>
    <w:rsid w:val="00CC1024"/>
    <w:rsid w:val="00CC16B5"/>
    <w:rsid w:val="00CC2C89"/>
    <w:rsid w:val="00CC3790"/>
    <w:rsid w:val="00CC5755"/>
    <w:rsid w:val="00CC7036"/>
    <w:rsid w:val="00CD11B7"/>
    <w:rsid w:val="00CD15E0"/>
    <w:rsid w:val="00CD16A5"/>
    <w:rsid w:val="00CD3AD4"/>
    <w:rsid w:val="00CD7975"/>
    <w:rsid w:val="00CE14C9"/>
    <w:rsid w:val="00CE499D"/>
    <w:rsid w:val="00CE4F8C"/>
    <w:rsid w:val="00CF0B22"/>
    <w:rsid w:val="00CF0ED6"/>
    <w:rsid w:val="00CF3B7E"/>
    <w:rsid w:val="00CF6ED5"/>
    <w:rsid w:val="00D019F8"/>
    <w:rsid w:val="00D05A6D"/>
    <w:rsid w:val="00D10D5E"/>
    <w:rsid w:val="00D11C93"/>
    <w:rsid w:val="00D12400"/>
    <w:rsid w:val="00D1386E"/>
    <w:rsid w:val="00D13BB0"/>
    <w:rsid w:val="00D16906"/>
    <w:rsid w:val="00D20024"/>
    <w:rsid w:val="00D20989"/>
    <w:rsid w:val="00D2217F"/>
    <w:rsid w:val="00D22EDB"/>
    <w:rsid w:val="00D23923"/>
    <w:rsid w:val="00D239E5"/>
    <w:rsid w:val="00D262BE"/>
    <w:rsid w:val="00D347D4"/>
    <w:rsid w:val="00D3526B"/>
    <w:rsid w:val="00D409C5"/>
    <w:rsid w:val="00D43DAA"/>
    <w:rsid w:val="00D44BEE"/>
    <w:rsid w:val="00D45B95"/>
    <w:rsid w:val="00D5111D"/>
    <w:rsid w:val="00D56E42"/>
    <w:rsid w:val="00D606C7"/>
    <w:rsid w:val="00D62F4E"/>
    <w:rsid w:val="00D65456"/>
    <w:rsid w:val="00D7167B"/>
    <w:rsid w:val="00D76656"/>
    <w:rsid w:val="00D772EE"/>
    <w:rsid w:val="00D80946"/>
    <w:rsid w:val="00D85CD4"/>
    <w:rsid w:val="00D86069"/>
    <w:rsid w:val="00D86A2B"/>
    <w:rsid w:val="00D92E25"/>
    <w:rsid w:val="00D97C74"/>
    <w:rsid w:val="00DA28C4"/>
    <w:rsid w:val="00DB0AC0"/>
    <w:rsid w:val="00DB7B28"/>
    <w:rsid w:val="00DC15D6"/>
    <w:rsid w:val="00DC1FF1"/>
    <w:rsid w:val="00DC3C49"/>
    <w:rsid w:val="00DC3EBF"/>
    <w:rsid w:val="00DC52AB"/>
    <w:rsid w:val="00DD031D"/>
    <w:rsid w:val="00DD2B48"/>
    <w:rsid w:val="00DD3BF5"/>
    <w:rsid w:val="00DD6948"/>
    <w:rsid w:val="00DD78B3"/>
    <w:rsid w:val="00DD7B4D"/>
    <w:rsid w:val="00DE053F"/>
    <w:rsid w:val="00DE2A80"/>
    <w:rsid w:val="00DE5B94"/>
    <w:rsid w:val="00DE766B"/>
    <w:rsid w:val="00DF251B"/>
    <w:rsid w:val="00DF3B97"/>
    <w:rsid w:val="00DF49C8"/>
    <w:rsid w:val="00DF49EF"/>
    <w:rsid w:val="00DF77AF"/>
    <w:rsid w:val="00DF7C67"/>
    <w:rsid w:val="00E01C1F"/>
    <w:rsid w:val="00E01EF1"/>
    <w:rsid w:val="00E03B3D"/>
    <w:rsid w:val="00E105DA"/>
    <w:rsid w:val="00E11559"/>
    <w:rsid w:val="00E11DA0"/>
    <w:rsid w:val="00E21259"/>
    <w:rsid w:val="00E2172B"/>
    <w:rsid w:val="00E2456A"/>
    <w:rsid w:val="00E253F9"/>
    <w:rsid w:val="00E27203"/>
    <w:rsid w:val="00E31259"/>
    <w:rsid w:val="00E31DDD"/>
    <w:rsid w:val="00E31EFD"/>
    <w:rsid w:val="00E33673"/>
    <w:rsid w:val="00E33C2E"/>
    <w:rsid w:val="00E51AD8"/>
    <w:rsid w:val="00E520E8"/>
    <w:rsid w:val="00E548ED"/>
    <w:rsid w:val="00E55CFA"/>
    <w:rsid w:val="00E56B89"/>
    <w:rsid w:val="00E6078E"/>
    <w:rsid w:val="00E6238D"/>
    <w:rsid w:val="00E62844"/>
    <w:rsid w:val="00E648FA"/>
    <w:rsid w:val="00E64F4F"/>
    <w:rsid w:val="00E66FE6"/>
    <w:rsid w:val="00E71083"/>
    <w:rsid w:val="00E7361B"/>
    <w:rsid w:val="00E73B8E"/>
    <w:rsid w:val="00E84B01"/>
    <w:rsid w:val="00E852BA"/>
    <w:rsid w:val="00E86F44"/>
    <w:rsid w:val="00E93274"/>
    <w:rsid w:val="00E9574F"/>
    <w:rsid w:val="00E95BC8"/>
    <w:rsid w:val="00EA1A6E"/>
    <w:rsid w:val="00EA3244"/>
    <w:rsid w:val="00EA3379"/>
    <w:rsid w:val="00EA442C"/>
    <w:rsid w:val="00EB0125"/>
    <w:rsid w:val="00EB0296"/>
    <w:rsid w:val="00EB4957"/>
    <w:rsid w:val="00EB7435"/>
    <w:rsid w:val="00EC1731"/>
    <w:rsid w:val="00EC20BE"/>
    <w:rsid w:val="00EC51CC"/>
    <w:rsid w:val="00EC7634"/>
    <w:rsid w:val="00ED119B"/>
    <w:rsid w:val="00ED1BBC"/>
    <w:rsid w:val="00ED5F3C"/>
    <w:rsid w:val="00ED66B3"/>
    <w:rsid w:val="00ED6702"/>
    <w:rsid w:val="00ED6C01"/>
    <w:rsid w:val="00ED7B01"/>
    <w:rsid w:val="00EE2AE0"/>
    <w:rsid w:val="00EE45AF"/>
    <w:rsid w:val="00EE7F9F"/>
    <w:rsid w:val="00EF2024"/>
    <w:rsid w:val="00F01166"/>
    <w:rsid w:val="00F123AC"/>
    <w:rsid w:val="00F163B7"/>
    <w:rsid w:val="00F212DF"/>
    <w:rsid w:val="00F2201A"/>
    <w:rsid w:val="00F30C7C"/>
    <w:rsid w:val="00F44252"/>
    <w:rsid w:val="00F46815"/>
    <w:rsid w:val="00F5705E"/>
    <w:rsid w:val="00F60179"/>
    <w:rsid w:val="00F63D43"/>
    <w:rsid w:val="00F707E6"/>
    <w:rsid w:val="00F74C68"/>
    <w:rsid w:val="00F92583"/>
    <w:rsid w:val="00F92F40"/>
    <w:rsid w:val="00F93F74"/>
    <w:rsid w:val="00FA072A"/>
    <w:rsid w:val="00FA3087"/>
    <w:rsid w:val="00FA39CF"/>
    <w:rsid w:val="00FA450F"/>
    <w:rsid w:val="00FA5319"/>
    <w:rsid w:val="00FA593C"/>
    <w:rsid w:val="00FB0C53"/>
    <w:rsid w:val="00FB387D"/>
    <w:rsid w:val="00FB38AA"/>
    <w:rsid w:val="00FB5513"/>
    <w:rsid w:val="00FB7C28"/>
    <w:rsid w:val="00FC3CB5"/>
    <w:rsid w:val="00FC3DEC"/>
    <w:rsid w:val="00FD4EA3"/>
    <w:rsid w:val="00FD7C13"/>
    <w:rsid w:val="00FE03AB"/>
    <w:rsid w:val="00FE0CEF"/>
    <w:rsid w:val="00FE1E27"/>
    <w:rsid w:val="00FE5FFB"/>
    <w:rsid w:val="00FE7D8B"/>
    <w:rsid w:val="00FE7F1C"/>
    <w:rsid w:val="00FF1B74"/>
    <w:rsid w:val="00FF2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62C75"/>
  <w15:docId w15:val="{3E1019CB-42E7-4317-B19E-66DAF924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14"/>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14"/>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14"/>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14"/>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1E64"/>
    <w:rPr>
      <w:color w:val="0000FF"/>
      <w:u w:val="single"/>
    </w:rPr>
  </w:style>
  <w:style w:type="character" w:styleId="CommentReference">
    <w:name w:val="annotation reference"/>
    <w:basedOn w:val="DefaultParagraphFont"/>
    <w:uiPriority w:val="99"/>
    <w:semiHidden/>
    <w:unhideWhenUsed/>
    <w:rsid w:val="0039746B"/>
    <w:rPr>
      <w:sz w:val="16"/>
      <w:szCs w:val="16"/>
    </w:rPr>
  </w:style>
  <w:style w:type="paragraph" w:styleId="Revision">
    <w:name w:val="Revision"/>
    <w:hidden/>
    <w:uiPriority w:val="99"/>
    <w:semiHidden/>
    <w:rsid w:val="00011A12"/>
    <w:pPr>
      <w:spacing w:after="0" w:line="240" w:lineRule="auto"/>
    </w:pPr>
    <w:rPr>
      <w:rFonts w:ascii="Arial" w:hAnsi="Arial" w:cs="Arial"/>
    </w:rPr>
  </w:style>
  <w:style w:type="table" w:styleId="TableGrid">
    <w:name w:val="Table Grid"/>
    <w:basedOn w:val="TableNormal"/>
    <w:uiPriority w:val="59"/>
    <w:rsid w:val="005D7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E01C1F"/>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hgkelc">
    <w:name w:val="hgkelc"/>
    <w:basedOn w:val="DefaultParagraphFont"/>
    <w:rsid w:val="00486653"/>
  </w:style>
  <w:style w:type="paragraph" w:customStyle="1" w:styleId="Default">
    <w:name w:val="Default"/>
    <w:rsid w:val="00293836"/>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B7C28"/>
    <w:rPr>
      <w:i/>
      <w:iCs/>
    </w:rPr>
  </w:style>
  <w:style w:type="paragraph" w:customStyle="1" w:styleId="CM1">
    <w:name w:val="CM1"/>
    <w:basedOn w:val="Default"/>
    <w:next w:val="Default"/>
    <w:uiPriority w:val="99"/>
    <w:rsid w:val="008C44BB"/>
    <w:rPr>
      <w:rFonts w:ascii="Times New Roman" w:hAnsi="Times New Roman" w:cs="Times New Roman"/>
      <w:color w:val="auto"/>
    </w:rPr>
  </w:style>
  <w:style w:type="paragraph" w:customStyle="1" w:styleId="CM3">
    <w:name w:val="CM3"/>
    <w:basedOn w:val="Default"/>
    <w:next w:val="Default"/>
    <w:uiPriority w:val="99"/>
    <w:rsid w:val="008C44BB"/>
    <w:rPr>
      <w:rFonts w:ascii="Times New Roman" w:hAnsi="Times New Roman" w:cs="Times New Roman"/>
      <w:color w:val="auto"/>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10"/>
      </w:numPr>
      <w:spacing w:before="60" w:after="60"/>
    </w:pPr>
    <w:rPr>
      <w:sz w:val="18"/>
    </w:rPr>
  </w:style>
  <w:style w:type="paragraph" w:customStyle="1" w:styleId="TabelleListe">
    <w:name w:val="Tabelle Liste"/>
    <w:basedOn w:val="Normal"/>
    <w:rsid w:val="00CB23B3"/>
    <w:pPr>
      <w:numPr>
        <w:numId w:val="11"/>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9"/>
      </w:numPr>
      <w:tabs>
        <w:tab w:val="left" w:pos="0"/>
      </w:tabs>
    </w:pPr>
  </w:style>
  <w:style w:type="paragraph" w:customStyle="1" w:styleId="ListeFolgeabsatzStufe1">
    <w:name w:val="Liste Folgeabsatz (Stufe 1)"/>
    <w:basedOn w:val="Normal"/>
    <w:rsid w:val="00CB23B3"/>
    <w:pPr>
      <w:numPr>
        <w:ilvl w:val="1"/>
        <w:numId w:val="9"/>
      </w:numPr>
    </w:pPr>
  </w:style>
  <w:style w:type="paragraph" w:customStyle="1" w:styleId="ListeStufe2">
    <w:name w:val="Liste (Stufe 2)"/>
    <w:basedOn w:val="Normal"/>
    <w:rsid w:val="00CB23B3"/>
    <w:pPr>
      <w:numPr>
        <w:ilvl w:val="2"/>
        <w:numId w:val="9"/>
      </w:numPr>
    </w:pPr>
  </w:style>
  <w:style w:type="paragraph" w:customStyle="1" w:styleId="ListeFolgeabsatzStufe2">
    <w:name w:val="Liste Folgeabsatz (Stufe 2)"/>
    <w:basedOn w:val="Normal"/>
    <w:rsid w:val="00CB23B3"/>
    <w:pPr>
      <w:numPr>
        <w:ilvl w:val="3"/>
        <w:numId w:val="9"/>
      </w:numPr>
    </w:pPr>
  </w:style>
  <w:style w:type="paragraph" w:customStyle="1" w:styleId="ListeStufe3">
    <w:name w:val="Liste (Stufe 3)"/>
    <w:basedOn w:val="Normal"/>
    <w:rsid w:val="00CB23B3"/>
    <w:pPr>
      <w:numPr>
        <w:ilvl w:val="4"/>
        <w:numId w:val="9"/>
      </w:numPr>
    </w:pPr>
  </w:style>
  <w:style w:type="paragraph" w:customStyle="1" w:styleId="ListeFolgeabsatzStufe3">
    <w:name w:val="Liste Folgeabsatz (Stufe 3)"/>
    <w:basedOn w:val="Normal"/>
    <w:rsid w:val="00CB23B3"/>
    <w:pPr>
      <w:numPr>
        <w:ilvl w:val="5"/>
        <w:numId w:val="9"/>
      </w:numPr>
    </w:pPr>
  </w:style>
  <w:style w:type="paragraph" w:customStyle="1" w:styleId="ListeStufe4">
    <w:name w:val="Liste (Stufe 4)"/>
    <w:basedOn w:val="Normal"/>
    <w:rsid w:val="00CB23B3"/>
    <w:pPr>
      <w:numPr>
        <w:ilvl w:val="6"/>
        <w:numId w:val="9"/>
      </w:numPr>
    </w:pPr>
  </w:style>
  <w:style w:type="paragraph" w:customStyle="1" w:styleId="ListeFolgeabsatzStufe4">
    <w:name w:val="Liste Folgeabsatz (Stufe 4)"/>
    <w:basedOn w:val="Normal"/>
    <w:rsid w:val="00CB23B3"/>
    <w:pPr>
      <w:numPr>
        <w:ilvl w:val="7"/>
        <w:numId w:val="9"/>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4"/>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5"/>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6"/>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7"/>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8"/>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24"/>
      </w:numPr>
      <w:outlineLvl w:val="5"/>
    </w:pPr>
  </w:style>
  <w:style w:type="paragraph" w:customStyle="1" w:styleId="NummerierungStufe2">
    <w:name w:val="Nummerierung (Stufe 2)"/>
    <w:basedOn w:val="Normal"/>
    <w:rsid w:val="00CB23B3"/>
    <w:pPr>
      <w:numPr>
        <w:ilvl w:val="4"/>
        <w:numId w:val="24"/>
      </w:numPr>
    </w:pPr>
  </w:style>
  <w:style w:type="paragraph" w:customStyle="1" w:styleId="NummerierungStufe3">
    <w:name w:val="Nummerierung (Stufe 3)"/>
    <w:basedOn w:val="Normal"/>
    <w:rsid w:val="00CB23B3"/>
    <w:pPr>
      <w:numPr>
        <w:ilvl w:val="5"/>
        <w:numId w:val="24"/>
      </w:numPr>
    </w:pPr>
  </w:style>
  <w:style w:type="paragraph" w:customStyle="1" w:styleId="NummerierungStufe4">
    <w:name w:val="Nummerierung (Stufe 4)"/>
    <w:basedOn w:val="Normal"/>
    <w:rsid w:val="00CB23B3"/>
    <w:pPr>
      <w:numPr>
        <w:ilvl w:val="6"/>
        <w:numId w:val="24"/>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12"/>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13"/>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25"/>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24"/>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24"/>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26"/>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27"/>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26"/>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27"/>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26"/>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27"/>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26"/>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27"/>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26"/>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27"/>
      </w:numPr>
      <w:spacing w:after="240"/>
      <w:jc w:val="center"/>
      <w:outlineLvl w:val="2"/>
    </w:pPr>
  </w:style>
  <w:style w:type="paragraph" w:customStyle="1" w:styleId="TitelBezeichner">
    <w:name w:val="Titel Bezeichner"/>
    <w:basedOn w:val="Normal"/>
    <w:next w:val="Titelberschrift"/>
    <w:rsid w:val="00CB23B3"/>
    <w:pPr>
      <w:keepNext/>
      <w:numPr>
        <w:ilvl w:val="5"/>
        <w:numId w:val="26"/>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27"/>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26"/>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27"/>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28"/>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28"/>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15"/>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15"/>
      </w:numPr>
    </w:pPr>
    <w:rPr>
      <w:color w:val="800000"/>
    </w:rPr>
  </w:style>
  <w:style w:type="paragraph" w:customStyle="1" w:styleId="RevisionNummerierungStufe2">
    <w:name w:val="Revision Nummerierung (Stufe 2)"/>
    <w:basedOn w:val="Normal"/>
    <w:rsid w:val="00CB23B3"/>
    <w:pPr>
      <w:numPr>
        <w:ilvl w:val="4"/>
        <w:numId w:val="15"/>
      </w:numPr>
    </w:pPr>
    <w:rPr>
      <w:color w:val="800000"/>
    </w:rPr>
  </w:style>
  <w:style w:type="paragraph" w:customStyle="1" w:styleId="RevisionNummerierungStufe3">
    <w:name w:val="Revision Nummerierung (Stufe 3)"/>
    <w:basedOn w:val="Normal"/>
    <w:rsid w:val="00CB23B3"/>
    <w:pPr>
      <w:numPr>
        <w:ilvl w:val="5"/>
        <w:numId w:val="15"/>
      </w:numPr>
    </w:pPr>
    <w:rPr>
      <w:color w:val="800000"/>
    </w:rPr>
  </w:style>
  <w:style w:type="paragraph" w:customStyle="1" w:styleId="RevisionNummerierungStufe4">
    <w:name w:val="Revision Nummerierung (Stufe 4)"/>
    <w:basedOn w:val="Normal"/>
    <w:rsid w:val="00CB23B3"/>
    <w:pPr>
      <w:numPr>
        <w:ilvl w:val="6"/>
        <w:numId w:val="15"/>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15"/>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15"/>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22"/>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16"/>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16"/>
      </w:numPr>
    </w:pPr>
    <w:rPr>
      <w:color w:val="800000"/>
    </w:rPr>
  </w:style>
  <w:style w:type="paragraph" w:customStyle="1" w:styleId="RevisionListeStufe2">
    <w:name w:val="Revision Liste (Stufe 2)"/>
    <w:basedOn w:val="Normal"/>
    <w:rsid w:val="00CB23B3"/>
    <w:pPr>
      <w:numPr>
        <w:ilvl w:val="2"/>
        <w:numId w:val="16"/>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16"/>
      </w:numPr>
    </w:pPr>
    <w:rPr>
      <w:color w:val="800000"/>
    </w:rPr>
  </w:style>
  <w:style w:type="paragraph" w:customStyle="1" w:styleId="RevisionListeStufe3">
    <w:name w:val="Revision Liste (Stufe 3)"/>
    <w:basedOn w:val="Normal"/>
    <w:rsid w:val="00CB23B3"/>
    <w:pPr>
      <w:numPr>
        <w:ilvl w:val="4"/>
        <w:numId w:val="16"/>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16"/>
      </w:numPr>
    </w:pPr>
    <w:rPr>
      <w:color w:val="800000"/>
    </w:rPr>
  </w:style>
  <w:style w:type="paragraph" w:customStyle="1" w:styleId="RevisionListeStufe4">
    <w:name w:val="Revision Liste (Stufe 4)"/>
    <w:basedOn w:val="Normal"/>
    <w:rsid w:val="00CB23B3"/>
    <w:pPr>
      <w:numPr>
        <w:ilvl w:val="6"/>
        <w:numId w:val="16"/>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16"/>
      </w:numPr>
    </w:pPr>
    <w:rPr>
      <w:color w:val="800000"/>
    </w:rPr>
  </w:style>
  <w:style w:type="paragraph" w:customStyle="1" w:styleId="RevisionAufzhlungStufe1">
    <w:name w:val="Revision Aufzählung (Stufe 1)"/>
    <w:basedOn w:val="Normal"/>
    <w:rsid w:val="00CB23B3"/>
    <w:pPr>
      <w:numPr>
        <w:numId w:val="17"/>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18"/>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19"/>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20"/>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21"/>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23"/>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24"/>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29"/>
      </w:numPr>
      <w:contextualSpacing/>
    </w:pPr>
  </w:style>
  <w:style w:type="paragraph" w:styleId="ListBullet2">
    <w:name w:val="List Bullet 2"/>
    <w:basedOn w:val="Normal"/>
    <w:uiPriority w:val="99"/>
    <w:semiHidden/>
    <w:unhideWhenUsed/>
    <w:rsid w:val="00635B49"/>
    <w:pPr>
      <w:numPr>
        <w:numId w:val="30"/>
      </w:numPr>
      <w:contextualSpacing/>
    </w:pPr>
  </w:style>
  <w:style w:type="paragraph" w:styleId="ListBullet3">
    <w:name w:val="List Bullet 3"/>
    <w:basedOn w:val="Normal"/>
    <w:uiPriority w:val="99"/>
    <w:semiHidden/>
    <w:unhideWhenUsed/>
    <w:rsid w:val="00635B49"/>
    <w:pPr>
      <w:numPr>
        <w:numId w:val="31"/>
      </w:numPr>
      <w:contextualSpacing/>
    </w:pPr>
  </w:style>
  <w:style w:type="paragraph" w:styleId="ListBullet4">
    <w:name w:val="List Bullet 4"/>
    <w:basedOn w:val="Normal"/>
    <w:uiPriority w:val="99"/>
    <w:semiHidden/>
    <w:unhideWhenUsed/>
    <w:rsid w:val="00635B49"/>
    <w:pPr>
      <w:numPr>
        <w:numId w:val="32"/>
      </w:numPr>
      <w:contextualSpacing/>
    </w:pPr>
  </w:style>
  <w:style w:type="paragraph" w:styleId="ListBullet5">
    <w:name w:val="List Bullet 5"/>
    <w:basedOn w:val="Normal"/>
    <w:uiPriority w:val="99"/>
    <w:semiHidden/>
    <w:unhideWhenUsed/>
    <w:rsid w:val="00635B49"/>
    <w:pPr>
      <w:numPr>
        <w:numId w:val="33"/>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3"/>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semiHidden/>
    <w:unhideWhenUsed/>
    <w:rsid w:val="00635B49"/>
    <w:rPr>
      <w:sz w:val="20"/>
      <w:szCs w:val="20"/>
    </w:rPr>
  </w:style>
  <w:style w:type="character" w:customStyle="1" w:styleId="CommentTextChar">
    <w:name w:val="Comment Text Char"/>
    <w:basedOn w:val="DefaultParagraphFont"/>
    <w:link w:val="CommentText"/>
    <w:uiPriority w:val="99"/>
    <w:semiHidden/>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34"/>
      </w:numPr>
      <w:contextualSpacing/>
    </w:pPr>
  </w:style>
  <w:style w:type="paragraph" w:styleId="ListNumber2">
    <w:name w:val="List Number 2"/>
    <w:basedOn w:val="Normal"/>
    <w:uiPriority w:val="99"/>
    <w:semiHidden/>
    <w:unhideWhenUsed/>
    <w:rsid w:val="00635B49"/>
    <w:pPr>
      <w:numPr>
        <w:numId w:val="35"/>
      </w:numPr>
      <w:contextualSpacing/>
    </w:pPr>
  </w:style>
  <w:style w:type="paragraph" w:styleId="ListNumber3">
    <w:name w:val="List Number 3"/>
    <w:basedOn w:val="Normal"/>
    <w:uiPriority w:val="99"/>
    <w:semiHidden/>
    <w:unhideWhenUsed/>
    <w:rsid w:val="00635B49"/>
    <w:pPr>
      <w:numPr>
        <w:numId w:val="36"/>
      </w:numPr>
      <w:contextualSpacing/>
    </w:pPr>
  </w:style>
  <w:style w:type="paragraph" w:styleId="ListNumber4">
    <w:name w:val="List Number 4"/>
    <w:basedOn w:val="Normal"/>
    <w:uiPriority w:val="99"/>
    <w:semiHidden/>
    <w:unhideWhenUsed/>
    <w:rsid w:val="00635B49"/>
    <w:pPr>
      <w:numPr>
        <w:numId w:val="37"/>
      </w:numPr>
      <w:contextualSpacing/>
    </w:pPr>
  </w:style>
  <w:style w:type="paragraph" w:styleId="ListNumber5">
    <w:name w:val="List Number 5"/>
    <w:basedOn w:val="Normal"/>
    <w:uiPriority w:val="99"/>
    <w:semiHidden/>
    <w:unhideWhenUsed/>
    <w:rsid w:val="00635B49"/>
    <w:pPr>
      <w:numPr>
        <w:numId w:val="38"/>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semiHidden/>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uiPriority w:val="99"/>
    <w:semiHidden/>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5171">
      <w:bodyDiv w:val="1"/>
      <w:marLeft w:val="0"/>
      <w:marRight w:val="0"/>
      <w:marTop w:val="0"/>
      <w:marBottom w:val="0"/>
      <w:divBdr>
        <w:top w:val="none" w:sz="0" w:space="0" w:color="auto"/>
        <w:left w:val="none" w:sz="0" w:space="0" w:color="auto"/>
        <w:bottom w:val="none" w:sz="0" w:space="0" w:color="auto"/>
        <w:right w:val="none" w:sz="0" w:space="0" w:color="auto"/>
      </w:divBdr>
    </w:div>
    <w:div w:id="215555678">
      <w:bodyDiv w:val="1"/>
      <w:marLeft w:val="0"/>
      <w:marRight w:val="0"/>
      <w:marTop w:val="0"/>
      <w:marBottom w:val="0"/>
      <w:divBdr>
        <w:top w:val="none" w:sz="0" w:space="0" w:color="auto"/>
        <w:left w:val="none" w:sz="0" w:space="0" w:color="auto"/>
        <w:bottom w:val="none" w:sz="0" w:space="0" w:color="auto"/>
        <w:right w:val="none" w:sz="0" w:space="0" w:color="auto"/>
      </w:divBdr>
    </w:div>
    <w:div w:id="282538889">
      <w:bodyDiv w:val="1"/>
      <w:marLeft w:val="0"/>
      <w:marRight w:val="0"/>
      <w:marTop w:val="0"/>
      <w:marBottom w:val="0"/>
      <w:divBdr>
        <w:top w:val="none" w:sz="0" w:space="0" w:color="auto"/>
        <w:left w:val="none" w:sz="0" w:space="0" w:color="auto"/>
        <w:bottom w:val="none" w:sz="0" w:space="0" w:color="auto"/>
        <w:right w:val="none" w:sz="0" w:space="0" w:color="auto"/>
      </w:divBdr>
    </w:div>
    <w:div w:id="373189949">
      <w:bodyDiv w:val="1"/>
      <w:marLeft w:val="0"/>
      <w:marRight w:val="0"/>
      <w:marTop w:val="0"/>
      <w:marBottom w:val="0"/>
      <w:divBdr>
        <w:top w:val="none" w:sz="0" w:space="0" w:color="auto"/>
        <w:left w:val="none" w:sz="0" w:space="0" w:color="auto"/>
        <w:bottom w:val="none" w:sz="0" w:space="0" w:color="auto"/>
        <w:right w:val="none" w:sz="0" w:space="0" w:color="auto"/>
      </w:divBdr>
      <w:divsChild>
        <w:div w:id="459539954">
          <w:marLeft w:val="0"/>
          <w:marRight w:val="0"/>
          <w:marTop w:val="0"/>
          <w:marBottom w:val="0"/>
          <w:divBdr>
            <w:top w:val="none" w:sz="0" w:space="0" w:color="auto"/>
            <w:left w:val="none" w:sz="0" w:space="0" w:color="auto"/>
            <w:bottom w:val="none" w:sz="0" w:space="0" w:color="auto"/>
            <w:right w:val="none" w:sz="0" w:space="0" w:color="auto"/>
          </w:divBdr>
          <w:divsChild>
            <w:div w:id="630672236">
              <w:marLeft w:val="0"/>
              <w:marRight w:val="0"/>
              <w:marTop w:val="0"/>
              <w:marBottom w:val="0"/>
              <w:divBdr>
                <w:top w:val="none" w:sz="0" w:space="0" w:color="auto"/>
                <w:left w:val="none" w:sz="0" w:space="0" w:color="auto"/>
                <w:bottom w:val="none" w:sz="0" w:space="0" w:color="auto"/>
                <w:right w:val="none" w:sz="0" w:space="0" w:color="auto"/>
              </w:divBdr>
              <w:divsChild>
                <w:div w:id="1508448732">
                  <w:marLeft w:val="0"/>
                  <w:marRight w:val="0"/>
                  <w:marTop w:val="0"/>
                  <w:marBottom w:val="0"/>
                  <w:divBdr>
                    <w:top w:val="none" w:sz="0" w:space="0" w:color="auto"/>
                    <w:left w:val="none" w:sz="0" w:space="0" w:color="auto"/>
                    <w:bottom w:val="none" w:sz="0" w:space="0" w:color="auto"/>
                    <w:right w:val="none" w:sz="0" w:space="0" w:color="auto"/>
                  </w:divBdr>
                  <w:divsChild>
                    <w:div w:id="970326355">
                      <w:marLeft w:val="-150"/>
                      <w:marRight w:val="-150"/>
                      <w:marTop w:val="0"/>
                      <w:marBottom w:val="0"/>
                      <w:divBdr>
                        <w:top w:val="none" w:sz="0" w:space="0" w:color="auto"/>
                        <w:left w:val="none" w:sz="0" w:space="0" w:color="auto"/>
                        <w:bottom w:val="none" w:sz="0" w:space="0" w:color="auto"/>
                        <w:right w:val="none" w:sz="0" w:space="0" w:color="auto"/>
                      </w:divBdr>
                      <w:divsChild>
                        <w:div w:id="801310879">
                          <w:marLeft w:val="0"/>
                          <w:marRight w:val="0"/>
                          <w:marTop w:val="0"/>
                          <w:marBottom w:val="0"/>
                          <w:divBdr>
                            <w:top w:val="none" w:sz="0" w:space="0" w:color="auto"/>
                            <w:left w:val="none" w:sz="0" w:space="0" w:color="auto"/>
                            <w:bottom w:val="none" w:sz="0" w:space="0" w:color="auto"/>
                            <w:right w:val="none" w:sz="0" w:space="0" w:color="auto"/>
                          </w:divBdr>
                          <w:divsChild>
                            <w:div w:id="863708337">
                              <w:marLeft w:val="0"/>
                              <w:marRight w:val="0"/>
                              <w:marTop w:val="0"/>
                              <w:marBottom w:val="0"/>
                              <w:divBdr>
                                <w:top w:val="none" w:sz="0" w:space="0" w:color="auto"/>
                                <w:left w:val="none" w:sz="0" w:space="0" w:color="auto"/>
                                <w:bottom w:val="none" w:sz="0" w:space="0" w:color="auto"/>
                                <w:right w:val="none" w:sz="0" w:space="0" w:color="auto"/>
                              </w:divBdr>
                              <w:divsChild>
                                <w:div w:id="618486438">
                                  <w:marLeft w:val="0"/>
                                  <w:marRight w:val="0"/>
                                  <w:marTop w:val="0"/>
                                  <w:marBottom w:val="300"/>
                                  <w:divBdr>
                                    <w:top w:val="none" w:sz="0" w:space="0" w:color="auto"/>
                                    <w:left w:val="none" w:sz="0" w:space="0" w:color="auto"/>
                                    <w:bottom w:val="none" w:sz="0" w:space="0" w:color="auto"/>
                                    <w:right w:val="none" w:sz="0" w:space="0" w:color="auto"/>
                                  </w:divBdr>
                                  <w:divsChild>
                                    <w:div w:id="1277637810">
                                      <w:marLeft w:val="0"/>
                                      <w:marRight w:val="0"/>
                                      <w:marTop w:val="0"/>
                                      <w:marBottom w:val="0"/>
                                      <w:divBdr>
                                        <w:top w:val="none" w:sz="0" w:space="0" w:color="auto"/>
                                        <w:left w:val="none" w:sz="0" w:space="0" w:color="auto"/>
                                        <w:bottom w:val="none" w:sz="0" w:space="0" w:color="auto"/>
                                        <w:right w:val="none" w:sz="0" w:space="0" w:color="auto"/>
                                      </w:divBdr>
                                      <w:divsChild>
                                        <w:div w:id="1896502770">
                                          <w:marLeft w:val="0"/>
                                          <w:marRight w:val="0"/>
                                          <w:marTop w:val="0"/>
                                          <w:marBottom w:val="0"/>
                                          <w:divBdr>
                                            <w:top w:val="none" w:sz="0" w:space="0" w:color="auto"/>
                                            <w:left w:val="none" w:sz="0" w:space="0" w:color="auto"/>
                                            <w:bottom w:val="none" w:sz="0" w:space="0" w:color="auto"/>
                                            <w:right w:val="none" w:sz="0" w:space="0" w:color="auto"/>
                                          </w:divBdr>
                                          <w:divsChild>
                                            <w:div w:id="1397123319">
                                              <w:marLeft w:val="0"/>
                                              <w:marRight w:val="0"/>
                                              <w:marTop w:val="0"/>
                                              <w:marBottom w:val="0"/>
                                              <w:divBdr>
                                                <w:top w:val="none" w:sz="0" w:space="0" w:color="auto"/>
                                                <w:left w:val="none" w:sz="0" w:space="0" w:color="auto"/>
                                                <w:bottom w:val="none" w:sz="0" w:space="0" w:color="auto"/>
                                                <w:right w:val="none" w:sz="0" w:space="0" w:color="auto"/>
                                              </w:divBdr>
                                              <w:divsChild>
                                                <w:div w:id="2078697304">
                                                  <w:marLeft w:val="0"/>
                                                  <w:marRight w:val="0"/>
                                                  <w:marTop w:val="0"/>
                                                  <w:marBottom w:val="0"/>
                                                  <w:divBdr>
                                                    <w:top w:val="none" w:sz="0" w:space="0" w:color="auto"/>
                                                    <w:left w:val="none" w:sz="0" w:space="0" w:color="auto"/>
                                                    <w:bottom w:val="none" w:sz="0" w:space="0" w:color="auto"/>
                                                    <w:right w:val="none" w:sz="0" w:space="0" w:color="auto"/>
                                                  </w:divBdr>
                                                  <w:divsChild>
                                                    <w:div w:id="866138336">
                                                      <w:marLeft w:val="0"/>
                                                      <w:marRight w:val="0"/>
                                                      <w:marTop w:val="0"/>
                                                      <w:marBottom w:val="0"/>
                                                      <w:divBdr>
                                                        <w:top w:val="none" w:sz="0" w:space="0" w:color="auto"/>
                                                        <w:left w:val="none" w:sz="0" w:space="0" w:color="auto"/>
                                                        <w:bottom w:val="none" w:sz="0" w:space="0" w:color="auto"/>
                                                        <w:right w:val="none" w:sz="0" w:space="0" w:color="auto"/>
                                                      </w:divBdr>
                                                      <w:divsChild>
                                                        <w:div w:id="1844122597">
                                                          <w:marLeft w:val="0"/>
                                                          <w:marRight w:val="0"/>
                                                          <w:marTop w:val="0"/>
                                                          <w:marBottom w:val="0"/>
                                                          <w:divBdr>
                                                            <w:top w:val="none" w:sz="0" w:space="0" w:color="auto"/>
                                                            <w:left w:val="none" w:sz="0" w:space="0" w:color="auto"/>
                                                            <w:bottom w:val="none" w:sz="0" w:space="0" w:color="auto"/>
                                                            <w:right w:val="none" w:sz="0" w:space="0" w:color="auto"/>
                                                          </w:divBdr>
                                                          <w:divsChild>
                                                            <w:div w:id="5131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649697">
      <w:bodyDiv w:val="1"/>
      <w:marLeft w:val="0"/>
      <w:marRight w:val="0"/>
      <w:marTop w:val="0"/>
      <w:marBottom w:val="0"/>
      <w:divBdr>
        <w:top w:val="none" w:sz="0" w:space="0" w:color="auto"/>
        <w:left w:val="none" w:sz="0" w:space="0" w:color="auto"/>
        <w:bottom w:val="none" w:sz="0" w:space="0" w:color="auto"/>
        <w:right w:val="none" w:sz="0" w:space="0" w:color="auto"/>
      </w:divBdr>
    </w:div>
    <w:div w:id="550308890">
      <w:bodyDiv w:val="1"/>
      <w:marLeft w:val="0"/>
      <w:marRight w:val="0"/>
      <w:marTop w:val="0"/>
      <w:marBottom w:val="0"/>
      <w:divBdr>
        <w:top w:val="none" w:sz="0" w:space="0" w:color="auto"/>
        <w:left w:val="none" w:sz="0" w:space="0" w:color="auto"/>
        <w:bottom w:val="none" w:sz="0" w:space="0" w:color="auto"/>
        <w:right w:val="none" w:sz="0" w:space="0" w:color="auto"/>
      </w:divBdr>
      <w:divsChild>
        <w:div w:id="1488787982">
          <w:marLeft w:val="0"/>
          <w:marRight w:val="0"/>
          <w:marTop w:val="0"/>
          <w:marBottom w:val="0"/>
          <w:divBdr>
            <w:top w:val="none" w:sz="0" w:space="0" w:color="auto"/>
            <w:left w:val="none" w:sz="0" w:space="0" w:color="auto"/>
            <w:bottom w:val="none" w:sz="0" w:space="0" w:color="auto"/>
            <w:right w:val="none" w:sz="0" w:space="0" w:color="auto"/>
          </w:divBdr>
        </w:div>
        <w:div w:id="1572547623">
          <w:marLeft w:val="0"/>
          <w:marRight w:val="0"/>
          <w:marTop w:val="0"/>
          <w:marBottom w:val="0"/>
          <w:divBdr>
            <w:top w:val="none" w:sz="0" w:space="0" w:color="auto"/>
            <w:left w:val="none" w:sz="0" w:space="0" w:color="auto"/>
            <w:bottom w:val="none" w:sz="0" w:space="0" w:color="auto"/>
            <w:right w:val="none" w:sz="0" w:space="0" w:color="auto"/>
          </w:divBdr>
        </w:div>
      </w:divsChild>
    </w:div>
    <w:div w:id="622469761">
      <w:bodyDiv w:val="1"/>
      <w:marLeft w:val="0"/>
      <w:marRight w:val="0"/>
      <w:marTop w:val="0"/>
      <w:marBottom w:val="0"/>
      <w:divBdr>
        <w:top w:val="none" w:sz="0" w:space="0" w:color="auto"/>
        <w:left w:val="none" w:sz="0" w:space="0" w:color="auto"/>
        <w:bottom w:val="none" w:sz="0" w:space="0" w:color="auto"/>
        <w:right w:val="none" w:sz="0" w:space="0" w:color="auto"/>
      </w:divBdr>
    </w:div>
    <w:div w:id="686517999">
      <w:bodyDiv w:val="1"/>
      <w:marLeft w:val="0"/>
      <w:marRight w:val="0"/>
      <w:marTop w:val="0"/>
      <w:marBottom w:val="0"/>
      <w:divBdr>
        <w:top w:val="none" w:sz="0" w:space="0" w:color="auto"/>
        <w:left w:val="none" w:sz="0" w:space="0" w:color="auto"/>
        <w:bottom w:val="none" w:sz="0" w:space="0" w:color="auto"/>
        <w:right w:val="none" w:sz="0" w:space="0" w:color="auto"/>
      </w:divBdr>
    </w:div>
    <w:div w:id="735511610">
      <w:bodyDiv w:val="1"/>
      <w:marLeft w:val="0"/>
      <w:marRight w:val="0"/>
      <w:marTop w:val="0"/>
      <w:marBottom w:val="0"/>
      <w:divBdr>
        <w:top w:val="none" w:sz="0" w:space="0" w:color="auto"/>
        <w:left w:val="none" w:sz="0" w:space="0" w:color="auto"/>
        <w:bottom w:val="none" w:sz="0" w:space="0" w:color="auto"/>
        <w:right w:val="none" w:sz="0" w:space="0" w:color="auto"/>
      </w:divBdr>
    </w:div>
    <w:div w:id="925649994">
      <w:bodyDiv w:val="1"/>
      <w:marLeft w:val="0"/>
      <w:marRight w:val="0"/>
      <w:marTop w:val="0"/>
      <w:marBottom w:val="0"/>
      <w:divBdr>
        <w:top w:val="none" w:sz="0" w:space="0" w:color="auto"/>
        <w:left w:val="none" w:sz="0" w:space="0" w:color="auto"/>
        <w:bottom w:val="none" w:sz="0" w:space="0" w:color="auto"/>
        <w:right w:val="none" w:sz="0" w:space="0" w:color="auto"/>
      </w:divBdr>
    </w:div>
    <w:div w:id="1022055573">
      <w:bodyDiv w:val="1"/>
      <w:marLeft w:val="0"/>
      <w:marRight w:val="0"/>
      <w:marTop w:val="0"/>
      <w:marBottom w:val="0"/>
      <w:divBdr>
        <w:top w:val="none" w:sz="0" w:space="0" w:color="auto"/>
        <w:left w:val="none" w:sz="0" w:space="0" w:color="auto"/>
        <w:bottom w:val="none" w:sz="0" w:space="0" w:color="auto"/>
        <w:right w:val="none" w:sz="0" w:space="0" w:color="auto"/>
      </w:divBdr>
    </w:div>
    <w:div w:id="1175463465">
      <w:bodyDiv w:val="1"/>
      <w:marLeft w:val="0"/>
      <w:marRight w:val="0"/>
      <w:marTop w:val="0"/>
      <w:marBottom w:val="0"/>
      <w:divBdr>
        <w:top w:val="none" w:sz="0" w:space="0" w:color="auto"/>
        <w:left w:val="none" w:sz="0" w:space="0" w:color="auto"/>
        <w:bottom w:val="none" w:sz="0" w:space="0" w:color="auto"/>
        <w:right w:val="none" w:sz="0" w:space="0" w:color="auto"/>
      </w:divBdr>
    </w:div>
    <w:div w:id="1183209278">
      <w:bodyDiv w:val="1"/>
      <w:marLeft w:val="0"/>
      <w:marRight w:val="0"/>
      <w:marTop w:val="0"/>
      <w:marBottom w:val="0"/>
      <w:divBdr>
        <w:top w:val="none" w:sz="0" w:space="0" w:color="auto"/>
        <w:left w:val="none" w:sz="0" w:space="0" w:color="auto"/>
        <w:bottom w:val="none" w:sz="0" w:space="0" w:color="auto"/>
        <w:right w:val="none" w:sz="0" w:space="0" w:color="auto"/>
      </w:divBdr>
      <w:divsChild>
        <w:div w:id="1477381600">
          <w:marLeft w:val="0"/>
          <w:marRight w:val="0"/>
          <w:marTop w:val="0"/>
          <w:marBottom w:val="0"/>
          <w:divBdr>
            <w:top w:val="none" w:sz="0" w:space="0" w:color="auto"/>
            <w:left w:val="none" w:sz="0" w:space="0" w:color="auto"/>
            <w:bottom w:val="none" w:sz="0" w:space="0" w:color="auto"/>
            <w:right w:val="none" w:sz="0" w:space="0" w:color="auto"/>
          </w:divBdr>
          <w:divsChild>
            <w:div w:id="185488792">
              <w:marLeft w:val="0"/>
              <w:marRight w:val="0"/>
              <w:marTop w:val="0"/>
              <w:marBottom w:val="0"/>
              <w:divBdr>
                <w:top w:val="none" w:sz="0" w:space="0" w:color="auto"/>
                <w:left w:val="none" w:sz="0" w:space="0" w:color="auto"/>
                <w:bottom w:val="none" w:sz="0" w:space="0" w:color="auto"/>
                <w:right w:val="none" w:sz="0" w:space="0" w:color="auto"/>
              </w:divBdr>
              <w:divsChild>
                <w:div w:id="1830705722">
                  <w:marLeft w:val="0"/>
                  <w:marRight w:val="0"/>
                  <w:marTop w:val="0"/>
                  <w:marBottom w:val="0"/>
                  <w:divBdr>
                    <w:top w:val="none" w:sz="0" w:space="0" w:color="auto"/>
                    <w:left w:val="none" w:sz="0" w:space="0" w:color="auto"/>
                    <w:bottom w:val="none" w:sz="0" w:space="0" w:color="auto"/>
                    <w:right w:val="none" w:sz="0" w:space="0" w:color="auto"/>
                  </w:divBdr>
                  <w:divsChild>
                    <w:div w:id="16999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1513">
      <w:bodyDiv w:val="1"/>
      <w:marLeft w:val="0"/>
      <w:marRight w:val="0"/>
      <w:marTop w:val="0"/>
      <w:marBottom w:val="0"/>
      <w:divBdr>
        <w:top w:val="none" w:sz="0" w:space="0" w:color="auto"/>
        <w:left w:val="none" w:sz="0" w:space="0" w:color="auto"/>
        <w:bottom w:val="none" w:sz="0" w:space="0" w:color="auto"/>
        <w:right w:val="none" w:sz="0" w:space="0" w:color="auto"/>
      </w:divBdr>
    </w:div>
    <w:div w:id="1407722556">
      <w:bodyDiv w:val="1"/>
      <w:marLeft w:val="0"/>
      <w:marRight w:val="0"/>
      <w:marTop w:val="0"/>
      <w:marBottom w:val="0"/>
      <w:divBdr>
        <w:top w:val="none" w:sz="0" w:space="0" w:color="auto"/>
        <w:left w:val="none" w:sz="0" w:space="0" w:color="auto"/>
        <w:bottom w:val="none" w:sz="0" w:space="0" w:color="auto"/>
        <w:right w:val="none" w:sz="0" w:space="0" w:color="auto"/>
      </w:divBdr>
      <w:divsChild>
        <w:div w:id="1957367357">
          <w:marLeft w:val="0"/>
          <w:marRight w:val="0"/>
          <w:marTop w:val="0"/>
          <w:marBottom w:val="0"/>
          <w:divBdr>
            <w:top w:val="none" w:sz="0" w:space="0" w:color="auto"/>
            <w:left w:val="none" w:sz="0" w:space="0" w:color="auto"/>
            <w:bottom w:val="none" w:sz="0" w:space="0" w:color="auto"/>
            <w:right w:val="none" w:sz="0" w:space="0" w:color="auto"/>
          </w:divBdr>
        </w:div>
      </w:divsChild>
    </w:div>
    <w:div w:id="1536775053">
      <w:bodyDiv w:val="1"/>
      <w:marLeft w:val="0"/>
      <w:marRight w:val="0"/>
      <w:marTop w:val="0"/>
      <w:marBottom w:val="0"/>
      <w:divBdr>
        <w:top w:val="none" w:sz="0" w:space="0" w:color="auto"/>
        <w:left w:val="none" w:sz="0" w:space="0" w:color="auto"/>
        <w:bottom w:val="none" w:sz="0" w:space="0" w:color="auto"/>
        <w:right w:val="none" w:sz="0" w:space="0" w:color="auto"/>
      </w:divBdr>
    </w:div>
    <w:div w:id="1555776937">
      <w:bodyDiv w:val="1"/>
      <w:marLeft w:val="0"/>
      <w:marRight w:val="0"/>
      <w:marTop w:val="0"/>
      <w:marBottom w:val="0"/>
      <w:divBdr>
        <w:top w:val="none" w:sz="0" w:space="0" w:color="auto"/>
        <w:left w:val="none" w:sz="0" w:space="0" w:color="auto"/>
        <w:bottom w:val="none" w:sz="0" w:space="0" w:color="auto"/>
        <w:right w:val="none" w:sz="0" w:space="0" w:color="auto"/>
      </w:divBdr>
    </w:div>
    <w:div w:id="1602562769">
      <w:bodyDiv w:val="1"/>
      <w:marLeft w:val="0"/>
      <w:marRight w:val="0"/>
      <w:marTop w:val="0"/>
      <w:marBottom w:val="0"/>
      <w:divBdr>
        <w:top w:val="none" w:sz="0" w:space="0" w:color="auto"/>
        <w:left w:val="none" w:sz="0" w:space="0" w:color="auto"/>
        <w:bottom w:val="none" w:sz="0" w:space="0" w:color="auto"/>
        <w:right w:val="none" w:sz="0" w:space="0" w:color="auto"/>
      </w:divBdr>
    </w:div>
    <w:div w:id="1647734940">
      <w:bodyDiv w:val="1"/>
      <w:marLeft w:val="0"/>
      <w:marRight w:val="0"/>
      <w:marTop w:val="0"/>
      <w:marBottom w:val="0"/>
      <w:divBdr>
        <w:top w:val="none" w:sz="0" w:space="0" w:color="auto"/>
        <w:left w:val="none" w:sz="0" w:space="0" w:color="auto"/>
        <w:bottom w:val="none" w:sz="0" w:space="0" w:color="auto"/>
        <w:right w:val="none" w:sz="0" w:space="0" w:color="auto"/>
      </w:divBdr>
    </w:div>
    <w:div w:id="1697732922">
      <w:bodyDiv w:val="1"/>
      <w:marLeft w:val="0"/>
      <w:marRight w:val="0"/>
      <w:marTop w:val="0"/>
      <w:marBottom w:val="0"/>
      <w:divBdr>
        <w:top w:val="none" w:sz="0" w:space="0" w:color="auto"/>
        <w:left w:val="none" w:sz="0" w:space="0" w:color="auto"/>
        <w:bottom w:val="none" w:sz="0" w:space="0" w:color="auto"/>
        <w:right w:val="none" w:sz="0" w:space="0" w:color="auto"/>
      </w:divBdr>
    </w:div>
    <w:div w:id="1699889596">
      <w:bodyDiv w:val="1"/>
      <w:marLeft w:val="0"/>
      <w:marRight w:val="0"/>
      <w:marTop w:val="0"/>
      <w:marBottom w:val="0"/>
      <w:divBdr>
        <w:top w:val="none" w:sz="0" w:space="0" w:color="auto"/>
        <w:left w:val="none" w:sz="0" w:space="0" w:color="auto"/>
        <w:bottom w:val="none" w:sz="0" w:space="0" w:color="auto"/>
        <w:right w:val="none" w:sz="0" w:space="0" w:color="auto"/>
      </w:divBdr>
      <w:divsChild>
        <w:div w:id="2099910600">
          <w:marLeft w:val="0"/>
          <w:marRight w:val="0"/>
          <w:marTop w:val="0"/>
          <w:marBottom w:val="0"/>
          <w:divBdr>
            <w:top w:val="none" w:sz="0" w:space="0" w:color="auto"/>
            <w:left w:val="none" w:sz="0" w:space="0" w:color="auto"/>
            <w:bottom w:val="none" w:sz="0" w:space="0" w:color="auto"/>
            <w:right w:val="none" w:sz="0" w:space="0" w:color="auto"/>
          </w:divBdr>
        </w:div>
      </w:divsChild>
    </w:div>
    <w:div w:id="1762682475">
      <w:bodyDiv w:val="1"/>
      <w:marLeft w:val="0"/>
      <w:marRight w:val="0"/>
      <w:marTop w:val="0"/>
      <w:marBottom w:val="0"/>
      <w:divBdr>
        <w:top w:val="none" w:sz="0" w:space="0" w:color="auto"/>
        <w:left w:val="none" w:sz="0" w:space="0" w:color="auto"/>
        <w:bottom w:val="none" w:sz="0" w:space="0" w:color="auto"/>
        <w:right w:val="none" w:sz="0" w:space="0" w:color="auto"/>
      </w:divBdr>
    </w:div>
    <w:div w:id="1781141067">
      <w:bodyDiv w:val="1"/>
      <w:marLeft w:val="0"/>
      <w:marRight w:val="0"/>
      <w:marTop w:val="0"/>
      <w:marBottom w:val="0"/>
      <w:divBdr>
        <w:top w:val="none" w:sz="0" w:space="0" w:color="auto"/>
        <w:left w:val="none" w:sz="0" w:space="0" w:color="auto"/>
        <w:bottom w:val="none" w:sz="0" w:space="0" w:color="auto"/>
        <w:right w:val="none" w:sz="0" w:space="0" w:color="auto"/>
      </w:divBdr>
      <w:divsChild>
        <w:div w:id="718013760">
          <w:marLeft w:val="0"/>
          <w:marRight w:val="0"/>
          <w:marTop w:val="0"/>
          <w:marBottom w:val="0"/>
          <w:divBdr>
            <w:top w:val="none" w:sz="0" w:space="0" w:color="auto"/>
            <w:left w:val="none" w:sz="0" w:space="0" w:color="auto"/>
            <w:bottom w:val="none" w:sz="0" w:space="0" w:color="auto"/>
            <w:right w:val="none" w:sz="0" w:space="0" w:color="auto"/>
          </w:divBdr>
          <w:divsChild>
            <w:div w:id="1437602755">
              <w:marLeft w:val="0"/>
              <w:marRight w:val="0"/>
              <w:marTop w:val="0"/>
              <w:marBottom w:val="0"/>
              <w:divBdr>
                <w:top w:val="none" w:sz="0" w:space="0" w:color="auto"/>
                <w:left w:val="none" w:sz="0" w:space="0" w:color="auto"/>
                <w:bottom w:val="none" w:sz="0" w:space="0" w:color="auto"/>
                <w:right w:val="none" w:sz="0" w:space="0" w:color="auto"/>
              </w:divBdr>
              <w:divsChild>
                <w:div w:id="1684550325">
                  <w:marLeft w:val="0"/>
                  <w:marRight w:val="0"/>
                  <w:marTop w:val="0"/>
                  <w:marBottom w:val="0"/>
                  <w:divBdr>
                    <w:top w:val="none" w:sz="0" w:space="0" w:color="auto"/>
                    <w:left w:val="none" w:sz="0" w:space="0" w:color="auto"/>
                    <w:bottom w:val="none" w:sz="0" w:space="0" w:color="auto"/>
                    <w:right w:val="none" w:sz="0" w:space="0" w:color="auto"/>
                  </w:divBdr>
                  <w:divsChild>
                    <w:div w:id="9719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2518">
      <w:bodyDiv w:val="1"/>
      <w:marLeft w:val="0"/>
      <w:marRight w:val="0"/>
      <w:marTop w:val="0"/>
      <w:marBottom w:val="0"/>
      <w:divBdr>
        <w:top w:val="none" w:sz="0" w:space="0" w:color="auto"/>
        <w:left w:val="none" w:sz="0" w:space="0" w:color="auto"/>
        <w:bottom w:val="none" w:sz="0" w:space="0" w:color="auto"/>
        <w:right w:val="none" w:sz="0" w:space="0" w:color="auto"/>
      </w:divBdr>
    </w:div>
    <w:div w:id="2018455674">
      <w:bodyDiv w:val="1"/>
      <w:marLeft w:val="0"/>
      <w:marRight w:val="0"/>
      <w:marTop w:val="0"/>
      <w:marBottom w:val="0"/>
      <w:divBdr>
        <w:top w:val="none" w:sz="0" w:space="0" w:color="auto"/>
        <w:left w:val="none" w:sz="0" w:space="0" w:color="auto"/>
        <w:bottom w:val="none" w:sz="0" w:space="0" w:color="auto"/>
        <w:right w:val="none" w:sz="0" w:space="0" w:color="auto"/>
      </w:divBdr>
      <w:divsChild>
        <w:div w:id="2018732096">
          <w:marLeft w:val="0"/>
          <w:marRight w:val="0"/>
          <w:marTop w:val="0"/>
          <w:marBottom w:val="0"/>
          <w:divBdr>
            <w:top w:val="none" w:sz="0" w:space="0" w:color="auto"/>
            <w:left w:val="none" w:sz="0" w:space="0" w:color="auto"/>
            <w:bottom w:val="none" w:sz="0" w:space="0" w:color="auto"/>
            <w:right w:val="none" w:sz="0" w:space="0" w:color="auto"/>
          </w:divBdr>
        </w:div>
      </w:divsChild>
    </w:div>
    <w:div w:id="21364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7215-B1AA-466C-B3DC-9B676B75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2287</Words>
  <Characters>11050</Characters>
  <Application>Microsoft Office Word</Application>
  <DocSecurity>0</DocSecurity>
  <Lines>208</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Steinert, Alina</dc:creator>
  <cp:keywords>class='Internal'</cp:keywords>
  <dc:description/>
  <cp:lastModifiedBy>Ines Varvodic</cp:lastModifiedBy>
  <cp:revision>2</cp:revision>
  <cp:lastPrinted>2021-01-13T10:56:00Z</cp:lastPrinted>
  <dcterms:created xsi:type="dcterms:W3CDTF">2022-03-22T10:03:00Z</dcterms:created>
  <dcterms:modified xsi:type="dcterms:W3CDTF">2022-03-22T10:03:00Z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Initiant">
    <vt:lpwstr>Bundesministerium fÃ¼r ErnÃ¤hrung und Landwirtschaft</vt:lpwstr>
  </property>
  <property fmtid="{D5CDD505-2E9C-101B-9397-08002B2CF9AE}" pid="3" name="Bearbeitungsstand">
    <vt:lpwstr>Bearbeitungsstand: 11.10.2021  12:12</vt:lpwstr>
  </property>
  <property fmtid="{D5CDD505-2E9C-101B-9397-08002B2CF9AE}" pid="4" name="DQP-Ergebnis für Version 4">
    <vt:lpwstr>23 Fehler, 26 Warnungen</vt:lpwstr>
  </property>
  <property fmtid="{D5CDD505-2E9C-101B-9397-08002B2CF9AE}" pid="5" name="Meta_Bezeichnung">
    <vt:lpwstr>Verordnung zur Anpassung nationaler Rechtsvorschriften an unionsrechtliche Vorschriften über Aromen und Aromen enthaltende Lebensmittel</vt:lpwstr>
  </property>
  <property fmtid="{D5CDD505-2E9C-101B-9397-08002B2CF9AE}" pid="6" name="Meta_Kurzbezeichnung">
    <vt:lpwstr/>
  </property>
  <property fmtid="{D5CDD505-2E9C-101B-9397-08002B2CF9AE}" pid="7" name="Meta_Abkürzung">
    <vt:lpwstr/>
  </property>
  <property fmtid="{D5CDD505-2E9C-101B-9397-08002B2CF9AE}" pid="8" name="Meta_Typ der Vorschrift">
    <vt:lpwstr>Artikelverordnung</vt:lpwstr>
  </property>
  <property fmtid="{D5CDD505-2E9C-101B-9397-08002B2CF9AE}" pid="9" name="Meta_Federführung">
    <vt:lpwstr>zu Durchführungsverordnung über Aromen und Aromen enthaltende Lebensmittel: </vt:lpwstr>
  </property>
  <property fmtid="{D5CDD505-2E9C-101B-9397-08002B2CF9AE}" pid="10" name="Meta_Umsetzung von EU-Recht">
    <vt:lpwstr>e Verpflichtungen aus der Richtlinie (EU) 2015/1535 des Europäischen Parlaments und des Rates vom 9. September 2015 über ein Informationsverfahren auf dem Gebiet der technischen Vorschriften und der Vorschriften für die Dienste der Informationsgesellschaf</vt:lpwstr>
  </property>
  <property fmtid="{D5CDD505-2E9C-101B-9397-08002B2CF9AE}" pid="11" name="Meta_Umsetzung von EU-Recht_2">
    <vt:lpwstr>t (ABl. L 241 vom 17.9.2015, S. 1) sind beachtet worden.</vt:lpwstr>
  </property>
  <property fmtid="{D5CDD505-2E9C-101B-9397-08002B2CF9AE}" pid="12" name="Meta_Anlagen">
    <vt:lpwstr/>
  </property>
</Properties>
</file>