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133A" w14:textId="77777777" w:rsidR="0000330D" w:rsidRDefault="0000330D" w:rsidP="000033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/>
          <w:sz w:val="20"/>
        </w:rPr>
        <w:t> </w:t>
      </w:r>
    </w:p>
    <w:p w14:paraId="6CA9779A" w14:textId="77777777" w:rsidR="00E6020A" w:rsidRPr="008542C3" w:rsidRDefault="00E6020A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Przepisy dotyczące automatycznych systemów ważenia stosowanych przy wyładunku ryb</w:t>
      </w:r>
    </w:p>
    <w:p w14:paraId="3C5E3F7D" w14:textId="77777777" w:rsidR="00E6020A" w:rsidRPr="008542C3" w:rsidRDefault="0000330D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color w:val="000000"/>
        </w:rPr>
      </w:pPr>
      <w:r>
        <w:rPr>
          <w:rStyle w:val="bcx9"/>
          <w:rFonts w:ascii="Calibri" w:hAnsi="Calibri"/>
          <w:b/>
          <w:sz w:val="22"/>
        </w:rPr>
        <w:t> </w:t>
      </w:r>
      <w:r>
        <w:rPr>
          <w:rFonts w:ascii="Calibri" w:hAnsi="Calibri"/>
          <w:b/>
          <w:sz w:val="22"/>
        </w:rPr>
        <w:br/>
      </w:r>
      <w:r>
        <w:rPr>
          <w:rStyle w:val="normaltextrun"/>
          <w:rFonts w:ascii="Palatino Linotype" w:hAnsi="Palatino Linotype"/>
        </w:rPr>
        <w:t xml:space="preserve">przyjęte przez Norweski Urząd Metrologiczny </w:t>
      </w:r>
      <w:r>
        <w:rPr>
          <w:rStyle w:val="normaltextrun"/>
          <w:rFonts w:ascii="Palatino Linotype" w:hAnsi="Palatino Linotype"/>
          <w:color w:val="000000"/>
        </w:rPr>
        <w:t xml:space="preserve">[...] </w:t>
      </w:r>
      <w:r>
        <w:rPr>
          <w:rStyle w:val="normaltextrun"/>
          <w:rFonts w:ascii="Palatino Linotype" w:hAnsi="Palatino Linotype"/>
        </w:rPr>
        <w:t xml:space="preserve"> zgodnie </w:t>
      </w:r>
      <w:r>
        <w:rPr>
          <w:rStyle w:val="normaltextrun"/>
          <w:rFonts w:ascii="Palatino Linotype" w:hAnsi="Palatino Linotype"/>
          <w:color w:val="000000"/>
        </w:rPr>
        <w:t xml:space="preserve">§ 7 i § 10 ustawy nr 4 z dnia 26 stycznia 2007 r. o jednostkach miary, pomiarach i czasie standardowym, oraz § 4-5arozporządzenia </w:t>
      </w:r>
      <w:r>
        <w:rPr>
          <w:rStyle w:val="normaltextrun"/>
          <w:rFonts w:ascii="Palatino Linotype" w:hAnsi="Palatino Linotype"/>
        </w:rPr>
        <w:t xml:space="preserve"> nr 1723 z dnia 20 grudnia 2007 r. w sprawie jednostek miary i pomiarów.</w:t>
      </w:r>
      <w:r>
        <w:rPr>
          <w:rStyle w:val="normaltextrun"/>
          <w:rFonts w:ascii="Palatino Linotype" w:hAnsi="Palatino Linotype"/>
          <w:color w:val="000000"/>
        </w:rPr>
        <w:t xml:space="preserve"> </w:t>
      </w:r>
    </w:p>
    <w:p w14:paraId="06B671A9" w14:textId="77777777" w:rsidR="00E6020A" w:rsidRPr="005F7B8C" w:rsidRDefault="00E6020A" w:rsidP="0000330D">
      <w:pPr>
        <w:pStyle w:val="paragraph"/>
        <w:spacing w:before="0" w:beforeAutospacing="0" w:after="0" w:afterAutospacing="0"/>
        <w:textAlignment w:val="baseline"/>
        <w:rPr>
          <w:rStyle w:val="fontstyle31"/>
        </w:rPr>
      </w:pPr>
    </w:p>
    <w:p w14:paraId="20330C4E" w14:textId="77777777" w:rsidR="00003D0E" w:rsidRPr="008542C3" w:rsidRDefault="00003D0E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</w:rPr>
      </w:pPr>
      <w:r>
        <w:rPr>
          <w:rFonts w:ascii="ArialMT" w:hAnsi="ArialMT"/>
          <w:color w:val="333333"/>
        </w:rPr>
        <w:br/>
      </w:r>
      <w:r>
        <w:rPr>
          <w:rStyle w:val="normaltextrun"/>
          <w:rFonts w:ascii="Palatino Linotype" w:hAnsi="Palatino Linotype"/>
          <w:b/>
        </w:rPr>
        <w:t>Rozdział 1 – Przepisy wstępne</w:t>
      </w:r>
    </w:p>
    <w:p w14:paraId="616BD0BE" w14:textId="77777777" w:rsidR="00371CFB" w:rsidRPr="008542C3" w:rsidRDefault="00371CFB" w:rsidP="00371CFB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1. Zakres</w:t>
      </w:r>
    </w:p>
    <w:p w14:paraId="00340303" w14:textId="77777777" w:rsidR="00371CFB" w:rsidRPr="008542C3" w:rsidRDefault="00371CFB" w:rsidP="004D03F8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Przepisy określają wymogi dotyczące automatycznych systemów ważenia stosowanych przy wyładunku ryb.</w:t>
      </w:r>
    </w:p>
    <w:p w14:paraId="66643279" w14:textId="77777777" w:rsidR="00371CFB" w:rsidRPr="008542C3" w:rsidRDefault="00371CFB" w:rsidP="004D03F8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Wymogi dotyczące automatycznego systemu ważenia oraz wymogi dotyczące danych z ważenia i danych o zdarzeniach w systemie ważenia, które mają być przechowywane i przekazywane do Dyrekcji ds. Rybołówstwa, wynikają z przepisów z dnia 6 maja 2014 r. nr 607 w kwitu wyładunkowego i rozliczeniowego (przepisy dotyczące wyładunku).</w:t>
      </w:r>
    </w:p>
    <w:p w14:paraId="2CF1487E" w14:textId="77777777" w:rsidR="00371CFB" w:rsidRPr="008542C3" w:rsidRDefault="00371CFB" w:rsidP="004D03F8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Jeżeli udzielono odstępstwa na art. 6a przepisów dotyczących wyładunku, wymogi określone w art. 5-7 przepisów nie mają zastosowania w tym przypadku.</w:t>
      </w:r>
    </w:p>
    <w:p w14:paraId="3F76C74A" w14:textId="77777777" w:rsidR="00371CFB" w:rsidRPr="005F7B8C" w:rsidRDefault="00371CFB" w:rsidP="00371C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</w:p>
    <w:p w14:paraId="4AC84098" w14:textId="77777777" w:rsidR="0000330D" w:rsidRPr="008542C3" w:rsidRDefault="00371CFB" w:rsidP="00371C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2. Definicje.</w:t>
      </w:r>
    </w:p>
    <w:p w14:paraId="7F62D178" w14:textId="77777777"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Ryby oznaczają dzikie zasoby morskie i ich produkty, z wyjątkiem łososiowatych anadromicznych.</w:t>
      </w:r>
    </w:p>
    <w:p w14:paraId="0D0AE906" w14:textId="77777777"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Przez wyładunek rozumie się wszystkie przypadki, w których ryby są wyładowywane ze statków rybackich, w tym przeładunek i rozładunek ryb ze statków przewożących przeładowywane ryby, a także wyładowywanie ryb z luków/klatek/worków/. W ramach wyładunku uwzględnia się natychmiastowe patroszenie ryb dennych.</w:t>
      </w:r>
    </w:p>
    <w:p w14:paraId="769A4B8A" w14:textId="77777777"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Przez automatyczny system ważenia rozumie się system składający się z jednej lub większej liczby wag i innych elementów niezbędnych do zapewnienia automatycznego przechowywania i przekazywania danych dotyczących ważenia i danych dotyczących zdarzeń w systemie ważenia, które mogą mieć wpływ na wynik ważenia.</w:t>
      </w:r>
    </w:p>
    <w:p w14:paraId="1850EE76" w14:textId="77777777" w:rsidR="004D03F8" w:rsidRPr="008542C3" w:rsidRDefault="004D03F8" w:rsidP="0088015B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 xml:space="preserve"> </w:t>
      </w:r>
      <w:r>
        <w:rPr>
          <w:rStyle w:val="eop"/>
          <w:rFonts w:ascii="Palatino Linotype" w:hAnsi="Palatino Linotype"/>
          <w:color w:val="000000"/>
        </w:rPr>
        <w:tab/>
        <w:t>Przez automatyczne oznacza się, że proces odbywa się bez interwencji operatora.</w:t>
      </w:r>
    </w:p>
    <w:p w14:paraId="3D149541" w14:textId="77777777" w:rsidR="004D03F8" w:rsidRPr="008542C3" w:rsidRDefault="004D03F8" w:rsidP="004D03F8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lastRenderedPageBreak/>
        <w:t>§ 3. Kto jest odpowiedzialny</w:t>
      </w:r>
    </w:p>
    <w:p w14:paraId="59AEAA97" w14:textId="77777777" w:rsidR="004D03F8" w:rsidRPr="008542C3" w:rsidRDefault="004D03F8" w:rsidP="004D03F8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Użytkownik automatycznego systemu ważenia jest odpowiedzialny za zapewnienie przestrzegania wymogów określonych w rozdziale 2 niniejszych przepisów. Użytkownik jest również odpowiedzialny za zapewnienie dostępności dokumentacji technicznej niezbędnej do oceny, czy wymagania zostały spełnione.</w:t>
      </w:r>
    </w:p>
    <w:p w14:paraId="1CD343BD" w14:textId="77777777" w:rsidR="004D03F8" w:rsidRPr="005F7B8C" w:rsidRDefault="004D03F8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</w:p>
    <w:p w14:paraId="6FDA7E2D" w14:textId="77777777" w:rsidR="004D03F8" w:rsidRPr="008542C3" w:rsidRDefault="004D03F8" w:rsidP="00665E58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b/>
          <w:color w:val="000000"/>
        </w:rPr>
        <w:t xml:space="preserve">§ 4. Wymagania dla producentów itp. </w:t>
      </w:r>
    </w:p>
    <w:p w14:paraId="2C27805B" w14:textId="77777777" w:rsidR="0000330D" w:rsidRPr="008542C3" w:rsidRDefault="004D03F8" w:rsidP="00665E58">
      <w:pPr>
        <w:pStyle w:val="paragraph"/>
        <w:spacing w:before="0" w:beforeAutospacing="0" w:after="0" w:afterAutospacing="0"/>
        <w:ind w:firstLine="708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Każdy producent wag wykorzystywanych podczas wyładunku ryb, dostępnych na rynku, powiadamia Norweski Urząd Metrologiczny o tożsamości kupującego, jak również o rodzaju wagi, miejscu użytkowania i celu użytkowania. </w:t>
      </w:r>
    </w:p>
    <w:p w14:paraId="0273EE37" w14:textId="77777777" w:rsidR="00665E58" w:rsidRPr="005F7B8C" w:rsidRDefault="00665E58" w:rsidP="00665E58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/>
        </w:rPr>
      </w:pPr>
    </w:p>
    <w:p w14:paraId="34866E93" w14:textId="77777777" w:rsidR="00665E58" w:rsidRPr="008542C3" w:rsidRDefault="00665E58" w:rsidP="00665E58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b/>
          <w:color w:val="000000"/>
        </w:rPr>
        <w:t>Rozdział 2 - Wymagania dotyczące automatycznych systemów ważenia</w:t>
      </w:r>
      <w:r>
        <w:rPr>
          <w:rStyle w:val="eop"/>
          <w:rFonts w:ascii="Palatino Linotype" w:hAnsi="Palatino Linotype"/>
          <w:color w:val="000000"/>
        </w:rPr>
        <w:t xml:space="preserve"> </w:t>
      </w:r>
    </w:p>
    <w:p w14:paraId="244CD8E5" w14:textId="77777777" w:rsidR="00665E58" w:rsidRPr="008542C3" w:rsidRDefault="00665E58" w:rsidP="00665E58">
      <w:pPr>
        <w:pStyle w:val="paragraph"/>
        <w:spacing w:after="0"/>
        <w:textAlignment w:val="baseline"/>
        <w:rPr>
          <w:rStyle w:val="eop"/>
          <w:rFonts w:ascii="Palatino Linotype" w:hAnsi="Palatino Linotype" w:cs="Segoe UI"/>
          <w:b/>
          <w:color w:val="000000"/>
        </w:rPr>
      </w:pPr>
      <w:r>
        <w:rPr>
          <w:rStyle w:val="eop"/>
          <w:rFonts w:ascii="Palatino Linotype" w:hAnsi="Palatino Linotype"/>
          <w:b/>
          <w:color w:val="000000"/>
        </w:rPr>
        <w:t>§ 5. Przechowywanie i przekazywanie danych</w:t>
      </w:r>
    </w:p>
    <w:p w14:paraId="33298B5B" w14:textId="77777777" w:rsidR="00665E58" w:rsidRPr="008542C3" w:rsidRDefault="00665E58" w:rsidP="00665E58">
      <w:pPr>
        <w:pStyle w:val="paragraph"/>
        <w:spacing w:after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/>
          <w:color w:val="000000"/>
        </w:rPr>
        <w:t>System ważenia zapewnia automatyczne przechowywanie i przesyłanie danych dotyczących ważenia, a także automatyczne przechowywanie i przekazywanie danych dotyczących zdarzeń w układzie ważenia, które mogą mieć wpływ na wynik ważenia.</w:t>
      </w:r>
    </w:p>
    <w:p w14:paraId="5BD3E472" w14:textId="77777777" w:rsidR="005022D1" w:rsidRPr="008542C3" w:rsidRDefault="005022D1" w:rsidP="008801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6. Obsługa błędów</w:t>
      </w:r>
    </w:p>
    <w:p w14:paraId="6AEFC0B4" w14:textId="77777777" w:rsidR="0088015B" w:rsidRPr="005F7B8C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</w:p>
    <w:p w14:paraId="0AC0AAB0" w14:textId="77777777" w:rsidR="005022D1" w:rsidRPr="008542C3" w:rsidRDefault="005022D1" w:rsidP="005022D1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System ważenia posiada funkcje przechowywania i przekazywania informacji o błędach występujących podczas używania wagi. System ważenia musi również posiadać zintegrowaną funkcję umożliwiającą zgłaszanie, poprawianie i przedkładanie nowej wersji w przypadku błędów i pominięć w przesyłanych danych. Zmiana już zarejestrowanych danych nie może być możliwa.</w:t>
      </w:r>
    </w:p>
    <w:p w14:paraId="1C60C7A1" w14:textId="77777777" w:rsidR="005022D1" w:rsidRPr="008542C3" w:rsidRDefault="005022D1" w:rsidP="005022D1">
      <w:pPr>
        <w:pStyle w:val="paragraph"/>
        <w:spacing w:after="0"/>
        <w:jc w:val="both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7. Jakość danych, integralność i dostępność danych</w:t>
      </w:r>
    </w:p>
    <w:p w14:paraId="47D72CFA" w14:textId="77777777" w:rsidR="005022D1" w:rsidRPr="008542C3" w:rsidRDefault="005022D1" w:rsidP="005022D1">
      <w:pPr>
        <w:pStyle w:val="paragraph"/>
        <w:spacing w:after="0"/>
        <w:ind w:firstLine="708"/>
        <w:jc w:val="both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System ważenia musi zapewniać wysoką jakość danych i integralność danych. Elementy i oprogramowanie systemu ważenia, które mają kluczowe znaczenie dla przechowywania danych ważących i zdarzeń w systemie ważenia, są zaprojektowane w taki sposób, aby były zabezpieczone przed naruszeniem i niezamierzonym niewłaściwym użyciem. Zastosowane środki bezpieczeństwa muszą umożliwiać udowodnienie, czy interwencja miała miejsce. Wszystkie incydenty i informacje o zakończonych ważeniach muszą być przechowywane wraz z bezpiecznym znacznikiem czasu.</w:t>
      </w:r>
    </w:p>
    <w:p w14:paraId="24E54338" w14:textId="77777777" w:rsidR="005022D1" w:rsidRPr="008542C3" w:rsidRDefault="005022D1" w:rsidP="005022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lastRenderedPageBreak/>
        <w:t>Przechowywane dane ważenia i dane o zdarzeniach wagowych muszą być zabezpieczone, aby dane nie zostały utracone.</w:t>
      </w:r>
    </w:p>
    <w:p w14:paraId="0A50915D" w14:textId="77777777" w:rsidR="005022D1" w:rsidRPr="008542C3" w:rsidRDefault="0000330D" w:rsidP="005022D1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/>
        </w:rPr>
      </w:pPr>
      <w:r>
        <w:rPr>
          <w:rStyle w:val="eop"/>
          <w:rFonts w:ascii="Palatino Linotype" w:hAnsi="Palatino Linotype"/>
          <w:color w:val="000000"/>
        </w:rPr>
        <w:t> </w:t>
      </w:r>
    </w:p>
    <w:p w14:paraId="4FE56457" w14:textId="77777777" w:rsidR="005022D1" w:rsidRPr="008542C3" w:rsidRDefault="005022D1" w:rsidP="005022D1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b/>
        </w:rPr>
      </w:pPr>
      <w:r>
        <w:rPr>
          <w:rFonts w:ascii="Palatino Linotype" w:hAnsi="Palatino Linotype"/>
          <w:b/>
        </w:rPr>
        <w:t>§ 8. Wymogi dotyczące wag w systemie ważenia</w:t>
      </w:r>
    </w:p>
    <w:p w14:paraId="2E47495B" w14:textId="77777777" w:rsidR="005022D1" w:rsidRPr="008542C3" w:rsidRDefault="005022D1" w:rsidP="005022D1">
      <w:pPr>
        <w:pStyle w:val="paragraph"/>
        <w:spacing w:after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 xml:space="preserve">Waga stosowana przy wyładunku ryb musi być być wyposażona w główny wyświetlaczu, tak aby fizycznie możliwy był odczyt m.in. ważonych ilości itp. oraz obsługa w sposób ciągły i bezpośredni, a jednocześnie monitorowanie aktywności na wadze lub wokół niej. </w:t>
      </w:r>
    </w:p>
    <w:p w14:paraId="7FD5E32C" w14:textId="77777777" w:rsidR="005022D1" w:rsidRPr="008542C3" w:rsidRDefault="005022D1" w:rsidP="005022D1">
      <w:pPr>
        <w:pStyle w:val="paragraph"/>
        <w:spacing w:after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>Ważona ilość wyładowanych ryb musi być możliwa do odczytu w sposób ciągły. Użytkownik musi mieć możliwość natychmiastowego powrotu do trybu odczytu z innych opcji menu.</w:t>
      </w:r>
    </w:p>
    <w:p w14:paraId="4B791B40" w14:textId="77777777" w:rsidR="00E77317" w:rsidRPr="008542C3" w:rsidRDefault="005022D1" w:rsidP="005022D1">
      <w:pPr>
        <w:pStyle w:val="paragraph"/>
        <w:spacing w:before="0" w:beforeAutospacing="0" w:after="0" w:afterAutospacing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>Wagi są wyposażone w mechanizmy zabezpieczające, określone w dokumencie badania typu. W przypadku stosowania plomb fizycznych muszą one nosić niepowtarzalne znaki identyfikacyjny.</w:t>
      </w:r>
    </w:p>
    <w:p w14:paraId="0017414B" w14:textId="77777777" w:rsidR="005022D1" w:rsidRPr="008542C3" w:rsidRDefault="005022D1" w:rsidP="005022D1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9. Dodatkowe wymagania dotyczące automatycznych wag</w:t>
      </w:r>
    </w:p>
    <w:p w14:paraId="173081F6" w14:textId="77777777"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Automatyczna waga musi być wyposażona w co najmniej jeden wyświetlacz dodatkowy, który wskazuje wynik ważenia z głównego wyświetlacza. Wyświetlacz dodatkowy nie powinien mieć funkcji, które mogą wpływać na wynik ważenia. Wyświetlacz dodatkowy musi mieć taką samą rozdzielczość jak główny wyświetlacz.</w:t>
      </w:r>
    </w:p>
    <w:p w14:paraId="3AF6782F" w14:textId="77777777"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Waga automatyczna musi być wyposażona w więcej niż jeden licznik, przy czym jeden musi być licznikiem całkowitej liczby ważeń, który działa w sposób ciągły i nie może zostać zresetowany.</w:t>
      </w:r>
    </w:p>
    <w:p w14:paraId="1C6D84F4" w14:textId="77777777"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Waga automatyczna musi mieć funkcję wykrywania błędów możliwych do wykrycia. W przypadku wykrycia takiego błędu podawanie ryb na wagę zostaje automatycznie zatrzymane.</w:t>
      </w:r>
      <w:r>
        <w:rPr>
          <w:rStyle w:val="normaltextrun"/>
          <w:rFonts w:ascii="Palatino Linotype" w:hAnsi="Palatino Linotype"/>
          <w:color w:val="000000"/>
        </w:rPr>
        <w:tab/>
        <w:t xml:space="preserve"> </w:t>
      </w:r>
    </w:p>
    <w:p w14:paraId="309238CB" w14:textId="77777777" w:rsidR="005022D1" w:rsidRPr="008542C3" w:rsidRDefault="0088015B" w:rsidP="005022D1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</w:rPr>
        <w:t>Wagi przenośnikowe pracujące w trybie ciągłym</w:t>
      </w:r>
      <w:r>
        <w:t xml:space="preserve"> </w:t>
      </w:r>
      <w:r>
        <w:rPr>
          <w:rStyle w:val="normaltextrun"/>
          <w:rFonts w:ascii="Palatino Linotype" w:hAnsi="Palatino Linotype"/>
          <w:color w:val="000000"/>
        </w:rPr>
        <w:t xml:space="preserve"> muszą być resetowane przy rozruchu oraz co 30 minut. W razie niewykonania resetu podawanie ryb na wagę zostaje automatycznie zatrzymane.  </w:t>
      </w:r>
    </w:p>
    <w:p w14:paraId="74998767" w14:textId="77777777" w:rsidR="005022D1" w:rsidRPr="008542C3" w:rsidRDefault="0088015B" w:rsidP="0088015B">
      <w:pPr>
        <w:pStyle w:val="paragraph"/>
        <w:spacing w:after="0"/>
        <w:ind w:firstLine="708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</w:rPr>
        <w:t xml:space="preserve"> Wagi przenośnikowe pracujące w trybie ciągłym</w:t>
      </w:r>
      <w:r>
        <w:t xml:space="preserve"> </w:t>
      </w:r>
      <w:r>
        <w:rPr>
          <w:rStyle w:val="normaltextrun"/>
          <w:rFonts w:ascii="Palatino Linotype" w:hAnsi="Palatino Linotype"/>
          <w:color w:val="000000"/>
        </w:rPr>
        <w:t xml:space="preserve">, sumujące wagę pojemników muszą być wyposażone w przełącznik wymuszający obciążenie do uruchomienia pasa. </w:t>
      </w:r>
    </w:p>
    <w:p w14:paraId="40EC7B72" w14:textId="77777777" w:rsidR="005022D1" w:rsidRPr="008542C3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lastRenderedPageBreak/>
        <w:t>Przełącznik, o którym mowa powyżej, oraz szafka elektryczna wagi automatycznej muszą być zaplombowane. Plomby są opatrzone niepowtarzalnym znakiem identyfikacyjnym.</w:t>
      </w:r>
    </w:p>
    <w:p w14:paraId="4B489629" w14:textId="77777777" w:rsidR="005022D1" w:rsidRPr="005F7B8C" w:rsidRDefault="005022D1" w:rsidP="0000330D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Cs/>
          <w:color w:val="000000"/>
        </w:rPr>
      </w:pPr>
    </w:p>
    <w:p w14:paraId="3AB58341" w14:textId="77777777" w:rsidR="0088015B" w:rsidRPr="008542C3" w:rsidRDefault="0088015B" w:rsidP="0088015B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Rozdział 3 Przepisy końcowe</w:t>
      </w:r>
    </w:p>
    <w:p w14:paraId="60791EB7" w14:textId="77777777" w:rsidR="0088015B" w:rsidRPr="008542C3" w:rsidRDefault="0088015B" w:rsidP="0088015B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color w:val="000000"/>
        </w:rPr>
      </w:pPr>
      <w:r>
        <w:rPr>
          <w:rStyle w:val="normaltextrun"/>
          <w:rFonts w:ascii="Palatino Linotype" w:hAnsi="Palatino Linotype"/>
          <w:b/>
          <w:color w:val="000000"/>
        </w:rPr>
        <w:t>§ 10. Kara za naruszenie przepisów</w:t>
      </w:r>
    </w:p>
    <w:p w14:paraId="219C44F9" w14:textId="04168816" w:rsidR="00BC3B46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/>
          <w:color w:val="000000"/>
        </w:rPr>
      </w:pPr>
      <w:r>
        <w:rPr>
          <w:rStyle w:val="normaltextrun"/>
          <w:rFonts w:ascii="Palatino Linotype" w:hAnsi="Palatino Linotype"/>
          <w:color w:val="000000"/>
        </w:rPr>
        <w:t>Naruszenie niniejszych przepisów podlega karze grzywny, której wymiar określa rozdział 7 przepisów o jednostkach miary i pomiarach.</w:t>
      </w:r>
    </w:p>
    <w:p w14:paraId="6F6F6DC2" w14:textId="77777777" w:rsidR="005F7B8C" w:rsidRPr="008542C3" w:rsidRDefault="005F7B8C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color w:val="000000"/>
        </w:rPr>
      </w:pPr>
    </w:p>
    <w:p w14:paraId="030ECCEB" w14:textId="77777777" w:rsidR="0000330D" w:rsidRPr="008542C3" w:rsidRDefault="0000330D" w:rsidP="009D6B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/>
          <w:b/>
          <w:color w:val="000000"/>
        </w:rPr>
        <w:t xml:space="preserve">§ 11. </w:t>
      </w:r>
      <w:r>
        <w:rPr>
          <w:rFonts w:ascii="Palatino Linotype" w:hAnsi="Palatino Linotype"/>
          <w:b/>
          <w:color w:val="000000"/>
        </w:rPr>
        <w:t>Wejście w życie</w:t>
      </w:r>
      <w:r>
        <w:rPr>
          <w:rFonts w:ascii="Palatino Linotype" w:hAnsi="Palatino Linotype"/>
          <w:color w:val="000000"/>
        </w:rPr>
        <w:t xml:space="preserve"> Niniejsze przepisy wchodzą w życie (...)</w:t>
      </w:r>
      <w:r>
        <w:rPr>
          <w:rFonts w:ascii="Palatino Linotype" w:hAnsi="Palatino Linotype"/>
          <w:color w:val="000000"/>
        </w:rPr>
        <w:br/>
      </w:r>
    </w:p>
    <w:p w14:paraId="69D7F948" w14:textId="77777777" w:rsidR="00AE7F4A" w:rsidRPr="005F7B8C" w:rsidRDefault="00AE7F4A"/>
    <w:sectPr w:rsidR="00AE7F4A" w:rsidRPr="005F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0D"/>
    <w:rsid w:val="0000330D"/>
    <w:rsid w:val="00003D0E"/>
    <w:rsid w:val="002A2FC9"/>
    <w:rsid w:val="00371CFB"/>
    <w:rsid w:val="004D03F8"/>
    <w:rsid w:val="005022D1"/>
    <w:rsid w:val="005F7B8C"/>
    <w:rsid w:val="00665E58"/>
    <w:rsid w:val="008542C3"/>
    <w:rsid w:val="0088015B"/>
    <w:rsid w:val="009D6B20"/>
    <w:rsid w:val="00AE7F4A"/>
    <w:rsid w:val="00B21C7A"/>
    <w:rsid w:val="00BC3B46"/>
    <w:rsid w:val="00E6020A"/>
    <w:rsid w:val="00E711F2"/>
    <w:rsid w:val="00E7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5B0C"/>
  <w15:chartTrackingRefBased/>
  <w15:docId w15:val="{D3FE9ED7-C37D-417D-BB21-99AFA46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DefaultParagraphFont"/>
    <w:rsid w:val="0000330D"/>
  </w:style>
  <w:style w:type="character" w:customStyle="1" w:styleId="normaltextrun">
    <w:name w:val="normaltextrun"/>
    <w:basedOn w:val="DefaultParagraphFont"/>
    <w:rsid w:val="0000330D"/>
  </w:style>
  <w:style w:type="character" w:customStyle="1" w:styleId="spellingerror">
    <w:name w:val="spellingerror"/>
    <w:basedOn w:val="DefaultParagraphFont"/>
    <w:rsid w:val="0000330D"/>
  </w:style>
  <w:style w:type="character" w:customStyle="1" w:styleId="bcx9">
    <w:name w:val="bcx9"/>
    <w:basedOn w:val="DefaultParagraphFont"/>
    <w:rsid w:val="0000330D"/>
  </w:style>
  <w:style w:type="character" w:customStyle="1" w:styleId="fontstyle01">
    <w:name w:val="fontstyle01"/>
    <w:basedOn w:val="DefaultParagraphFont"/>
    <w:rsid w:val="00003D0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3D0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03D0E"/>
    <w:rPr>
      <w:rFonts w:ascii="ArialMT" w:hAnsi="ArialMT" w:hint="default"/>
      <w:b w:val="0"/>
      <w:bCs w:val="0"/>
      <w:i w:val="0"/>
      <w:iCs w:val="0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Justervesenet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Hallenstvedt</dc:creator>
  <cp:keywords/>
  <dc:description/>
  <cp:lastModifiedBy>Dimitris Dimitriadis</cp:lastModifiedBy>
  <cp:revision>4</cp:revision>
  <dcterms:created xsi:type="dcterms:W3CDTF">2021-08-20T09:04:00Z</dcterms:created>
  <dcterms:modified xsi:type="dcterms:W3CDTF">2021-08-30T09:04:00Z</dcterms:modified>
</cp:coreProperties>
</file>