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RO-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COLECȚIA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DE LEGI</w:t>
      </w:r>
    </w:p>
    <w:p w14:paraId="6FE20770" w14:textId="77777777" w:rsidR="009A7616" w:rsidRPr="000269C4" w:rsidRDefault="00F72AF9" w:rsidP="00A358E1">
      <w:pPr>
        <w:spacing w:line="276" w:lineRule="auto"/>
        <w:ind w:right="30"/>
        <w:jc w:val="center"/>
        <w:rPr>
          <w:sz w:val="40"/>
          <w:szCs w:val="20"/>
        </w:rPr>
      </w:pPr>
      <w:r>
        <w:rPr>
          <w:sz w:val="40"/>
        </w:rPr>
        <w:t xml:space="preserve">A REPUBLICII SLOVACE</w:t>
      </w:r>
    </w:p>
    <w:p w14:paraId="4D443B8A" w14:textId="77777777" w:rsidR="009A7616" w:rsidRPr="000269C4" w:rsidRDefault="00F72AF9" w:rsidP="00A358E1">
      <w:pPr>
        <w:spacing w:line="276" w:lineRule="auto"/>
        <w:ind w:right="30"/>
        <w:jc w:val="center"/>
        <w:rPr>
          <w:sz w:val="36"/>
          <w:szCs w:val="20"/>
        </w:rPr>
      </w:pPr>
      <w:r>
        <w:rPr>
          <w:sz w:val="36"/>
        </w:rPr>
        <w:t xml:space="preserve">Volumul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Promulgată:</w:t>
      </w:r>
      <w:r>
        <w:rPr>
          <w:sz w:val="20"/>
        </w:rPr>
        <w:t xml:space="preserve"> </w:t>
      </w:r>
      <w:r>
        <w:rPr>
          <w:sz w:val="20"/>
        </w:rPr>
        <w:t xml:space="preserve">24 ianuarie 2020</w:t>
        <w:tab/>
        <w:t xml:space="preserve">Versiunea promulgată din Colecția de Legi a Republicii Slovace</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Conținutul documentului are caracter juridic obligatoriu.</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D E C R E T  D E  P U N E R E  Î N  A P L I C A R E</w:t>
      </w:r>
    </w:p>
    <w:p w14:paraId="6AFDB39C" w14:textId="77777777" w:rsidR="009A7616" w:rsidRPr="000269C4" w:rsidRDefault="00F72AF9" w:rsidP="00A358E1">
      <w:pPr>
        <w:spacing w:line="276" w:lineRule="auto"/>
        <w:ind w:right="30"/>
        <w:jc w:val="center"/>
        <w:rPr>
          <w:b/>
          <w:sz w:val="20"/>
          <w:szCs w:val="20"/>
        </w:rPr>
      </w:pPr>
      <w:r>
        <w:rPr>
          <w:b/>
          <w:sz w:val="20"/>
        </w:rPr>
        <w:t xml:space="preserve">al Ministerului Transporturilor și Construcțiilor din Republica Slovacă</w:t>
      </w:r>
    </w:p>
    <w:p w14:paraId="21E05BBD" w14:textId="77777777" w:rsidR="009A7616" w:rsidRPr="000269C4" w:rsidRDefault="00F72AF9" w:rsidP="00A358E1">
      <w:pPr>
        <w:spacing w:line="276" w:lineRule="auto"/>
        <w:ind w:right="30"/>
        <w:jc w:val="center"/>
        <w:rPr>
          <w:sz w:val="20"/>
          <w:szCs w:val="20"/>
        </w:rPr>
      </w:pPr>
      <w:r>
        <w:rPr>
          <w:sz w:val="20"/>
        </w:rPr>
        <w:t xml:space="preserve">din 14 ianuarie 2020,</w:t>
      </w:r>
    </w:p>
    <w:p w14:paraId="372C2313" w14:textId="77777777" w:rsidR="009A7616" w:rsidRPr="000269C4" w:rsidRDefault="00F72AF9" w:rsidP="00A358E1">
      <w:pPr>
        <w:spacing w:line="276" w:lineRule="auto"/>
        <w:ind w:right="30"/>
        <w:jc w:val="center"/>
        <w:rPr>
          <w:b/>
          <w:sz w:val="20"/>
          <w:szCs w:val="20"/>
        </w:rPr>
      </w:pPr>
      <w:r>
        <w:rPr>
          <w:b/>
          <w:sz w:val="20"/>
        </w:rPr>
        <w:t xml:space="preserve">de modificare a Decretului de punere în aplicare nr. 162/2013 al Ministerului Transporturilor, Construcțiilor și Dezvoltării Regionale din Republica Slovacă de stabilire a unei liste a grupurilor de produse pentru construcții și a sistemelor pentru evaluarea performanței acestora, astfel cum a fost modificat prin Decretul de punere în aplicare nr.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Ministerul Transporturilor și Construcțiilor din Republica Slovacă, în conformitate cu articolul 13 alineatul (2) din Legea nr. 133/2013 privind produsele pentru construcții și modificările anumitor legi, stabilește următoarele:</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Articolul I</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Decretul de punere în aplicare nr. 162/2013 al Ministerului Transporturilor, Construcțiilor și Dezvoltării Regionale din Republica Slovacă de stabilire a unei liste a grupurilor de produse pentru construcții și a sistemelor pentru evaluarea performanței acestora, astfel cum a fost modificat prin Decretul de punere în aplicare nr. 177/2016 se modifică după cum urmează:</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După articolul 7a se introduce un nou articol 7b care are formularea următoare:</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„Articolul 7b</w:t>
      </w:r>
    </w:p>
    <w:p w14:paraId="1A6ADF6C" w14:textId="77777777" w:rsidR="009A7616" w:rsidRPr="000269C4" w:rsidRDefault="00F72AF9" w:rsidP="00A358E1">
      <w:pPr>
        <w:spacing w:line="276" w:lineRule="auto"/>
        <w:ind w:right="30"/>
        <w:jc w:val="center"/>
        <w:rPr>
          <w:b/>
          <w:sz w:val="20"/>
          <w:szCs w:val="20"/>
        </w:rPr>
      </w:pPr>
      <w:r>
        <w:rPr>
          <w:b/>
          <w:sz w:val="20"/>
        </w:rPr>
        <w:t xml:space="preserve">Dispoziții tranzitorii privind modificările care vor intra în vigoare de la 1 martie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Evaluările privind performanța produselor pentru construcții care au fost inițiate, dar care nu au fost finalizate până la 29 februarie 2020, se efectuează conform reglementărilor în vigoare cel târziu până la 31 august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Evaluările privind performanța produselor pentru construcții din grupele 0409, 0410, 0511, 0517, 0522, 0523, 0524, 0525, 0702, 0716, 1005, 1201, 1607, 1901, 2205, 2206, 3101, 3311, 3314, 3805, 4106, 4601, 4611 și 4614 se efectuează cu ajutorul mijloacelor prevăzute, până la 31 august 2020.”</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Anexa 1 are formularea următoare:</w:t>
      </w:r>
    </w:p>
    <w:p w14:paraId="187D9104" w14:textId="77777777" w:rsidR="009A7616" w:rsidRPr="000269C4" w:rsidRDefault="00F72AF9" w:rsidP="00A358E1">
      <w:pPr>
        <w:pageBreakBefore/>
        <w:spacing w:line="276" w:lineRule="auto"/>
        <w:ind w:right="29"/>
        <w:jc w:val="right"/>
        <w:rPr>
          <w:b/>
          <w:sz w:val="20"/>
          <w:szCs w:val="20"/>
        </w:rPr>
      </w:pPr>
      <w:r>
        <w:rPr>
          <w:sz w:val="20"/>
          <w:b/>
        </w:rPr>
        <w:t xml:space="preserve">„Anexa 1</w:t>
      </w:r>
    </w:p>
    <w:p w14:paraId="24311834" w14:textId="77777777" w:rsidR="009A7616" w:rsidRPr="000269C4" w:rsidRDefault="00F72AF9" w:rsidP="00A358E1">
      <w:pPr>
        <w:spacing w:line="276" w:lineRule="auto"/>
        <w:ind w:right="30"/>
        <w:jc w:val="right"/>
        <w:rPr>
          <w:b/>
          <w:sz w:val="20"/>
          <w:szCs w:val="20"/>
        </w:rPr>
      </w:pPr>
      <w:r>
        <w:rPr>
          <w:b/>
          <w:sz w:val="20"/>
        </w:rPr>
        <w:t xml:space="preserve">la Decretul de punere în aplicare nr.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GRUPURI DE PRODUSE PENTRU CONSTRUCȚII ȘI SISTEME DEFINITE PENTRU EVALUAREA PERFORMANȚEI</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Suprafața pe care se utilizează produsul</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Nr.</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Denumirea produsului</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Clasificarea produsului</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PAS</w:t>
            </w:r>
            <w:r>
              <w:rPr>
                <w:sz w:val="20"/>
                <w:vertAlign w:val="superscript"/>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Produse pentru fundațiile unei clădiri și lucrări de construcții de terasamente și fundații</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Geosintetice (membrane și textile), geocompozite, georețele, geomembrane și geosite pentru separarea, protecția, drenarea, filtrarea sau consolidarea solului</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Stabilizarea și hidroizolarea amestecurilor pentru fundațiile structurilor, inclusiv pentru fundațiile drumurilor sau ale căilor ferate</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Stâlpi prefabricați și elemente structurale conexe</w:t>
            </w:r>
            <w:r>
              <w:rPr>
                <w:sz w:val="20"/>
                <w:vertAlign w:val="superscript"/>
              </w:rPr>
              <w:t xml:space="preserve">b)</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Grinzi și baze de fundație</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Produse destinate ancorării în rocă și straturi de sol cu capacitate portantă</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Ancore în pământ și rocă</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Produse pentru susținerea zidurilor și a structurilor hidraulice</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Elemente de susținere a zidurilor din beton</w:t>
            </w:r>
            <w:r>
              <w:rPr>
                <w:sz w:val="20"/>
                <w:vertAlign w:val="superscript"/>
              </w:rPr>
              <w:t xml:space="preserve">c</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Piatră pentru gabioane</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Plase pentru gabioane</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Blocuri de gabioane</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Piatră pentru structuri hidraulice</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În funcție de categoria structurii hidraulice:</w:t>
            </w:r>
            <w:r>
              <w:rPr>
                <w:sz w:val="20"/>
                <w:vertAlign w:val="superscript"/>
              </w:rPr>
              <w:t xml:space="preserve">9</w:t>
            </w:r>
            <w:r>
              <w:rPr>
                <w:sz w:val="20"/>
              </w:rPr>
              <w:t xml:space="preserve">)</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Categoriile I, II și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Categoria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Membrane de protecție împotriva umezelii, a apei și a radonului</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Benzi și folii de protecție împotriva infiltrării apei și împotriva radonului pentru etajele construite deasupra solului (care nu au subsol) și pentru zonele construite subteran (subsol)</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Benzi împotriva infiltrării apei pentru pereți de cărămidă</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Straturi de protecție împotriva aburului și permeabile la abur pentru ziduri și acoperișuri</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Folii de placare a acoperișului și alte tipuri de membrane de placare a acoperișului</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Straturi de bază pentru acoperiș</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Agenți de acoperire de protecție împotriva infiltrării apei pentru etajele construite deasupra solului, în zonele subterane ale structurilor și pavaje și dale subterane</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(2+)e)</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Produse care necesită încercarea REF</w:t>
            </w:r>
            <w:r>
              <w:rPr>
                <w:sz w:val="20"/>
                <w:vertAlign w:val="superscript"/>
              </w:rPr>
              <w:t xml:space="preserve">f</w:t>
            </w:r>
            <w:r>
              <w:rPr>
                <w:sz w:val="20"/>
              </w:rPr>
              <w:t xml:space="preserve">)</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Produse care nu necesită încercarea REF</w:t>
            </w:r>
            <w:r>
              <w:rPr>
                <w:sz w:val="20"/>
                <w:vertAlign w:val="superscript"/>
              </w:rPr>
              <w:t xml:space="preserve">f</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Benzi de protecție împotriva infiltrării apei pentru tablierele podurilor din beton</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Seturi/sisteme împotriva infiltrării apei pentru tablierele podurilor</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Benzi de protecție împotriva infiltrării apei și a umflării</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Benzi, folii, straturi de acoperire sau sisteme pentru protecția piscinelor din clădiri (interioare) împotriva infiltrării apei</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Produse pentru drumuri, pasarele și alte zone de trafic</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Asfalturi naturale și modificate și emulsii de asfalt pentru construcția drumurilor și tratarea suprafeței drumurilor</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Amestecuri de asfalt pentru construcția drumurilor și tratarea suprafeței zonelor de trafic</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în conformitate cu articolul 4 alineatul (2) litera (a)</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în conformitate cu articolul 4 alineatul (2) litera (b),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(A1FLFL-EFL) în conformitate cu articolul 4 alineatul (1),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Vârfuri culisante și suprafețe pentru beton</w:t>
            </w:r>
            <w:r>
              <w:rPr>
                <w:sz w:val="20"/>
                <w:vertAlign w:val="superscript"/>
              </w:rPr>
              <w:t xml:space="preserve">c</w:t>
            </w:r>
            <w:r>
              <w:rPr>
                <w:sz w:val="20"/>
              </w:rPr>
              <w:t xml:space="preserve">) drumuri</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Rosturi de dilatare la poduri</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Piese prefabricate pentru parapeți de pod</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Rosturi de dilatare pentru zonele de trafic, cu excepția podurilor</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Suprafața și masticurile pentru trotuare, altele decât instalațiile chimice, drumurile și alte zone de trafic, pistele aeroportuare și stațiile de epurare</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Plăci, pavele și borduri din piatră naturală pentru pavaj exterior</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Pavele din beton, dale și borduri pentru pavaj exterior</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Piatră de pavaj</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Elemente de pavaj, inclusiv pavele, pietre de pavaj, pietre de borduri (cu excepția produselor din grupurile 0508 și 0509), lucarne din beton armat cu sticlă, pardoseli din plăci metalice, plăci cu grilaje sau plăci cu grătare, grilaje de pardoseală și trepte de scări, dale solide, ardezie, mozaicuri și gresie Terrazzo</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Suprafețe de vegetație pentru zonele cu volum redus al traficului</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Sisteme de interzicere a accesului vehiculelor — bariere, elemente de atenuare a impactului, bariere mobile, cabluri și parapeți</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Sisteme de oprire pentru protecția pietonilor</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Semafoare, semafoare permanente și semnalizatoare luminoase</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Indicatoare rutiere verticale, indicatoare rutiere variabile, stâlpi pentru indicatoare rutiere și dispozitive de semnalizare luminoasă, stâlpi reflectorizanți de indicare a direcției, stâlpi de bariere și dispozitive de dirijare concepute pentru a fi instalate permanent</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Indicatoare rutiere orizontale prefabricate și stâlpi rutieri reflectorizanți și elemente reflectorizante și optice pentru marcaje rutiere orizontale</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Substanțe de acoperire pentru marcaje rutiere orizontale, termoplastice aplicate la cald, materiale plastice aplicate la rece cu sau fără agregate antiderapante, dotate sau nu cu granule de sticlă, sau introduse pe piață cu o specificație a tipului și proporțiilor granulelor de sticlă sau ale agregatelor antiderapante</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Granule de sticlă, agregate antiderapante și amestecuri ale acestora utilizate ca materiale turnate pentru indicatoarele rutiere orizontale</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Pereți și dispozitive antifonice</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Dispozitive antiorbire pentru vehicule și surse de lumină externe</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Elemente reflectorizante care restricționează accesul animalelor pe drumuri</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Produse pentru crearea benzilor de ghidare, avertizare și semnalizare pentru nevăzători</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Adezivi și substanțe pentru lipirea barierelor și dispozitivelor de ghidare concepute să fie instalate permanent, indicatoare și marcaje rutiere orizontale prefabricate</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Produse speciale pentru tratarea suprafețelor zonelor de trafic</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în conformitate cu articolul 4 alineatul (2) litera (a)</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în conformitate cu articolul 4 alineatul (2) litera (b),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(A1FLFL-EFL) în conformitate cu articolul 4 alineatul (1),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Stâlpi</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Stâlpi de iluminat din oțel, aluminiu și polimeri armați cu fibre</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Stâlpi de iluminat din beton armat și beton precomprimat</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Stâlpi din lemn pentru liniile electrice aeriene</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Alți stâlpi prefabricați sau piese de construcție prefabricate ale acestora pentru linii electrice aeriene, funiculare, echipamente de telecomunicații, turbine eoliene și echipamente similare</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Produse tehnologice de tratare a apelor uzate</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Țevi și fitinguri din beton nearmat, beton armat cu fibre de oțel și beton armat, cu sau fără izolație, pentru conducte de canalizare</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Alte conducte și fitinguri și garnituri, regulatoare de debit, canale de derivație și supape vortex pentru conducte de canalizare</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Tuburi și fitinguri pentru conductele de evacuare a deșeurilor din clădiri</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Guri de vizitare și camere de inspecție a conductelor de canalizare</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Trepte, scări și balustrade ale gurilor de vizitare din camera de inspecție</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Robinete de admisie a aerului în conductele de ventilație pentru conductele de evacuare a deșeurilor din clădiri</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Captatoare și separatoare pentru apele uzate din clădiri și structuri de construcții civile</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Sisteme de stații de pompare a apelor uzate și echipamente de ridicare a deșeurilor lichide</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Sisteme și elemente ale stațiilor de tratare a apelor uzate menajere și ale instalațiilor de tratare aflate pe șantierele de construcții</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Fose septice</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Canalele prefabricate de scurgere (rigole) pentru drumuri</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Capace pentru gurile de vizitare și grătare de infiltrare a apei pluviale pentru drumuri</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Colectoare pentru puțurile de decantare</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Rigole pentru pardoseală</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Podeț dalat realizat din beton</w:t>
            </w:r>
            <w:r>
              <w:rPr>
                <w:sz w:val="20"/>
                <w:vertAlign w:val="superscript"/>
              </w:rPr>
              <w:t xml:space="preserve">c</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Canale de evacuare de mari dimensiuni</w:t>
            </w:r>
            <w:r>
              <w:rPr>
                <w:sz w:val="20"/>
                <w:vertAlign w:val="superscript"/>
              </w:rPr>
              <w:t xml:space="preserve">b</w:t>
            </w:r>
            <w:r>
              <w:rPr>
                <w:sz w:val="20"/>
              </w:rPr>
              <w:t xml:space="preserve">)</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Canale de evacuare de mici dimensiuni cu capacitate portantă</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Țevi de drenaj și blocuri de infiltrare</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Rulmenți pentru construcții</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Rulmenți sferici și cilindrici cu PTFE</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Alte rulmenți pentru construcția clădirilor și construcții civile, în cazul în care deformarea rulmenților ar duce la imposibilitatea de utilizare a clădirii sau a unei părți a acesteia sau clădirea ar fi la limita de utilizare</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Rulmenți pentru alte tipuri de construcții</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Dispozitive antiseismice</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Agregate</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Agregate pentru beton</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Agregate pentru mortar</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pentru mortare pentru zidărie</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pentru alte tipuri de mortare</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Agregate ușoare pentru beton, mortar și mortar de injecție</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pentru betoane, mortare pentru zidărie și mortare de injecție</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pentru alte tipuri de mortare</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Agregate pentru straturi de fundație pentru traverse și pentru construcția stratului de suport al șinelor</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tipul de cale ferată:</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pentru căile ferate de mare viteză</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pentru alte tipuri de căi ferate</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Agregate pentru materiale necimentate și pentru materiale cimentate hidraulic pentru construcția drumurilor</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pentru construcția drumurilor cu volume de trafic din clasele I, II, III și IV</w:t>
            </w:r>
            <w:r>
              <w:rPr>
                <w:sz w:val="20"/>
                <w:vertAlign w:val="superscript"/>
              </w:rPr>
              <w:t xml:space="preserve">10</w:t>
            </w:r>
            <w:r>
              <w:rPr>
                <w:sz w:val="20"/>
              </w:rPr>
              <w:t xml:space="preserve">) și construcția pistelor aeroporturilor</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pentru construcția drumurilor cu volume de trafic din clasele V și VI</w:t>
            </w:r>
            <w:r>
              <w:rPr>
                <w:sz w:val="20"/>
                <w:vertAlign w:val="superscript"/>
              </w:rPr>
              <w:t xml:space="preserve">10</w:t>
            </w:r>
            <w:r>
              <w:rPr>
                <w:sz w:val="20"/>
              </w:rPr>
              <w:t xml:space="preserve">)</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Amestecuri cimentate hidraulic și necimentate pentru construcția drumurilor și a altor zone de trafic</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pentru construcția drumurilor cu volume de trafic din clasele I, II, III și IV</w:t>
            </w:r>
            <w:r>
              <w:rPr>
                <w:sz w:val="20"/>
                <w:vertAlign w:val="superscript"/>
              </w:rPr>
              <w:t xml:space="preserve">10</w:t>
            </w:r>
            <w:r>
              <w:rPr>
                <w:sz w:val="20"/>
              </w:rPr>
              <w:t xml:space="preserve">) și construcția pistelor aeroporturilor</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pentru construcția drumurilor cu volume de trafic din clasele V și VI</w:t>
            </w:r>
            <w:r>
              <w:rPr>
                <w:sz w:val="20"/>
                <w:vertAlign w:val="superscript"/>
              </w:rPr>
              <w:t xml:space="preserve">10</w:t>
            </w:r>
            <w:r>
              <w:rPr>
                <w:sz w:val="20"/>
              </w:rPr>
              <w:t xml:space="preserve">)</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Agregate pentru amestecuri asfaltice și pentru tratamente de suprafață pentru drumuri, aeroporturi și alte zone de trafic</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În funcție de scop:</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pentru straturile șlefuite</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pentru alte straturi</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Tipuri de ciment, calcar și alți lianți</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Cimenturi și cimenturi mixte obișnuite pentru prepararea betonului, mortarului, mortarului de injecție (chit) și a altor amestecuri</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Cimenturi speciale rezistente la temperaturi scăzute, cimenturi albe, cimenturi rezistente la sulf și apă de mare, cimenturi cu alcalinitate scăzută, cimenturi de aluminat de calciu cu o căldură cu hidratare foarte scăzută, cimenturi de furnal cu o rezistență inițială scăzută, cimenturi pentru zidărie și cimenturi pentru pregătirea betonului, mortar, mortar de injecție (chit) și alte amestecuri</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Var de construcție, inclusiv var nestins, var dolomitic și var hidraulic pentru prepararea betonului, mortarului, mortarului de injecție (chit) și a altor amestecuri</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Lianți hidraulici pentru producerea de amestecuri pentru straturile de fundare a zonelor de trafic și lianți hidraulici pentru fabricarea de mortare</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Cimenturi hibride pentru prepararea betonului, mortarului, mortarului de injecție (chit) și a altor amestecuri</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Tipuri de beton, mortar, amestecuri injectabile, aditivi și amestecuri</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Betoane produse în stații de amestecare a betonului fixe sau mobile</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Beton aplicat prin pulverizare</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Amestecuri pentru mortare de injecție (chituri)</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Mortare produse în fabrică pentru zidărie și alte substanțe pentru zidărie</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tip:</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mortar propus</w:t>
            </w:r>
            <w:r>
              <w:rPr>
                <w:sz w:val="20"/>
                <w:vertAlign w:val="superscript"/>
              </w:rPr>
              <w:t xml:space="preserve">g</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mortar cu o compoziție prescrisă</w:t>
            </w:r>
            <w:r>
              <w:rPr>
                <w:sz w:val="20"/>
                <w:vertAlign w:val="superscript"/>
              </w:rPr>
              <w:t xml:space="preserve">g</w:t>
            </w:r>
            <w:r>
              <w:rPr>
                <w:sz w:val="20"/>
              </w:rPr>
              <w:t xml:space="preserve">)</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alte substanțe</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Mortare produse în fabrică pentru straturi de acoperire interioare și exterioare pe bază de lianți anorganici, inclusiv mortare cu izolație termică</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Mortare produse în fabrică pentru alte straturi de acoperire</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Amestecuri pentru betoane și mortare, inclusiv mortare aplicate prin injecție</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tip:</w:t>
            </w:r>
            <w:r>
              <w:rPr>
                <w:sz w:val="20"/>
                <w:vertAlign w:val="superscript"/>
              </w:rPr>
              <w:t xml:space="preserve">h</w:t>
            </w:r>
            <w:r>
              <w:rPr>
                <w:sz w:val="20"/>
              </w:rPr>
              <w:t xml:space="preserve">)</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tipul I</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tipul I</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Aditivi pentru betoane, mortare și chituri și aditivi pentru mortare aplicate prin injecție pentru armătură pretensionată</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armarea și pretensionarea betonului</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Bare, tije, benzi de oțel zimțate, plase și armături spațiale (în formă de grilaj) din oțel sau materiale compozite și produse fabricate industrial prin modelarea acestora</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Fibre pentru creșterea rezistenței betoanelor și a mortarelor, inclusiv a mortarelor aplicate prin injecție (armare dispersată)</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pentru cimenturile și mortarele structurale</w:t>
            </w:r>
            <w:r>
              <w:rPr>
                <w:sz w:val="20"/>
                <w:vertAlign w:val="superscript"/>
              </w:rPr>
              <w:t xml:space="preserve">b</w:t>
            </w:r>
            <w:r>
              <w:rPr>
                <w:sz w:val="20"/>
              </w:rPr>
              <w:t xml:space="preserve">)</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pentru alte tipuri de beton și mortar</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Produse de pretensionare, în special fire, cabluri, bare filetate și cabluri cu nervuri, plane sau netede și de pretensionare</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Sisteme de pretensionare suplimentară a structurilor, cu excepția conductelor și a carcaselor</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Țevi și carcase pentru protecția și gestionarea produselor pretensionate</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Profiluri metalice, produse metalice plate, piese turnate și forjate</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Secțiuni transversale (profiluri) metalice laminate la cald, formate la rece sau fabricate prin alte metode de diferite forme (T, L, H, U, Z, I), canale, profiluri goale, tuburi, produse plate (plăci, foi, benzi), bare (altele decât de armare și pretensionare), elemente turnate și forjate, neprotejate sau protejate împotriva coroziunii prin acoperire, pentru utilizare la construcția structurilor metalice sau la construcția clădirilor, realizate dintr-o combinație de metale și alte materiale</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Elemente de zidărie și produse suplimentare</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Unități de zidărie, cu sau fără materiale de izolare termică integrate, interioare sau exterioare, cu excepția cofrajelor, elementelor de pavaj, garniturilor de șemineu și a panourilor de înălțimea unui singur etaj</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În funcție de categorie:</w:t>
            </w:r>
            <w:r>
              <w:rPr>
                <w:sz w:val="20"/>
                <w:vertAlign w:val="superscript"/>
              </w:rPr>
              <w:t xml:space="preserve">i</w:t>
            </w:r>
            <w:r>
              <w:rPr>
                <w:sz w:val="20"/>
              </w:rPr>
              <w:t xml:space="preserve">)</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categoria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categoria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În scopul pentru care se aplică RFS, clasificat în funcție de RFC:</w:t>
            </w:r>
            <w:r>
              <w:rPr>
                <w:sz w:val="20"/>
                <w:vertAlign w:val="superscript"/>
              </w:rPr>
              <w:t xml:space="preserve">j</w:t>
            </w:r>
            <w:r>
              <w:rPr>
                <w:sz w:val="20"/>
              </w:rPr>
              <w:t xml:space="preserve">)</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Articole suplimentare pentru construcții pentru pereți, în special elemente de fixare, legături, cârlige, unghiuri de susținere, corniere pentru îmbinarea de colț, buiandrugi și armături din oțel pentru îmbinările și conexiunile portante</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Sisteme de placare încorporate</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Sisteme de placare formate din blocuri goale (fitinguri de placare) sau panouri interconectate cu șuruburi fabricate din materiale izolante sau dintr-o combinație de materiale izolante și alte materiale care sunt umplute cu beton sau beton armat și utilizate pentru construcția zidurilor interioare și exterioare, portante sau neportante</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 (A1-E) în conformitate cu articolul 4 alineatul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Sisteme de placare bazate pe fitinguri de beton sau panouri de beton interconectate cu bare</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capacitatea portantă:</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capacitate portantă</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neportantă</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Elemente portante ale clădirilor și structurilor de construcții civile</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Grinzi prefabricate structurale</w:t>
            </w:r>
            <w:r>
              <w:rPr>
                <w:sz w:val="20"/>
                <w:vertAlign w:val="superscript"/>
              </w:rPr>
              <w:t xml:space="preserve">b</w:t>
            </w:r>
            <w:r>
              <w:rPr>
                <w:sz w:val="20"/>
              </w:rPr>
              <w:t xml:space="preserve">) grinzi de legătură, coloane și dale din beton</w:t>
            </w:r>
            <w:r>
              <w:rPr>
                <w:sz w:val="20"/>
                <w:vertAlign w:val="superscript"/>
              </w:rPr>
              <w:t xml:space="preserve">c</w:t>
            </w:r>
            <w:r>
              <w:rPr>
                <w:sz w:val="20"/>
              </w:rPr>
              <w:t xml:space="preserve">) sau elemente de zidărie și metal protejat sau neprotejat împotriva coroziunii prin acoperire, sudate sau nesudate</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Grinzi structurale</w:t>
            </w:r>
            <w:r>
              <w:rPr>
                <w:sz w:val="20"/>
                <w:vertAlign w:val="superscript"/>
              </w:rPr>
              <w:t xml:space="preserve">b</w:t>
            </w:r>
            <w:r>
              <w:rPr>
                <w:sz w:val="20"/>
              </w:rPr>
              <w:t xml:space="preserve">) grinzi de legătură, coloane și dale din lemn laminat lipit</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Grinzi structurale</w:t>
            </w:r>
            <w:r>
              <w:rPr>
                <w:sz w:val="20"/>
                <w:vertAlign w:val="superscript"/>
              </w:rPr>
              <w:t xml:space="preserve">b</w:t>
            </w:r>
            <w:r>
              <w:rPr>
                <w:sz w:val="20"/>
              </w:rPr>
              <w:t xml:space="preserve">) grinzi de legătură, coloane și dale din lemn masiv</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În conformitate cu RFC:</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 (A1-E) în conformitate cu articolul 4 alineatul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Grinzi compozite ușoare și coloane pe bază de lemn cu cel puțin o componentă structurală bazată pe lemn</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Panouri structurale prefabricate pe bază de lemn</w:t>
            </w:r>
            <w:r>
              <w:rPr>
                <w:sz w:val="20"/>
                <w:vertAlign w:val="superscript"/>
              </w:rPr>
              <w:t xml:space="preserve">b</w:t>
            </w:r>
            <w:r>
              <w:rPr>
                <w:sz w:val="20"/>
              </w:rPr>
              <w:t xml:space="preserve">) sub formă de casete închise sau deschise, închise din interior sau din exterior, care conțin eventual o membrană, izolație și elemente de armare și fixare pentru construcția pereților, podelelor, acoperișurilor etc.</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Panouri de beton</w:t>
            </w:r>
            <w:r>
              <w:rPr>
                <w:sz w:val="20"/>
                <w:vertAlign w:val="superscript"/>
              </w:rPr>
              <w:t xml:space="preserve">c</w:t>
            </w:r>
            <w:r>
              <w:rPr>
                <w:sz w:val="20"/>
              </w:rPr>
              <w:t xml:space="preserve">) cu sau fără suporturi pentru liniile de cale ferată și tramvai</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Panouri tip sandwich structurale</w:t>
            </w:r>
            <w:r>
              <w:rPr>
                <w:sz w:val="20"/>
                <w:vertAlign w:val="superscript"/>
              </w:rPr>
              <w:t xml:space="preserve">b</w:t>
            </w:r>
            <w:r>
              <w:rPr>
                <w:sz w:val="20"/>
              </w:rPr>
              <w:t xml:space="preserve">) cu carcasă metalică</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Alte caracteristici</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Sisteme de clădiri, camere și unități de construcții</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Sisteme de clădiri cu structuri din rame de lemn sau structuri formate din bușteni</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Sisteme de clădiri cu structuri metalice sau beton</w:t>
            </w:r>
            <w:r>
              <w:rPr>
                <w:sz w:val="20"/>
                <w:vertAlign w:val="superscript"/>
              </w:rPr>
              <w:t xml:space="preserve">c</w:t>
            </w:r>
            <w:r>
              <w:rPr>
                <w:sz w:val="20"/>
              </w:rPr>
              <w:t xml:space="preserve">) structuri cu cadre</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Clădiri prefabricate, cu excepția garajelor prefabricate</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Sisteme de depozitare la rece fără sistem de răcire pentru instalare în interiorul unei clădiri</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Garaje prefabricate</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Panouri și panouri pe bază de lemn și panouri ușoare compozite</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Plăci pe bază de lemn sub formă de lemn natural lipit, lemn stratificat furniruit (LVL), scânduri lipite între ele, plăci din așchii de lemn orientate (OSB) și plăci de așchii lipite cu ciment sau rășină și plăci din fibre produse prin metoda umedă sau uscată, cu un eventual conținut de substanțe chimice pentru a îmbunătăți reacția la foc și rezistența la atacuri biotice</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 și de reacția la foc:</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elemente structurale</w:t>
            </w:r>
            <w:r>
              <w:rPr>
                <w:sz w:val="20"/>
                <w:vertAlign w:val="superscript"/>
              </w:rPr>
              <w:t xml:space="preserve">b</w:t>
            </w:r>
            <w:r>
              <w:rPr>
                <w:sz w:val="20"/>
              </w:rPr>
              <w:t xml:space="preserve">)</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 (A1-E) în conformitate cu articolul 4 alineatul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elemente neportante</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Panouri izolante autoportante (sandwich) cu foi metalice cu două fețe</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 (A1FL, A2FL, BFL, CFL) în conformitate cu articolul 4 alineatul (2) litera (a)</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(A1FL, A2FL, BFL, CFL) în conformitate cu articolul 4 alineatul (2),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F, (A1FL-EFL) în conformitate cu articolul 4 alineatul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Pentru a despărți compartimentele de incendiu</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Panouri ușoare, autoportante, din material compozit (cu excepția produselor din grupa 1802), care sunt alcătuite dintr-o carcasă fabricată din diverse materiale organice, minerale sau metalice din exterior sau din interior și, eventual, conectată la un cadru interior sau la un nucleu izolant, care sunt destinate construcției pereților interiori și exteriori, a tavanelor și acoperișurilor, precum și aplicării faianței pe pereți</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 (A1FL, A2FL, BFL, CFL) în conformitate cu articolul 4 alineatul (2) litera (a)</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(A1FL, A2FL, BFL, CFL) în conformitate cu articolul 4 alineatul (2),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F, (A1FL-EFL) în conformitate cu articolul 4 alineatul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Pentru a despărți compartimentele de incendiu</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și sisteme de izolare termică</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Sisteme de izolare termică pentru izolarea exterioară a pereților (ETICS) bazate pe plăci destinate izolării termice, fixate sau lipite mecanic</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(b), D, E, (A1-E) în conformitate cu articolul 4 alineatul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Sisteme de izolare termică pentru izolarea termică exterioară a pereților (sisteme Vetures), constând din elemente exterioare din plăci de faianță, un strat termoizolant și elemente de fixare.</w:t>
            </w:r>
            <w:r>
              <w:rPr>
                <w:sz w:val="20"/>
              </w:rPr>
              <w:t xml:space="preserve"> </w:t>
            </w:r>
            <w:r>
              <w:rPr>
                <w:sz w:val="20"/>
              </w:rPr>
              <w:t xml:space="preserve">Plăcile pot fi fixate deja pe stratul de izolație în momentul furnizării sau aceste elemente pot fi fixate pe șantier.</w:t>
            </w:r>
            <w:r>
              <w:rPr>
                <w:sz w:val="20"/>
              </w:rPr>
              <w:t xml:space="preserve"> </w:t>
            </w:r>
            <w:r>
              <w:rPr>
                <w:sz w:val="20"/>
              </w:rPr>
              <w:t xml:space="preserve">Acestea sunt fixate astfel încât să nu existe goluri de aer între stratul de izolație și perete</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Produse de izolare termică sub formă de scânduri, covoare, curele rulante sau cu altă formă, destinate clădirilor</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Produse de izolare termică formate sau aplicate pe șantier din materiale fibroase, suflate sau din spumă, destinate clădirilor</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Produse de izolare termică sub diferite forme, destinate echipamentelor tehnice ale clădirilor și instalațiilor industriale</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Produse de izolare termică pentru drumuri, căi ferate și alte utilizări în construcții (umplere cu materiale ușoare și izolație împotriva înghețului, reducerea presiunii laterale a solului pe pereții de sprijin și pe capetele podurilor, distribuția sarcinii pentru conductele îngropate în șanțuri etc.)</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Sisteme ușoare de placare și sisteme de acoperișuri autoportante</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Fațade cortină</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Ziduri structurale</w:t>
            </w:r>
            <w:r>
              <w:rPr>
                <w:sz w:val="20"/>
                <w:vertAlign w:val="superscript"/>
              </w:rPr>
              <w:t xml:space="preserve">b</w:t>
            </w:r>
            <w:r>
              <w:rPr>
                <w:sz w:val="20"/>
              </w:rPr>
              <w:t xml:space="preserve">) lipite cu fațadă vitrată sau acoperișuri ale aceluiași sistem cu o înclinație minimă de 7°, cu transfer mecanic al greutății proprii și al altor forțe (de exemplu vânt și zăpadă) către cadrul de susținere de etanșare și, ulterior, către structura clădirii</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tip:</w:t>
            </w:r>
            <w:r>
              <w:rPr>
                <w:sz w:val="20"/>
                <w:vertAlign w:val="superscript"/>
              </w:rPr>
              <w:t xml:space="preserve">k</w:t>
            </w:r>
            <w:r>
              <w:rPr>
                <w:sz w:val="20"/>
              </w:rPr>
              <w:t xml:space="preserve">)</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tipurile I și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tipurile II și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Sisteme de acoperiș translucide, autoportante, altele decât sistemele pe bază de sticlă</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produse care nu necesită încercarea REF</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Acoperișuri compozite, ferestre de acoperiș și lucarne</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Țigle, panouri, cornișe, șindrilă și fitinguri pentru acoperișuri — ceramică, beton, fibre de ciment, gresie, piatră, plastic, asfalt etc.</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Panouri plate și modelate, din foi metalice, plastic etc.</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Panouri pentru acoperișuri din materiale compozite și de tip sandwich produse în fabrică, cu sau fără izolație</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Ferestre de acoperiș și lucarne</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produse care nu necesită încercarea REF</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Pentru utilizare în compartimente de incendiu</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Pentru utilizare pentru a contribui la rezistența acoperișului</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Folie de acoperiș și produse turnate</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Straturi rezistente la abur și permeabile la abur, straturi de bază pentru acoperiș și folii de acoperire a acoperișului și alte tipuri de membrane pentru acoperișuri</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Notă:</w:t>
            </w:r>
            <w:r>
              <w:rPr>
                <w:sz w:val="20"/>
              </w:rPr>
              <w:t xml:space="preserve"> </w:t>
            </w:r>
            <w:r>
              <w:rPr>
                <w:sz w:val="20"/>
              </w:rPr>
              <w:t xml:space="preserve">Produsele sunt incluse în grupurile 0403, 0404 și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Sisteme de impermeabilizare a acoperișului aplicate în stare lichidă</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produse care nu necesită încercarea REF</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Sisteme de impermeabilizare a acoperișului aplicate la fața locului folosind asfalt topit sau pulverizator de spumă</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produse care nu necesită încercarea REF</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Sisteme de acoperire impermeabile, flexibile, fixate mecanic, inclusiv sisteme de fixare, îmbinare și tăiere, posibil cu izolație termică</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Sisteme de impermeabilizare și/sau izolare termică pentru sisteme de acoperișuri aplicate prin lipire</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Seturi pentru izolarea inversată a acoperișului</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Accesorii pentru acoperișuri și alte produse pentru acoperișuri</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Sisteme de acces la acoperiș, în special pasarele și trepte către acoperiș, platforme de acces, cârlige de siguranță pentru acoperiș și elemente de ancorare destinate întreținerii și reparației acoperișurilor</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Țigle de acoperiș, țigle de coamă, dolii, coliere de acoperișuri, parapet și panouri pentru intrados de acoperiș</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Plăci de bază solide plate sau modelate acoperite cu un strat de acoperire din material compozit</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Uși, porți și fitinguri</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Uși și porți de incendiu/fum cu sau fără fitinguri pentru împărțirea structurilor compartimentului de incendiu</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Uși și porți pentru căile de evacuare, cu sau fără fitinguri</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Fitinguri structurale (balamale, încuietori, dispozitive de închidere etc.) pentru ușile de incendiu/fum și ușile pentru căile de evacuare</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Uși și porți cu sau fără fitinguri a căror utilizare declarată este condiționată de respectarea cerințelor specifice, în special pentru izolarea fonică și termică și de etanșeitatea și siguranța de utilizare</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Uși și porți cu sau fără fitinguri pentru uz intern între zonele unui mediu similar</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Ferestre</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Ferestre de incendiu/fum cu sau fără fitinguri pentru împărțirea structurilor compartimentului de incendiu</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Ferestre pentru căile de evacuare, cu sau fără fitinguri</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Alte ferestre, cu sau fără fitinguri</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Obloane și jaluzele</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Obloane și jaluzele montate în exterior, cu sau fără fitinguri</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specifice din sticlă, materiale similare sticlei și materialele pentru montarea geamurilor</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Panouri din sticlă plată sau curbată, sticlă cu forme cu sau fără incrustație de sârmă, unități de sticlă de izolare, fitinguri de sticlă și panouri de sticlă pentru sisteme de sticlă, panouri de perete din blocuri de sticlă</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Conform proprietăților sau scopurilor specifice:</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rezistent la foc</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rezistent la gloanțe și/sau explozie</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sigur (risc de rănire)</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izolare termică și/sau fonică</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Foi plate și curbate din materiale similare sticlei</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Conform proprietăților sau scopurilor specifice:</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rezistent la foc</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rezistent la gloanțe și/sau explozie</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sigur (risc de rănire)</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izolare termică și/sau fonică</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 sau necesitatea de încercare a REF:</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produse care necesită încercarea REF</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Cimenturi pentru montarea geamurilor, altele decât cimenturile pentru acvarii, geamuri structurale</w:t>
            </w:r>
            <w:r>
              <w:rPr>
                <w:sz w:val="20"/>
                <w:vertAlign w:val="superscript"/>
              </w:rPr>
              <w:t xml:space="preserve">b</w:t>
            </w:r>
            <w:r>
              <w:rPr>
                <w:sz w:val="20"/>
              </w:rPr>
              <w:t xml:space="preserve">) cimentarea sticlei termoizolante, geamuri orizontale până la un unghi de &lt; 70 și cimentarea sticlei organice din policarbonat, polimetil metacrilat etc.</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Cimenturi pentru cimentarea sticlei organice din policarbonat, polimetil metacrilat etc.</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Scări prefabricate și sisteme de scări</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Sisteme complete de scări prefabricate (altele decât scările de mansardă și de pod)</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Scări prefabricate din beton</w:t>
            </w:r>
            <w:r>
              <w:rPr>
                <w:sz w:val="20"/>
                <w:vertAlign w:val="superscript"/>
              </w:rPr>
              <w:t xml:space="preserve">c</w:t>
            </w:r>
            <w:r>
              <w:rPr>
                <w:sz w:val="20"/>
              </w:rPr>
              <w:t xml:space="preserve">)</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Plăci de beton și gresie Terrazzo etc. pentru trepte de scări interioare și exterioare</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capacitatea portantă:</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capacitate portantă</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neportantă</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Sisteme de compartimentare și cimenturi pentru pereți despărțitori și pereți interiori</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Sisteme de compartimentare autoportante pentru montarea fixă și detașabilă</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Pentru a despărți compartimentele de incendiu</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Sigur (risc de rănire)</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Ciment pentru pereți despărțitori și pereți interiori</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din gips pentru pereți, pereți despărțitori și tavane</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Fitinguri de gips și adezivi pentru pereți despărțitori fără capacitate portantă, faianță și protecție împotriva incendiilor (fitingurile nu sunt concepute pentru tavane)</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Protecția împotriva incendiilor</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Elemente de gips-carton și tavan cu un strat de suprafață subțire, panouri cu tencuială fibroasă și panouri compozite (laminate) și tencuieli cu gips, inclusiv produse suplimentare asociate</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Pentru protecția împotriva incendiilor elementelor structurale și împărțirea compartimentelor de incendiu</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Pentru consolidarea pereților cadrului din lemn și a căpriorilor din lemn</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gresie și pardoseală</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Elemente de pavaj, gresie, mozaicuri, plăci și parchet laminat, plase cu ochiuri de acoperit și materiale textile, grătar de podea și trepte pentru scări, podele laminate solide, produse pe bază de lemn pentru uz intern, inclusiv drumuri publice interne</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Sisteme de pardoseli în relief și cu cavități pentru utilizare în spații interioare, inclusiv drumuri publice interne</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În conformitate cu RFC:</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(a)</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(b),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(A1FLFL-EFL) în conformitate cu articolul 4 alineatul (1),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Acoperiri sub podele, substanțe de nivelare, podele turnate și materiale fibroase pentru pardoseli, straturi de acoperire a pardoselii inclusiv drumuri publice interne</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Pentru utilizare în spații interioare în conformitate cu RFC:</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(a)</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Materiale flexibile omogene și eterogene pentru pardoseli, furnizate sub formă de plăci, sub formă de foi sau rulouri, ca materiale textile, plastic, cauciuc, linoleum, plută, folie antistatică, podele laminate flexibile și dale flexibile</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(b), DFL, EFL, (A1FL-EFL) în conformitate cu articolul 4 alineatul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Pentru utilizarea în exterior</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Agenți de acoperire pentru tratarea suprafețelor de pardoseală</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placarea pereților și a tavanelor, inclusiv intradosuri suspendate și accesorii</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Placări sub formă de role, țigle, șindrilă, scânduri [cu excepția betonului</w:t>
            </w:r>
            <w:r>
              <w:rPr>
                <w:sz w:val="20"/>
                <w:vertAlign w:val="superscript"/>
              </w:rPr>
              <w:t xml:space="preserve">c</w:t>
            </w:r>
            <w:r>
              <w:rPr>
                <w:sz w:val="20"/>
              </w:rPr>
              <w:t xml:space="preserve">)], panouri și forme pentru placarea pereților și a tavanului la interior și la exterior</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Sisteme de intradosuri suspendate pentru tavane la interior și exterior</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Pentru protecția împotriva incendiilor</w:t>
            </w:r>
            <w:r>
              <w:rPr>
                <w:sz w:val="20"/>
                <w:vertAlign w:val="superscript"/>
              </w:rPr>
              <w:t xml:space="preserve">m</w:t>
            </w:r>
            <w:r>
              <w:rPr>
                <w:sz w:val="20"/>
              </w:rPr>
              <w:t xml:space="preserve">)</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Pentru armare</w:t>
            </w:r>
            <w:r>
              <w:rPr>
                <w:sz w:val="20"/>
                <w:vertAlign w:val="superscript"/>
              </w:rPr>
              <w:t xml:space="preserve">n</w:t>
            </w:r>
            <w:r>
              <w:rPr>
                <w:sz w:val="20"/>
              </w:rPr>
              <w:t xml:space="preserve">)</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Sigur (risc de rănire)</w:t>
            </w:r>
            <w:r>
              <w:rPr>
                <w:sz w:val="20"/>
                <w:vertAlign w:val="superscript"/>
              </w:rPr>
              <w:t xml:space="preserve">o</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Profiluri destinate fixării placării pereților și tavanelor și ramelor suspendate pentru fixarea intradosurilor suspendate</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Mortare și adezivi pentru elementele de placare la interior și la exterior</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Sisteme exterioare de perete pentru a le proteja împotriva efectelor intemperiilor și care pot contribui la izolarea termică a pereților externi, cu excepția componentelor acestor sisteme livrate separat și cu excepția sistemelor din grupele 1901, 1902 și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Rame metalice prefabricate pentru suspendarea intradosurilor grele, cu sau fără strat de protecție împotriva coroziunii, sudate sau nesudate</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În conformitate cu RFC:</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 (A1-E) în conformitate cu articolul 4 alineatul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Elemente de legătură, materiale de sudare și adezivi</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Elemente de legătură pentru părți structurale metalice</w:t>
            </w:r>
            <w:r>
              <w:rPr>
                <w:sz w:val="20"/>
                <w:vertAlign w:val="superscript"/>
              </w:rPr>
              <w:t xml:space="preserve">b</w:t>
            </w:r>
            <w:r>
              <w:rPr>
                <w:sz w:val="20"/>
              </w:rPr>
              <w:t xml:space="preserve">) ale clădirilor, în special nituri, șuruburi, bolțuri și șuruburi cu piulițe și șaibe</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Materiale de legătură pentru produse din lemn structural</w:t>
            </w:r>
            <w:r>
              <w:rPr>
                <w:sz w:val="20"/>
                <w:vertAlign w:val="superscript"/>
              </w:rPr>
              <w:t xml:space="preserve">b</w:t>
            </w:r>
            <w:r>
              <w:rPr>
                <w:sz w:val="20"/>
              </w:rPr>
              <w:t xml:space="preserve">) în special scoabe fixate în lemn, elemente de fixare cu coliere divizate, elemente de legătură, elemente de legătură cilindrice de oțel și lemn, holz-șuruburi, șuruburi filetate și cuie</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Plăci de forfecare și plăci de tăiere cu capete comprimate pentru produse din lemn</w:t>
            </w:r>
            <w:r>
              <w:rPr>
                <w:sz w:val="20"/>
                <w:vertAlign w:val="superscript"/>
              </w:rPr>
              <w:t xml:space="preserve">b</w:t>
            </w:r>
            <w:r>
              <w:rPr>
                <w:sz w:val="20"/>
              </w:rPr>
              <w:t xml:space="preserve">) structural</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Plăci de conectare tridimensionale pentru produse din lemn</w:t>
            </w:r>
            <w:r>
              <w:rPr>
                <w:sz w:val="20"/>
                <w:vertAlign w:val="superscript"/>
              </w:rPr>
              <w:t xml:space="preserve">b</w:t>
            </w:r>
            <w:r>
              <w:rPr>
                <w:sz w:val="20"/>
              </w:rPr>
              <w:t xml:space="preserve">) structural</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Ancore metalice pentru beton (tipuri destinate sistemelor ușoare) pentru fixarea sau consolidarea plafoanelor ușoare suspendate, a instalațiilor etc.</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Ancore metalice utilizate în beton (tipuri de sarcină mare), destinate fixării sau consolidării elementelor structurale</w:t>
            </w:r>
            <w:r>
              <w:rPr>
                <w:sz w:val="20"/>
                <w:vertAlign w:val="superscript"/>
              </w:rPr>
              <w:t xml:space="preserve">b</w:t>
            </w:r>
            <w:r>
              <w:rPr>
                <w:sz w:val="20"/>
              </w:rPr>
              <w:t xml:space="preserve">) din beton sau a unor componente grele, cum ar fi placările și tavanele suspendate</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Ancore cu injecție metalică (umplute) destinate zidăriei pentru fixarea sau consolidarea elementelor structurale</w:t>
            </w:r>
            <w:r>
              <w:rPr>
                <w:sz w:val="20"/>
                <w:vertAlign w:val="superscript"/>
              </w:rPr>
              <w:t xml:space="preserve">b</w:t>
            </w:r>
            <w:r>
              <w:rPr>
                <w:sz w:val="20"/>
              </w:rPr>
              <w:t xml:space="preserve">), care contribuie la stabilitatea clădirii sau a elementelor grele, cum ar fi placarea și instalațiile</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Ancore din plastic pentru beton și zidărie pentru utilizare în sisteme precum sisteme de fațadă, inclusiv sisteme de izolare termică, pentru a fixa sau a consolida elemente care contribuie la stabilitatea unor astfel de sisteme</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Materiale pentru sudarea părților structurale metalice</w:t>
            </w:r>
            <w:r>
              <w:rPr>
                <w:sz w:val="20"/>
                <w:vertAlign w:val="superscript"/>
              </w:rPr>
              <w:t xml:space="preserve">b</w:t>
            </w:r>
            <w:r>
              <w:rPr>
                <w:sz w:val="20"/>
              </w:rPr>
              <w:t xml:space="preserve">) ale clădirilor</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Șuruburi și știfturi metalice și nituri cu șaibe pentru fixarea unor sisteme ușoare de fațadă și acoperișuri înclinate</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Elementele de fixare formate din fitinguri de ancorare din plastic sau șaibe pentru plăci și șuruburi de fixare și filetare pentru straturile de impermeabilizare și izolare termică</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Bolțuri de expansiune care permit mișcarea relativă între plăcile conectate sau între plăci și pereți</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Adezivi pentru utilizarea în părți structurale</w:t>
            </w:r>
            <w:r>
              <w:rPr>
                <w:sz w:val="20"/>
                <w:vertAlign w:val="superscript"/>
              </w:rPr>
              <w:t xml:space="preserve">b</w:t>
            </w:r>
            <w:r>
              <w:rPr>
                <w:sz w:val="20"/>
              </w:rPr>
              <w:t xml:space="preserve">) ale clădirilor și în structuri de construcții civile</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Dispozitive de ancorare utilizate pe șantiere pentru a preveni căderea persoanelor de la înălțime sau pentru a opri căderea lor de la înălțime</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Țevi, rezervoare și accesorii pentru apă potabilă</w:t>
            </w:r>
            <w:r>
              <w:rPr>
                <w:b/>
                <w:sz w:val="20"/>
                <w:vertAlign w:val="superscript"/>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Sisteme de conducte și depozitare alcătuite din grupele de produse 3402-3409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Țevi presurizate și nepresurizate pentru distribuția apei potabile în interiorul sau în exteriorul clădirilor, instalate deasupra suprafeței sau sub aceasta</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Furtunuri de conectare</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Rezervoare presurizate și nepresurizate, inclusiv rezervoare de apă caldă, instalate deasupra suprafeței sau sub aceasta</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Dispozitive de protecție și siguranță, cum ar fi detectoare de scurgeri, dispozitiv de protecție împotriva umplerii în exces a rezervorului etc.</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Fitinguri, cuplaje, suduri, adezivi și materiale de etanșare pentru fixarea strânsă a conductelor solide, flexibile și ductile</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Armături</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Pompe și apometre</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Membrane, rășini, straturi de acoperire, materiale de umplere și lubrifianți</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Țevi, rezervoare și accesorii pentru utilități și alimentarea cu apă</w:t>
            </w:r>
            <w:r>
              <w:rPr>
                <w:b/>
                <w:sz w:val="20"/>
                <w:vertAlign w:val="superscript"/>
              </w:rPr>
              <w:t xml:space="preserve">11</w:t>
            </w:r>
            <w:r>
              <w:rPr>
                <w:b/>
                <w:sz w:val="20"/>
              </w:rPr>
              <w:t xml:space="preserve">), gaz și combustibili lichizi</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Produse pentru transportul, distribuția și depozitarea apei menajere, cum ar fi țevi, furtunuri de conectare, rezervoare, detectoare de scurgeri, dispozitiv de protecție împotriva umplerii în exces a rezervorului, fitinguri, cuplaje, suduri, adezivi, materiale de etanșare, suporturi de conducte (fără ancore), pompe, armături și dispozitive de siguranță și sisteme de conducte și rezervoare alcătuite din astfel de produse</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Pentru sisteme de încălzire</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conformitate cu RFC</w:t>
            </w:r>
            <w:r>
              <w:rPr>
                <w:sz w:val="20"/>
                <w:vertAlign w:val="superscript"/>
              </w:rPr>
              <w:t xml:space="preserve">p</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Produse pentru transportul, distribuția și stocarea gazului sau a combustibilului lichid dintr-un rezervor exterior, ultima stație de reducere a presiunii sau prima supapă de separare (întotdeauna în afara clădirii) după admisia în sistem pentru încălzirea apei sau pentru încălzirea sau răcirea clădirii, cum ar fi conducte, furtunuri de conectare, rezervoare, detectoare de scurgeri, dispozitiv de protecție împotriva umplerii în exces a rezervorului, fitinguri, cuplaje, garnituri, suduri, adezivi, suporturi de conducte (fără ancore), armături și dispozitive de siguranță și sisteme de conducte și rezervoare alcătuite din astfel de produse</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Pentru instalațiile din zonele în care este necesară rezistența la foc</w:t>
            </w:r>
            <w:r>
              <w:rPr>
                <w:sz w:val="20"/>
                <w:vertAlign w:val="superscript"/>
              </w:rPr>
              <w:t xml:space="preserve">q</w:t>
            </w:r>
            <w:r>
              <w:rPr>
                <w:sz w:val="20"/>
              </w:rPr>
              <w:t xml:space="preserve">)</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distribuția energiei electrice, pentru gestionare și comunicare</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Cabluri pentru distribuția energiei electrice, pentru gestionare și comunicare</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în ceea ce privește rezistența la foc</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În scopul utilizării în funcție de RHS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Grilaje, rigole, canale, valve, pânze și perdele pentru montarea cablurilor și produse pentru fixarea cablurilor pentru distribuția energiei electrice, gestionare și comunicare</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Produse pentru conectarea cablurilor (cutii și acoperiri complete) pentru distribuția de energie electrică, gestionare și comunicare</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Repartitoare de energie electrică de joasă tensiune pentru distribuția energiei electrice, gestionare și comunicare</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în ceea ce privește rezistența la foc</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Accesorii pentru cablu (tuburi de instalare a cablurilor, table, canale, cutii etc.)</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pentru protecția împotriva propagării flăcărilor și pentru care se aplică RHS în ceea ce privește conținutul elementelor halogene</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Coșurile de fum</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Produse pentru sisteme de coșuri de fum din metal (cu excepția elementelor de ancorare a hornului), inserții de horn din lut/ceramică sau beton, fitinguri și elemente montate pe pereții exteriori, materiale pentru inserții cu pereți și produse din oțel prefabricate și inserții pentru coșuri de fum montate separat</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Sisteme de hornuri cu inserții din plastic</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Accesorii pentru șemineu, altele decât accesoriile din plastic</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Echipamente de încălzire și elemente ignifuge</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Aparate care folosesc combustibili solizi pentru încălzirea spațiilor rezidențiale, cum ar fi sobe, cuptoare și aparate încorporate (șemineuri etc.)</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Aparate care folosesc combustibili solizi pentru gătitul casnic</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Încălzitoare pe bază de combustibil lichid sau gazos</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Încălzitoare fără sursa proprie de energie, în special radiatoare, convectoare, convectoare cu aer cald, inclusiv ventilatoare, benzi de încălzire și sloturi, panouri de radiație de tavan și alte încălzitoare fixe și sisteme de încălzire montate în perete și pardoseală</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Elemente refractare, mortare și elemente de placare pentru încorporarea în construcție a aparatelor cu combustibil solid pentru încălzirea spațiilor rezidențiale</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Echipamente și materiale de uz sanitar</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Chiuvete, bazine, rigole municipale, bideuri, căzi de baie, căzi cu hidromasaj și căzi de duș</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Perdele de duș și pentru cada de baie și huse de protecție</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Ansambluri de module de toaletă</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Pisoare, vase de toaletă, construite în sol, toaletele chimice și de compost, precum și ansambluri de toalete cu macerare și toalete turcești</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Toalete cu jet de apă</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Toalete publice modulare și toalete prefabricate</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În conformitate cu RFC:</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Cimenturi pentru conectarea la elemente de instalații sanitare, altele decât cimenturile în aplicații industriale, în distribuția apei potabile, în contact cu produsele alimentare și în aplicații subacvatice, cum ar fi bazine de înot, conducte de deșeuri etc.</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protecția împotriva incendiilor și suprimarea exploziilor</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Produse pentru protecția împotriva incendiilor sau pentru creșterea rezistenței la foc, în special vopsele, învelitori sau placaje pentru fațete, altele decât produsele din gips, produsele din vată minerală și elemente prefabricate din beton armat</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Produse pentru prevenirea sau limitarea propagării focului, cum ar fi cimenturi, substanțe de etanșare, spume, elastomeri etc., aplicate la fața locului sau în forme prefabricate, cum ar fi plăci, foi, perne, saci, bobine, mâneci etc. garnituri, țevi rezistente la foc și mijloace de stingere a incendiilor</w:t>
            </w:r>
            <w:r>
              <w:rPr>
                <w:sz w:val="20"/>
                <w:vertAlign w:val="superscript"/>
              </w:rPr>
              <w:t xml:space="preserve">12</w:t>
            </w:r>
            <w:r>
              <w:rPr>
                <w:sz w:val="20"/>
              </w:rPr>
              <w:t xml:space="preserve">) cum ar fi registrele de tiraj, garniturile și mijloacele de stingere a incendiilor</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Unități de ventilare pentru îndepărtarea naturală sau forțată a căldurii și a produselor de ardere</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Sisteme de ventilație și sisteme de presiune diferențială pentru îndepărtarea produselor de ardere și a căldurii sau componentele acestora, cum ar fi perdele de fum, registre de tiraj, conducte de ventilație, detectoare, panouri de control și pornire de urgență, inclusiv o sursă de alimentare</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Sisteme de suprimare a exploziilor și componentele sistemelor</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Echipamente fixe de stingere a incendiilor</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Hidranți și echipamente de stingere a incendiilor</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Componente pentru aspersoare și echipamente similare pentru stingerea incendiilor</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Componente ale echipamentelor de stingere a incendiilor cu gaz</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Componente ale echipamentelor de stingere a incendiilor cu pudră</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Componente ale echipamentelor de stingere a incendiilor cu spumă</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Componente ale echipamentelor de stingere a incendiilor cu aerosoli</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Componente și echipamente pentru alarme de incendiu</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Alarmă electrică de incendiu – echipamente de alarmă acustică</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Alarmă electrică de incendiu – echipamente de alimentare cu energie electrică</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Alarmă de incendiu electrică – detectoare de căldură la fața locului</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Alarma de incendiu electrică – detectoare de fum la fața locului folosind lumină dispersată, lumină transmisă sau ionizare</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Alarma de incendiu electrică – detectoare de fum de linie folosind un fascicul optic</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Componente de alarme de incendiu care nu sunt incluse în grupurile 4201-4205 – detectoare de fum, căldură și flacără, panouri de comandă pentru alarma de incendiu, echipamente pentru transmiterea semnalelor de alarmă, inclusiv protecție împotriva scurtcircuitelor, alarme, dispozitive</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de intrare/ieșire, alarme declanșate prin apăsarea butonului și echipamente de alimentare cu energie aferente</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Echipamente și sisteme combinate de semnalizare a incendiilor și de semnalizare a alarmelor pentru raportarea incendiilor</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Substanțe și sisteme de acoperire și penetrare</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Substanțe și sisteme de acoperire și penetrare pentru protejarea părților structurale ale clădirilor împotriva coroziunii și degradării, altele decât protecția structurilor de beton și protecția împotriva incendiilor</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Sisteme de acoperire pentru protejarea sistemelor de conducte metalice și a rezervoarelor împotriva coroziunii</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Sisteme de acoperire pentru protejarea izolației termice împotriva degradării și sisteme de acoperire pentru protejarea împotriva umidității</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de izolare fonică și împotriva vibrațiilor</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Sisteme montate în pardoseală plutitoare pentru absorbția vibrațiilor și zgomotului</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Sisteme montate în pereți pentru absorbția vibrațiilor și zgomotului</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Elemente de protecție împotriva vibrațiilor pentru fixarea instalațiilor</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pentru repararea și protejarea structurilor</w:t>
            </w:r>
            <w:r>
              <w:rPr>
                <w:b/>
                <w:sz w:val="20"/>
                <w:vertAlign w:val="superscript"/>
              </w:rPr>
              <w:t xml:space="preserve">c</w:t>
            </w:r>
            <w:r>
              <w:rPr>
                <w:b/>
                <w:sz w:val="20"/>
              </w:rPr>
              <w:t xml:space="preserve">) din beton</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Produse pentru repararea structurilor din beton</w:t>
            </w:r>
            <w:r>
              <w:rPr>
                <w:sz w:val="20"/>
                <w:vertAlign w:val="superscript"/>
              </w:rPr>
              <w:t xml:space="preserve">c</w:t>
            </w:r>
            <w:r>
              <w:rPr>
                <w:sz w:val="20"/>
              </w:rPr>
              <w:t xml:space="preserve">), cum ar fi umplerea golurilor, etanșarea fisurilor etc.</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Produse pentru consolidarea suplimentară a structurilor din beton</w:t>
            </w:r>
            <w:r>
              <w:rPr>
                <w:sz w:val="20"/>
                <w:vertAlign w:val="superscript"/>
              </w:rPr>
              <w:t xml:space="preserve">c</w:t>
            </w:r>
            <w:r>
              <w:rPr>
                <w:sz w:val="20"/>
              </w:rPr>
              <w:t xml:space="preserve">) cum ar fi bare metalice sau din material compozit lipite pe suprafața unei grinzi tratate etc.</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Produse pentru protejarea structurilor dine beton</w:t>
            </w:r>
            <w:r>
              <w:rPr>
                <w:sz w:val="20"/>
                <w:vertAlign w:val="superscript"/>
              </w:rPr>
              <w:t xml:space="preserve">c</w:t>
            </w:r>
            <w:r>
              <w:rPr>
                <w:sz w:val="20"/>
              </w:rPr>
              <w:t xml:space="preserve">), cum ar fi impregnarea suprafețelor din beton, protecția împotriva coroziunii armăturilor etc.</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În funcție de scop:</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pentru componentele structurale</w:t>
            </w:r>
            <w:r>
              <w:rPr>
                <w:sz w:val="20"/>
                <w:vertAlign w:val="superscript"/>
              </w:rPr>
              <w:t xml:space="preserve">b</w:t>
            </w:r>
            <w:r>
              <w:rPr>
                <w:sz w:val="20"/>
              </w:rPr>
              <w:t xml:space="preserve">)</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pentru alte componente</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În conformitate cu RFC:</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Produse speciale</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Silozuri prefabricate din beton</w:t>
            </w:r>
            <w:r>
              <w:rPr>
                <w:sz w:val="20"/>
                <w:vertAlign w:val="superscript"/>
              </w:rPr>
              <w:t xml:space="preserve">c</w:t>
            </w:r>
            <w:r>
              <w:rPr>
                <w:sz w:val="20"/>
              </w:rPr>
              <w:t xml:space="preserve">) pentru materiale fibroase și containere pentru deșeuri solide instalate deasupra sau sub suprafață</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Produse prefabricate din beton</w:t>
            </w:r>
            <w:r>
              <w:rPr>
                <w:sz w:val="20"/>
                <w:vertAlign w:val="superscript"/>
              </w:rPr>
              <w:t xml:space="preserve">c</w:t>
            </w:r>
            <w:r>
              <w:rPr>
                <w:sz w:val="20"/>
              </w:rPr>
              <w:t xml:space="preserve">) pentru componente cu rezistență scăzută și care nu au capacitate portantă pentru susținerea clădirilor, altele decât conductele, rezervoarele și elementele de gard, precum casete de telecomunicații, orificii de mici dimensiuni pentru cutii, elemente de perete neportante, panouri de perete etc.</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Elemente prefabricate din beton</w:t>
            </w:r>
            <w:r>
              <w:rPr>
                <w:sz w:val="20"/>
                <w:vertAlign w:val="superscript"/>
              </w:rPr>
              <w:t xml:space="preserve">c</w:t>
            </w:r>
            <w:r>
              <w:rPr>
                <w:sz w:val="20"/>
              </w:rPr>
              <w:t xml:space="preserve">) pentru garduri</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Nuclee prefabricate pentru instalații sanitare cu un mijloc de oprire a incendiului</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Sisteme de protecție împotriva căderilor de pietre pe șantiere de construcții civile</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Ascensoare în caz de incendiu</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Sisteme de salvare cu zidărie de atenuare</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Sisteme pentru montarea geamurilor în balcoane și logii</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Produse pentru suprafața terenurilor de joacă</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Pentru utilizare în spații interioare în conformitate cu RFC:</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(a)</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în conformitate cu articolul 4 alineatul (2) litera (b), DFL, EFL, (A1FL-EFL) în conformitate cu articolul 4 alineatul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Pentru utilizarea în exterior</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Sisteme de acoperire pentru impermeabilizare sau de aplicare a gresiei pe pardoseală și a faianței pe pereții camerelor în care există umiditate, precum băi, toalete și spălătorii</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Cimenturi și produse pentru extinderea pereților exteriori ai clădirilor</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RFC:</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(a)</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în conformitate cu articolul 4 alineatul (2) litera (b),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(A1-E), în conformitate cu articolul 4 alineatul (1) litera,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Balustrade de protecție pentru clădiri</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Sisteme de hidroizolație și izolare termică proiectate pentru construcția și restaurarea balcoanelor, a logiilor și a teraselor (sisteme de balcon)</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Conducte de ventilație și conducte pentru unități de ventilație și recuperare a căldurii</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Pentru un scop de bază</w:t>
            </w:r>
            <w:r>
              <w:rPr>
                <w:sz w:val="20"/>
                <w:vertAlign w:val="superscript"/>
              </w:rPr>
              <w:t xml:space="preserve">d</w:t>
            </w:r>
            <w:r>
              <w:rPr>
                <w:sz w:val="20"/>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În scopul pentru care se aplică RFS, clasificat în funcție de caracterul RFC:</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RFC supus modificării în procesul de producție, în conformitate cu articolul 4 alineatul (2) litera (a)</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RFC clasificat fără a fi supus încercării, în conformitate cu articolul 4 alineatul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RFC cu un caracter diferit de cel menționat anterior, în conformitate cu articolul 4 alineatul (2) litera (b)</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Abrevieri utilizate:</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ETICS – Sistem compozit de izolație termică exterioară;</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RHS – reglementări privind substanțele periculoase;</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RFS – reglementări privind protecția împotriva incendiilor;</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politetrafluoretilenă;</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REF – reacție la incendiul din exterior;</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PAS – sistem de evaluare a performanței;</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RFC – clasificarea reacției la incendiu.</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Note explicative:</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a</w:t>
      </w:r>
      <w:r>
        <w:rPr>
          <w:sz w:val="20"/>
        </w:rPr>
        <w:t xml:space="preserve">)</w:t>
        <w:tab/>
        <w:t xml:space="preserve">Sistemele de evaluare a performanței I+, I, II+, III și IV sunt sisteme prevăzute la articolul 3 alineatul (1) și se aplică în cazurile în care standardele definite sau evaluările tehnice din Slovacia se aplică produselor în cauză.</w:t>
      </w:r>
      <w:r>
        <w:rPr>
          <w:sz w:val="20"/>
        </w:rPr>
        <w:t xml:space="preserve"> </w:t>
      </w:r>
      <w:r>
        <w:rPr>
          <w:sz w:val="20"/>
        </w:rPr>
        <w:t xml:space="preserve">Dacă standardele armonizate sau evaluările tehnice europene se aplică produselor în cauză, atunci se aplică sistemele de evaluare a performanței în conformitate cu articolul 3 alineatul (4).</w:t>
      </w:r>
      <w:r>
        <w:rPr>
          <w:sz w:val="20"/>
        </w:rPr>
        <w:t xml:space="preserve"> </w:t>
      </w:r>
      <w:r>
        <w:rPr>
          <w:sz w:val="20"/>
        </w:rPr>
        <w:t xml:space="preserve">În cazul produselor din grupurile cărora li se aplică documentele de evaluare europene definite la articolul 2 punctul 12 din Regulamentul (UE) nr. 305/2011, sistemele specifice de evaluare a performanței în conformitate cu articolul 3 alineatul (4), care se aplică dacă produsul este conform cu un agrement tehnic european emis în conformitate cu documentele europene de evaluare, sunt specificate între paranteze.</w:t>
      </w:r>
      <w:r>
        <w:rPr>
          <w:sz w:val="20"/>
        </w:rPr>
        <w:t xml:space="preserve"> </w:t>
      </w:r>
      <w:r>
        <w:rPr>
          <w:sz w:val="20"/>
        </w:rPr>
        <w:t xml:space="preserve">Dacă, cu toate acestea, produsul în cauză este conform cu un agrement tehnic slovac, se aplică sistemele specifice de evaluare a performanței în conformitate cu articolul 3 alineatul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b</w:t>
      </w:r>
      <w:r>
        <w:rPr>
          <w:sz w:val="20"/>
        </w:rPr>
        <w:t xml:space="preserve">)</w:t>
        <w:tab/>
        <w:t xml:space="preserve">Termenul „structural” caracterizează scopul produsului într-o clădire ca parte a structurii clădirii care asigură stabilitatea structurii (componentă cu capacitate portantă) sau ca element autoportant care suportă și sarcini externe (de exemplu, acțiunea vântului).</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c</w:t>
      </w:r>
      <w:r>
        <w:rPr>
          <w:sz w:val="20"/>
        </w:rPr>
        <w:t xml:space="preserve">)</w:t>
        <w:tab/>
        <w:t xml:space="preserve">Termenii „beton” sau „din beton” caracterizează un produs fabricat din beton greu, ușor sau autoclavat, aerat, armat sau nearmat.</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d</w:t>
      </w:r>
      <w:r>
        <w:rPr>
          <w:sz w:val="20"/>
        </w:rPr>
        <w:t xml:space="preserve">)</w:t>
        <w:tab/>
        <w:t xml:space="preserve">„Scop de bază” se referă la un produs de construcție în cazul căruia nu este declarat un scop sau o utilizare specifică pentru grupul sau grupurile de produse din clădiri sau părțile clădirilor care fac obiectul unor reglementări, cerințe sau caracteristici specifice care sunt enumerate conform scopului din text.</w:t>
      </w:r>
      <w:r>
        <w:rPr>
          <w:sz w:val="20"/>
        </w:rPr>
        <w:t xml:space="preserve"> </w:t>
      </w:r>
      <w:r>
        <w:rPr>
          <w:sz w:val="20"/>
        </w:rPr>
        <w:t xml:space="preserve">Dacă se aplică unul sau mai multe sisteme de evaluare a performanței, respectând totodată caracteristicile specifice, acest sistem sau aceste sisteme sunt aplicate împreună cu sistemul prevăzut pentru scopul de bază; iar producătorul întocmește o singură declarație de performanță.</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e</w:t>
      </w:r>
      <w:r>
        <w:rPr>
          <w:sz w:val="20"/>
        </w:rPr>
        <w:t xml:space="preserve">)</w:t>
        <w:tab/>
        <w:t xml:space="preserve">Se referă la grupurile 0401 și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f </w:t>
      </w:r>
      <w:r>
        <w:rPr>
          <w:sz w:val="20"/>
        </w:rPr>
        <w:t xml:space="preserve">)</w:t>
        <w:tab/>
        <w:t xml:space="preserve">Se referă la grupurile 0404 și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g</w:t>
      </w:r>
      <w:r>
        <w:rPr>
          <w:sz w:val="20"/>
        </w:rPr>
        <w:t xml:space="preserve">)</w:t>
        <w:tab/>
        <w:t xml:space="preserve">Compoziția mortarului propus și metoda de producție este aleasă pentru a respecta caracteristicile specificate (conceptul de calitate).</w:t>
      </w:r>
      <w:r>
        <w:rPr>
          <w:sz w:val="20"/>
        </w:rPr>
        <w:t xml:space="preserve"> </w:t>
      </w:r>
      <w:r>
        <w:rPr>
          <w:sz w:val="20"/>
        </w:rPr>
        <w:t xml:space="preserve">Mortarul cu o compoziție prescrisă este produs urmând o formulă prescrisă (conceptul de formulă).</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h</w:t>
      </w:r>
      <w:r>
        <w:rPr>
          <w:sz w:val="20"/>
        </w:rPr>
        <w:t xml:space="preserve">)</w:t>
        <w:tab/>
        <w:t xml:space="preserve">Tipul I implică amestecul de materiale inerte sau aproape inerte.</w:t>
      </w:r>
      <w:r>
        <w:rPr>
          <w:sz w:val="20"/>
        </w:rPr>
        <w:t xml:space="preserve"> </w:t>
      </w:r>
      <w:r>
        <w:rPr>
          <w:sz w:val="20"/>
        </w:rPr>
        <w:t xml:space="preserve">Tipul II implică amestecul de materiale</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active.</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i</w:t>
      </w:r>
      <w:r>
        <w:rPr>
          <w:sz w:val="20"/>
        </w:rPr>
        <w:t xml:space="preserve">)</w:t>
        <w:tab/>
        <w:t xml:space="preserve">Elementele de zidărie din categoria I au o rezistență garantată la comprimare, cu o probabilitate de a ceda de cel mult 5 %, spre deosebire de elementele de zidărie din categoria II, al căror nivel de fiabilitate nu este garantat.</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j</w:t>
      </w:r>
      <w:r>
        <w:rPr>
          <w:sz w:val="20"/>
        </w:rPr>
        <w:t xml:space="preserve">)</w:t>
        <w:tab/>
        <w:t xml:space="preserve">Se referă numai la elementele cu materiale izolante termice integrate, în care sistemul de evaluare a performanței este aplicat</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în funcție de categoria elementului.</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k</w:t>
      </w:r>
      <w:r>
        <w:rPr>
          <w:sz w:val="20"/>
        </w:rPr>
        <w:t xml:space="preserve">)</w:t>
        <w:tab/>
        <w:t xml:space="preserve">Sistemele de tip I și III, spre deosebire de sistemele de tip II și IV, conțin elemente care reduc riscul în cazul dezlipirii îmbinărilor lipite.</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l</w:t>
      </w:r>
      <w:r>
        <w:rPr>
          <w:sz w:val="20"/>
        </w:rPr>
        <w:t xml:space="preserve">)</w:t>
        <w:tab/>
        <w:t xml:space="preserve">Se referă la grupul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m</w:t>
      </w:r>
      <w:r>
        <w:rPr>
          <w:sz w:val="20"/>
        </w:rPr>
        <w:t xml:space="preserve">)</w:t>
        <w:tab/>
        <w:t xml:space="preserve">Se referă numai la panouri și intradosuri suspendate.</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n</w:t>
      </w:r>
      <w:r>
        <w:rPr>
          <w:sz w:val="20"/>
        </w:rPr>
        <w:t xml:space="preserve">)</w:t>
        <w:tab/>
        <w:t xml:space="preserve">Se referă numai la panourile care servesc simultan ca elemente de armare pentru pereți sau tavane.</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o</w:t>
      </w:r>
      <w:r>
        <w:rPr>
          <w:sz w:val="20"/>
        </w:rPr>
        <w:t xml:space="preserve">)</w:t>
        <w:tab/>
        <w:t xml:space="preserve">Se referă numai la plăci și panouri realizate din materiale fragile și plăci și panouri destinate intradosurilor suspendate.</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p</w:t>
      </w:r>
      <w:r>
        <w:rPr>
          <w:sz w:val="20"/>
        </w:rPr>
        <w:t xml:space="preserve">)</w:t>
        <w:tab/>
        <w:t xml:space="preserve">Se referă numai la suporturile de țeavă, armăturile și echipamentele de siguranță.</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q</w:t>
      </w:r>
      <w:r>
        <w:rPr>
          <w:sz w:val="20"/>
        </w:rPr>
        <w:t xml:space="preserve">)</w:t>
        <w:tab/>
        <w:t xml:space="preserve">Se referă numai la rezervoare.</w:t>
      </w:r>
    </w:p>
    <w:p w14:paraId="303635D7" w14:textId="77777777" w:rsidR="009A7616" w:rsidRPr="000269C4" w:rsidRDefault="00F72AF9" w:rsidP="00A358E1">
      <w:pPr>
        <w:pStyle w:val="BodyText"/>
        <w:spacing w:line="276" w:lineRule="auto"/>
        <w:ind w:left="450" w:right="30"/>
        <w:rPr>
          <w:sz w:val="20"/>
          <w:szCs w:val="20"/>
        </w:rPr>
      </w:pPr>
      <w:r>
        <w:rPr>
          <w:sz w:val="20"/>
        </w:rPr>
        <w:t xml:space="preserve">(r)</w:t>
        <w:tab/>
        <w:t xml:space="preserve">Se referă numai la extensii de coș.”</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Notele de subsol 9 și 12 au următoarea formulare:</w:t>
      </w:r>
    </w:p>
    <w:p w14:paraId="0D693C1F" w14:textId="77777777" w:rsidR="009A7616" w:rsidRPr="000269C4" w:rsidRDefault="00F72AF9" w:rsidP="00A358E1">
      <w:pPr>
        <w:spacing w:line="276" w:lineRule="auto"/>
        <w:ind w:right="30"/>
        <w:jc w:val="both"/>
        <w:rPr>
          <w:sz w:val="20"/>
          <w:szCs w:val="20"/>
        </w:rPr>
      </w:pPr>
      <w:r>
        <w:rPr>
          <w:sz w:val="20"/>
          <w:vertAlign w:val="superscript"/>
        </w:rPr>
        <w:t xml:space="preserve">9</w:t>
      </w:r>
      <w:r>
        <w:rPr>
          <w:sz w:val="20"/>
        </w:rPr>
        <w:t xml:space="preserve">) Decretul de punere în aplicare nr. 119/2016 al Ministerului Mediului din Republica Slovacă de stabilire a detaliilor privind performanța supravegherii tehnice și de siguranță a structurilor hidraulice și performanța supravegherii tehnice și de siguranță.</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w:t>
        <w:tab/>
        <w:t xml:space="preserve">STN 73 6114 Pavarea drumurilor.</w:t>
      </w:r>
      <w:r>
        <w:rPr>
          <w:sz w:val="20"/>
        </w:rPr>
        <w:t xml:space="preserve"> </w:t>
      </w:r>
      <w:r>
        <w:rPr>
          <w:sz w:val="20"/>
        </w:rPr>
        <w:t xml:space="preserve">Dispoziții de bază pentru proiectare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w:t>
        <w:tab/>
        <w:t xml:space="preserve">STN 75 0150 Gospodărirea apelor.</w:t>
      </w:r>
      <w:r>
        <w:rPr>
          <w:sz w:val="20"/>
        </w:rPr>
        <w:t xml:space="preserve"> </w:t>
      </w:r>
      <w:r>
        <w:rPr>
          <w:sz w:val="20"/>
        </w:rPr>
        <w:t xml:space="preserve">Terminologia din domeniul alimentării cu apă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w:t>
        <w:tab/>
        <w:t xml:space="preserve">Decretul de punere în aplicare nr. 478/2008 Coll. al Ministerului de Interne al Republicii Slovace privind caracteristicile și condițiile de funcționare specifice ale mijloacelor de stingere a incendiilor și pentru asigurarea inspecției lor periodice.”</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Articolul II</w:t>
      </w:r>
    </w:p>
    <w:p w14:paraId="7169D118" w14:textId="77777777" w:rsidR="009A7616" w:rsidRPr="000269C4" w:rsidRDefault="00F72AF9" w:rsidP="00A358E1">
      <w:pPr>
        <w:spacing w:line="276" w:lineRule="auto"/>
        <w:ind w:right="30"/>
        <w:rPr>
          <w:sz w:val="20"/>
          <w:szCs w:val="20"/>
        </w:rPr>
      </w:pPr>
      <w:r>
        <w:rPr>
          <w:sz w:val="20"/>
        </w:rPr>
        <w:t xml:space="preserve">Prezentul decret de punere în aplicare intră în vigoare la 1 martie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m.p.</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Editorul Colecției de Legi din Republica Slovacă și administratorul de conținut și operatorul portalului juridic și de informații Slov-Lex, disponibil la adresa </w:t>
      </w:r>
      <w:hyperlink r:id="rId11">
        <w:r>
          <w:rPr>
            <w:sz w:val="20"/>
            <w:szCs w:val="20"/>
          </w:rPr>
          <w:t xml:space="preserve">www.slov-lex.sk </w:t>
        </w:r>
      </w:hyperlink>
    </w:p>
    <w:p w14:paraId="7AA4EC76" w14:textId="72983B61" w:rsidR="009A7616" w:rsidRPr="000269C4" w:rsidRDefault="00F72AF9" w:rsidP="00A358E1">
      <w:pPr>
        <w:spacing w:line="276" w:lineRule="auto"/>
        <w:ind w:right="30"/>
        <w:jc w:val="center"/>
        <w:rPr>
          <w:sz w:val="20"/>
          <w:szCs w:val="20"/>
        </w:rPr>
      </w:pPr>
      <w:r>
        <w:rPr>
          <w:sz w:val="20"/>
        </w:rPr>
        <w:t xml:space="preserve">Ministerul Justiției al Republicii Slovace, Župné námestie 13, 813 11 Bratislava, tel.:</w:t>
      </w:r>
      <w:r>
        <w:rPr>
          <w:sz w:val="20"/>
        </w:rPr>
        <w:t xml:space="preserve"> </w:t>
      </w:r>
      <w:r>
        <w:rPr>
          <w:sz w:val="20"/>
        </w:rPr>
        <w:t xml:space="preserve">+421 2 888 91 131, email:</w:t>
      </w:r>
      <w:r>
        <w:rPr>
          <w:sz w:val="20"/>
        </w:rPr>
        <w:t xml:space="preserve"> </w:t>
      </w:r>
      <w:hyperlink r:id="rId12">
        <w:r>
          <w:rPr>
            <w:sz w:val="20"/>
            <w:szCs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Pagina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Colecția de Legi a Republicii Slovace</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Colecția de Legi a Republicii Slovace</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Pagina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ro-RO"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ro-RO"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