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SL-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ZBIRKA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ZAKONOV</w:t>
      </w:r>
    </w:p>
    <w:p w14:paraId="6FE20770" w14:textId="77777777" w:rsidR="009A7616" w:rsidRPr="000269C4" w:rsidRDefault="00F72AF9" w:rsidP="00A358E1">
      <w:pPr>
        <w:spacing w:line="276" w:lineRule="auto"/>
        <w:ind w:right="30"/>
        <w:jc w:val="center"/>
        <w:rPr>
          <w:sz w:val="40"/>
          <w:szCs w:val="20"/>
        </w:rPr>
      </w:pPr>
      <w:r>
        <w:rPr>
          <w:sz w:val="40"/>
        </w:rPr>
        <w:t xml:space="preserve">SLOVAŠKE REPUBLIKE</w:t>
      </w:r>
    </w:p>
    <w:p w14:paraId="4D443B8A" w14:textId="77777777" w:rsidR="009A7616" w:rsidRPr="000269C4" w:rsidRDefault="00F72AF9" w:rsidP="00A358E1">
      <w:pPr>
        <w:spacing w:line="276" w:lineRule="auto"/>
        <w:ind w:right="30"/>
        <w:jc w:val="center"/>
        <w:rPr>
          <w:sz w:val="36"/>
          <w:szCs w:val="20"/>
        </w:rPr>
      </w:pPr>
      <w:r>
        <w:rPr>
          <w:sz w:val="36"/>
        </w:rPr>
        <w:t xml:space="preserve">Zvezek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Objavljeno:</w:t>
      </w:r>
      <w:r>
        <w:rPr>
          <w:sz w:val="20"/>
        </w:rPr>
        <w:t xml:space="preserve"> </w:t>
      </w:r>
      <w:r>
        <w:rPr>
          <w:sz w:val="20"/>
        </w:rPr>
        <w:t xml:space="preserve">24. januar 2020</w:t>
      </w:r>
      <w:r>
        <w:rPr>
          <w:sz w:val="20"/>
        </w:rPr>
        <w:tab/>
      </w:r>
      <w:r>
        <w:rPr>
          <w:sz w:val="20"/>
        </w:rPr>
        <w:t xml:space="preserve">Objavljena različica Zbirke zakonov Slovaške republike</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Vsebina tega dokumenta je pravno zavezujoča.</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I Z V E D B E N A   U R E D B A</w:t>
      </w:r>
    </w:p>
    <w:p w14:paraId="6AFDB39C" w14:textId="77777777" w:rsidR="009A7616" w:rsidRPr="000269C4" w:rsidRDefault="00F72AF9" w:rsidP="00A358E1">
      <w:pPr>
        <w:spacing w:line="276" w:lineRule="auto"/>
        <w:ind w:right="30"/>
        <w:jc w:val="center"/>
        <w:rPr>
          <w:b/>
          <w:sz w:val="20"/>
          <w:szCs w:val="20"/>
        </w:rPr>
      </w:pPr>
      <w:r>
        <w:rPr>
          <w:b/>
          <w:sz w:val="20"/>
        </w:rPr>
        <w:t xml:space="preserve">Ministrstva za promet in gradbeništvo Slovaške republike</w:t>
      </w:r>
    </w:p>
    <w:p w14:paraId="21E05BBD" w14:textId="77777777" w:rsidR="009A7616" w:rsidRPr="000269C4" w:rsidRDefault="00F72AF9" w:rsidP="00A358E1">
      <w:pPr>
        <w:spacing w:line="276" w:lineRule="auto"/>
        <w:ind w:right="30"/>
        <w:jc w:val="center"/>
        <w:rPr>
          <w:sz w:val="20"/>
          <w:szCs w:val="20"/>
        </w:rPr>
      </w:pPr>
      <w:r>
        <w:rPr>
          <w:sz w:val="20"/>
        </w:rPr>
        <w:t xml:space="preserve">z dne 14. januarja 2020</w:t>
      </w:r>
    </w:p>
    <w:p w14:paraId="372C2313" w14:textId="77777777" w:rsidR="009A7616" w:rsidRPr="000269C4" w:rsidRDefault="00F72AF9" w:rsidP="00A358E1">
      <w:pPr>
        <w:spacing w:line="276" w:lineRule="auto"/>
        <w:ind w:right="30"/>
        <w:jc w:val="center"/>
        <w:rPr>
          <w:b/>
          <w:sz w:val="20"/>
          <w:szCs w:val="20"/>
        </w:rPr>
      </w:pPr>
      <w:r>
        <w:rPr>
          <w:b/>
          <w:sz w:val="20"/>
        </w:rPr>
        <w:t xml:space="preserve">o spremembi Izvedbene uredbe Ministrstva za promet, gradbeništvo in regionalni razvoj Slovaške republike št. 162/2013 o določitvi seznama skupin gradbenih proizvodov in sistemov za oceno njihovih lastnosti, kakor je bila spremenjena z Izvedbeno uredbo št.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Ministrstvo za promet in gradbeništvo Slovaške republike na podlagi oddelka 13(2) Zakona št. 133/2013 o gradbenih proizvodih in spremembah nekaterih zakonov določa naslednje: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Člen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Izvedbena uredba Ministrstva za promet, gradbeništvo in regionalni razvoj Slovaške republike št. 162/2013 o določitvi seznama skupin gradbenih proizvodov in sistemov za oceno njihovih lastnosti, kakor je bila spremenjena z Izvedbeno uredbo št. 177/2016, se spremeni:</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Za oddelkom 7a se vstavi nov oddelek 7b, ki se glasi:</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„Oddelek 7b</w:t>
      </w:r>
    </w:p>
    <w:p w14:paraId="1A6ADF6C" w14:textId="77777777" w:rsidR="009A7616" w:rsidRPr="000269C4" w:rsidRDefault="00F72AF9" w:rsidP="00A358E1">
      <w:pPr>
        <w:spacing w:line="276" w:lineRule="auto"/>
        <w:ind w:right="30"/>
        <w:jc w:val="center"/>
        <w:rPr>
          <w:b/>
          <w:sz w:val="20"/>
          <w:szCs w:val="20"/>
        </w:rPr>
      </w:pPr>
      <w:r>
        <w:rPr>
          <w:b/>
          <w:sz w:val="20"/>
        </w:rPr>
        <w:t xml:space="preserve">Prehodne določbe glede sprememb, ki začnejo veljati 1. marca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Ocene lastnosti gradbenih proizvodov, ki so se začele izvajati in 29. februarja 2020 še niso zaključene, se izvedejo v skladu z obstoječimi predpisi najpozneje do 31. avgusta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Ocene lastnosti gradbenih proizvodov iz skupin 0409, 0410, 0511, 0517, 0522, 0523, 0524, 0525, 0702, 0716, 1005, 1201, 1607, 1901, 2205, 2206, 3101, 3311, 3314, 3805, 4106, 4601, 4611 in 4614 se v skladu s predpisi izvedejo do 31. avgusta 2020.“</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Priloga 1 se glasi:</w:t>
      </w:r>
    </w:p>
    <w:p w14:paraId="187D9104" w14:textId="77777777" w:rsidR="009A7616" w:rsidRPr="000269C4" w:rsidRDefault="00F72AF9" w:rsidP="00A358E1">
      <w:pPr>
        <w:pageBreakBefore/>
        <w:spacing w:line="276" w:lineRule="auto"/>
        <w:ind w:right="29"/>
        <w:jc w:val="right"/>
        <w:rPr>
          <w:b/>
          <w:sz w:val="20"/>
          <w:szCs w:val="20"/>
        </w:rPr>
      </w:pPr>
      <w:r>
        <w:rPr>
          <w:sz w:val="20"/>
        </w:rPr>
        <w:t xml:space="preserve">„</w:t>
      </w:r>
      <w:r>
        <w:rPr>
          <w:sz w:val="20"/>
          <w:b/>
          <w:bCs/>
        </w:rPr>
        <w:t xml:space="preserve">Priloga 1</w:t>
      </w:r>
    </w:p>
    <w:p w14:paraId="24311834" w14:textId="77777777" w:rsidR="009A7616" w:rsidRPr="000269C4" w:rsidRDefault="00F72AF9" w:rsidP="00A358E1">
      <w:pPr>
        <w:spacing w:line="276" w:lineRule="auto"/>
        <w:ind w:right="30"/>
        <w:jc w:val="right"/>
        <w:rPr>
          <w:b/>
          <w:sz w:val="20"/>
          <w:szCs w:val="20"/>
        </w:rPr>
      </w:pPr>
      <w:r>
        <w:rPr>
          <w:b/>
          <w:sz w:val="20"/>
        </w:rPr>
        <w:t xml:space="preserve">k Izvedbeni uredbi št.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SKUPINE GRADBENIH PROIZVODOV Z OPREDELJENIMI SISTEMI ZA OCENO LASTNOSTI</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Področje uporabe proizvoda</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Št.</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Ime skupine proizvodov</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Klasifikacija skupine</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SOL</w:t>
            </w:r>
            <w:r>
              <w:rPr>
                <w:sz w:val="20"/>
                <w:vertAlign w:val="superscript"/>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Proizvodi za temelje stavb, zemeljska dela in temeljne konstrukcije</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Geosintetika (membrane in tekstilije), geokompoziti, georešetke, geomembrane in geomreže za ločevanje, zaščito, odvodnjavanje, filtriranje ali armiranje tal</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Stabilizacijske in hidroizolacijske mešanice za temelje konstrukcij, vključno s temelji za ceste ali železnice</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Montažni piloti in sorodni strukturni elementi</w:t>
            </w:r>
            <w:r>
              <w:rPr>
                <w:sz w:val="20"/>
                <w:vertAlign w:val="superscript"/>
              </w:rPr>
              <w:t xml:space="preserve">b</w:t>
            </w:r>
            <w:r>
              <w:rPr>
                <w:sz w:val="20"/>
              </w:rPr>
              <w:t xml:space="preserve">)</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Temeljni nosilci in plošče</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Proizvodi za sidranje v kamnite in nosilne plasti tal</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Zemeljska sidra in sidra za kamnito podlago</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Proizvodi za podporne stene in hidravlične konstrukcije</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Elementi podpornih sten iz betona</w:t>
            </w:r>
            <w:r>
              <w:rPr>
                <w:sz w:val="20"/>
                <w:vertAlign w:val="superscript"/>
              </w:rPr>
              <w:t xml:space="preserve">c</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Kamen za gabione</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Mreže za gabione</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Gabionski bloki</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Kamen za hidravlične konstrukcije</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V skladu s kategorijo hidravlične konstrukcije:</w:t>
            </w:r>
            <w:r>
              <w:rPr>
                <w:sz w:val="20"/>
                <w:vertAlign w:val="superscript"/>
              </w:rPr>
              <w:t xml:space="preserve">9</w:t>
            </w:r>
            <w:r>
              <w:rPr>
                <w:sz w:val="20"/>
              </w:rPr>
              <w:t xml:space="preserve">)</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kategorije I, II in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kategorija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Membrane proti vlagi, vodi in radonu</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Hidroizolacijski trakovi in folije ter trakovi in folije za zaščito pred radonom za nadzemna nadstropja (brez kleti pod njimi) in za podzemne (kletne) prostore</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Hidroizolacijski trakovi za opečnate stene</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Paroneprepustne in paropropustne plasti za stene in strehe</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Strešne folije in druge membranske strešne obloge</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Osnovne strešne plasti</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Hidroizolacijski premazi za nadzemna nadstropja, podzemne površine konstrukcij ter površine pod tlakovci in ploščicami</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proizvodi, za katere je treba opraviti preskus OPZS</w:t>
            </w:r>
            <w:r>
              <w:rPr>
                <w:sz w:val="20"/>
                <w:vertAlign w:val="superscript"/>
              </w:rPr>
              <w:t xml:space="preserve">f</w:t>
            </w:r>
            <w:r>
              <w:rPr>
                <w:sz w:val="20"/>
              </w:rPr>
              <w:t xml:space="preserve">)</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proizvodi, za katere preskusa OPZS ni treba opraviti</w:t>
            </w:r>
            <w:r>
              <w:rPr>
                <w:sz w:val="20"/>
                <w:vertAlign w:val="superscript"/>
              </w:rPr>
              <w:t xml:space="preserve">f</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Hidroizolacijski trakovi za betonske premostitvene objekte</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Hidroizolacijski kompleti/sistemi za premostitvene objekte</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Hidroizolacijski in dilatacijski trakovi</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Trakovi, folije, premazi ali sistemi za hidroizolacijo notranjih (pokritih) bazenov</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Proizvodi za ceste, pešpoti in druge prometne površine</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Naraven in modificiran asfalt in asfaltne emulzije za gradnjo cest in površinsko obdelavo cest</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Asfaltne mešanice za gradnjo cest in površinsko obdelavo prometnih površin</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Za namen, predviden v PPV; klasifikacija v skladu z ROO:</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v skladu z oddelkom 4(2)(a)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v skladu z oddelkom 4(2)(b),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(A1FL do EFL) v skladu z oddelkom 4(1),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Mozniki in polnila za betonske</w:t>
            </w:r>
            <w:r>
              <w:rPr>
                <w:sz w:val="20"/>
                <w:vertAlign w:val="superscript"/>
              </w:rPr>
              <w:t xml:space="preserve">c</w:t>
            </w:r>
            <w:r>
              <w:rPr>
                <w:sz w:val="20"/>
              </w:rPr>
              <w:t xml:space="preserve">) ceste</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Dilatacijski spoji mostov</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Montažni deli mostnih ograj</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Dilatacijski spoji za prometne površine, razen mostov</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Polnila in kiti za tlake, razen za kemijske obrate, ceste in druge prometne površine, letalske steze in čistilne naprave za odpadne vode</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Za namen, predviden v PPV; klasifikacija v skladu z ROO:</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Plošče, tlakovci in robniki iz naravnega kamna, namenjeni tlakovanju zunanjih površin</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Betonski tlakovci, ploščice in robniki, namenjeni tlakovanju zunanjih površin</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Kamniti tlakovci</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Elementi za tlakovanje, vključno s tlakovci, kamnitimi tlakovci, robniki (razen proizvodov iz skupin 0508 in 0509), stekleno-betonskimi svetlinami, talnimi oblogami iz kovinskih plošč, rešetkami ali letvami, talnimi rešetkami in stopnicami, trdnimi ploščicami, ploščami, mozaiki in ploščicami iz teraca</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Rastlinski deli za območja z nizko prometno obremenitvijo</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Sistemi za zadrževanje vozil – ograje, blažilniki udarcev, premične pregrade, kabli in robniki</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Sistemi za zadrževanje, namenjeni zaščiti pešcev</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Semaforji, fiksne opozorilne luči in prometni javljalniki</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Vertikalni prometni znaki, spremenljivi prometni znaki, drogovi za prometne znake in naprave za svetlobno signalizacijo, odsevni smerni stebri, pregradni stebri in usmerjevalne naprave, namenjeni trajni namestitvi</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Montažni horizontalni prometni znaki in cestni odsevniki ter odsevni in optični elementi za horizontalno prometno signalizacijo</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Premazi za horizontalno prometno signalizacijo, termoplasti za vroč nanos in plastika za hladen nanos, dani na trg z agregati za preprečevanje drsenja ali brez in s predhodno vmešanimi steklenimi zrnci ali brez oziroma dani na trg s specifikacijami o tipu in razmerju steklenih zrnc ali agregatov za preprečevanje drsenja</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Steklena zrnca, agregati za preprečevanje drsenja in njihove mešanice, ki se uporabljajo kot površinski materiali za horizontalne prometne znake</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Protihrupne stene in naprave</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Naprave za preprečevanje bleščanja za nasproti vozeča vozila in zunanje svetlobne vire</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Odsevni elementi, ki omejujejo vstop živalim na ceste</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Proizvodi za postavitev usmerjevalnih, opozorilnih in signalnih pasov za slepe</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Lepila in snovi za povezovanje pregradnih in usmerjevalnih naprav, namenjenih trajni namestitvi, montažni horizontalni prometni znaki in signalizacija</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Posebni proizvodi za površinsko obdelavo prometnih površin</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Za namen, predviden v PPV; klasifikacija v skladu z ROO:</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v skladu z oddelkom 4(2)(a)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v skladu z oddelkom 4(2)(b),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 do EFL) v skladu z oddelkom 4(1),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Drogovi</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Drogovi za razsvetljavo iz jekla, aluminija in polimerov, ojačanih z vlakni</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Drogovi za razsvetljavo iz armiranega in prednapetega betona</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Leseni drogovi za nadzemne električne vode</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Drugi montažni drogovi ali njihovi montažni konstrukcijski deli za nadzemne električne vode, vode železniških prog, telekomunikacijsko opremo, vetrne turbine in podobno opremo</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Proizvodi za sisteme odpadne vode</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Cevi in pribor iz nearmiranega betona, betona, ojačanega z jeklenimi vlakni, in armiranega betona s tesnili ali brez za kanalizacijske cevi</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Druge cevi, pribor in tesnila, regulatorji pretoka, zapornice in vrtinčni ventili za kanalizacijske cevi</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Cevi in pribor za kanalizacijske cevi stavb</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Vstopni in revizijski jaški kanalizacijskih cevi</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Stopnice, lestve in ročne ograje vstopnih in revizijskih jaškov</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Ventili prezračevalnih cevi za vstop zraka v kanalizacijske cevi stavb</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Lovilci in separatorji odpadne vode stavb in inženirskih objektov</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Sistemi črpalnih postaj odpadne vode in oprema za dvižne vode za tekoče odpadke</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Sistemi in elementi gospodinjskih čistilnih naprav in čistilnih naprav na gradbiščih</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Greznice</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Montažni drenažni kanali (žlebovi) za ceste</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Pokrovi vstopnih jaškov in rešetke za odvodnjavanje deževnice za ceste</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Zbiralniki za greznice</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Talni odtoki</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Škatlasti prepusti iz betona</w:t>
            </w:r>
            <w:r>
              <w:rPr>
                <w:sz w:val="20"/>
                <w:vertAlign w:val="superscript"/>
              </w:rPr>
              <w:t xml:space="preserve">c</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 veliki prepusti</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Nosilni – mali prepusti</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Drenažne cevi in infiltracijski bloki</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Konstrukcijska ležišča</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Sferična in cilindrična PTFE ležišča</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Druga ležišča za gradnjo stavb in inženirskih objektov, katerih deformacija bi privedla do neuporabnosti stavbe ali njenega dela oziroma močno omejila uporabnost stavbe ali njenega dela</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Ležišča za druge vrste gradenj</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Protipotresne naprave</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Agregati</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Agregati za beton</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Agregati za malto</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za zidarsko malto</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za druge vrste malte</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Lahki agregati za beton, malto in injekcijsko malto</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za beton, zidarsko malto in injekcijsko malto</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za druge vrste malte</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Agregati za osnovne plasti za železniške pragove in gradnjo tirnih ležišč</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V skladu z vrsto železniških tirov:</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za visokohitrostne tire</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za druge vrste tirov</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Agregati za nevezane materiale in hidravlično vezane materiale za gradnjo cest</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za gradnjo cest s prometno obremenitvijo razredov I, II, III in IV</w:t>
            </w:r>
            <w:r>
              <w:rPr>
                <w:sz w:val="20"/>
                <w:vertAlign w:val="superscript"/>
              </w:rPr>
              <w:t xml:space="preserve">10</w:t>
            </w:r>
            <w:r>
              <w:rPr>
                <w:sz w:val="20"/>
              </w:rPr>
              <w:t xml:space="preserve">) ter gradnjo letaliških stez</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za gradnjo cest s prometno obremenitvijo razredov V do VI</w:t>
            </w:r>
            <w:r>
              <w:rPr>
                <w:sz w:val="20"/>
                <w:vertAlign w:val="superscript"/>
              </w:rPr>
              <w:t xml:space="preserve">10</w:t>
            </w:r>
            <w:r>
              <w:rPr>
                <w:sz w:val="20"/>
              </w:rPr>
              <w:t xml:space="preserve">)</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Hidravlično vezane in nevezane mešanice za gradnjo cest in drugih prometnih površin</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za gradnjo cest s prometno obremenitvijo razredov I, II, III in IV</w:t>
            </w:r>
            <w:r>
              <w:rPr>
                <w:sz w:val="20"/>
                <w:vertAlign w:val="superscript"/>
              </w:rPr>
              <w:t xml:space="preserve">10</w:t>
            </w:r>
            <w:r>
              <w:rPr>
                <w:sz w:val="20"/>
              </w:rPr>
              <w:t xml:space="preserve">) ter gradnjo letaliških stez</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za gradnjo cest s prometno obremenitvijo razredov V do VI</w:t>
            </w:r>
            <w:r>
              <w:rPr>
                <w:sz w:val="20"/>
                <w:vertAlign w:val="superscript"/>
              </w:rPr>
              <w:t xml:space="preserve">10</w:t>
            </w:r>
            <w:r>
              <w:rPr>
                <w:sz w:val="20"/>
              </w:rPr>
              <w:t xml:space="preserve">)</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Agregati za asfaltne mešanice in površinsko obdelavo cest, letališč in drugih prometnih površin</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V skladu z namenom:</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za poškodovane plasti</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za druge plasti</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Cement, apno in druga veziva</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Cement in običajne cementne mešanice za pripravo betona, malte, injekcijske malte (injekcijske mase) in drugih mešanic</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Poseben cement, odporen na nizke temperature, beli cement, cement, odporen na žveplo in morsko vodo, nizkoalkalni cement, kalcijev aluminatni cement z zelo nizko toploto hidratacije, plavžni cement z nizko začetno močjo, zidarski cement in cestni cement za pripravo betona, malte, injekcijske malte (injekcijske mase) in drugih mešanic</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Gradbeno apno, vključno z živim apnom, dolomitnim apnom in hidravličnim apnom za pripravo betona, malte, injekcijske malte (injekcijske mase) in drugih mešanic</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Hidravlična vezivna sredstva za izdelavo mešanic za osnovne plasti prometnih površin in hidravlična vezivna sredstva za izdelavo malte</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Hibridni cement za pripravo betona, malte, injekcijske malte (injekcijske mase) in drugih mešanic</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Beton, malta, injekcijske mešanice, dodatki in kemijski dodatki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Beton, izdelan v stacionarnih ali mobilnih napravah za mešanje betona</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Brizgani beton</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Mešanice za injekcijske malte (injekcijske mase)</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Tovarniška malta in druge snovi za zidarska dela</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V skladu s tipom:</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predlagana malta</w:t>
            </w:r>
            <w:r>
              <w:rPr>
                <w:sz w:val="20"/>
                <w:vertAlign w:val="superscript"/>
              </w:rPr>
              <w:t xml:space="preserve">g</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malta s predpisano sestavo</w:t>
            </w:r>
            <w:r>
              <w:rPr>
                <w:sz w:val="20"/>
                <w:vertAlign w:val="superscript"/>
              </w:rPr>
              <w:t xml:space="preserve">g</w:t>
            </w:r>
            <w:r>
              <w:rPr>
                <w:sz w:val="20"/>
              </w:rPr>
              <w:t xml:space="preserve">)</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druge snovi</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Tovarniška malta za notranje in zunanje premaze na osnovi anorganskih veziv, vključno s toplotnoizolacijsko malto</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Tovarniška malta za druge vrste premazov</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Kemijski dodatki za beton, malto in injekcijsko maso</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V skladu s tipom:</w:t>
            </w:r>
            <w:r>
              <w:rPr>
                <w:sz w:val="20"/>
                <w:vertAlign w:val="superscript"/>
              </w:rPr>
              <w:t xml:space="preserve">h</w:t>
            </w:r>
            <w:r>
              <w:rPr>
                <w:sz w:val="20"/>
              </w:rPr>
              <w:t xml:space="preserve">)</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tip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tip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Dodatki za beton, malto in injekcijsko maso ter dodatki za injekcijsko malto za prednapete elemente</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armiranje in prednapenjanje betona</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Palice, drogovi, nazobčani jekleni pasovi, mreže in distančni (letveni) armirni elementi iz jekla ali sestavljenih materialov ter proizvodi, ki so industrijsko proizvedeni z oblikovanjem</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Vlakna za povečanje trdnosti betona in malte, vključno z injekcijsko malto (razdeljena opora)</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za konstrukcijski</w:t>
            </w:r>
            <w:r>
              <w:rPr>
                <w:sz w:val="20"/>
                <w:vertAlign w:val="superscript"/>
              </w:rPr>
              <w:t xml:space="preserve">b</w:t>
            </w:r>
            <w:r>
              <w:rPr>
                <w:sz w:val="20"/>
              </w:rPr>
              <w:t xml:space="preserve">) beton in malto</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za druge vrste betona in malte</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Proizvodi za prednapenjanje, zlasti žice, kabli, navojne palice ter rebrasti, ravni ali gladki kabli in kabli za prednapenjanje</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Sistemi za dodatno prednapenjanje konstrukcij, razen cevi in ohišij</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Cevi in ohišja za zaščito proizvodov za prednapenjanje in ravnanje z njimi</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Kovinski profili, ploski kovinski proizvodi, odlitki in kovani predmeti</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Vroče valjani, hladno oblikovani ali drugače izdelani kovinski preseki (profili) različnih oblik (T, L, H, U, Z ,I), kanali, votli profili, cevi, ploski proizvodi (pokrovi, plošče, trakovi), palice (razen palic za armiranje in prednapenjanje), odlitki in kovani predmeti, nezaščiteni ali zaščiteni s premazom za zaščito pred korozijo, za uporabo pri gradnji kovinskih konstrukcij ali za gradnjo stavb v kombinaciji kovine in drugih materialov</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Zidarski elementi in dodatni proizvodi</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Zidarske enote z vgrajenimi toplotnoizolacijskimi materiali ali brez, notranje in zunanje, razen opažnih elementov, elementov za tlakovanje, dimniških vodov in enonadstropnih panelov</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V skladu s kategorijo:</w:t>
            </w:r>
            <w:r>
              <w:rPr>
                <w:sz w:val="20"/>
                <w:vertAlign w:val="superscript"/>
              </w:rPr>
              <w:t xml:space="preserve">i</w:t>
            </w:r>
            <w:r>
              <w:rPr>
                <w:sz w:val="20"/>
              </w:rPr>
              <w:t xml:space="preserve">)</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kategorija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kategorija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Za namen, predviden v PPV; klasifikacija v skladu z ROO:</w:t>
            </w:r>
            <w:r>
              <w:rPr>
                <w:sz w:val="20"/>
                <w:vertAlign w:val="superscript"/>
              </w:rPr>
              <w:t xml:space="preserve">j</w:t>
            </w:r>
            <w:r>
              <w:rPr>
                <w:sz w:val="20"/>
              </w:rPr>
              <w:t xml:space="preserve">)</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Dodatni gradbeni elementi za stene, zlasti pritrdilni elementi, vezi, obešala, podporni elementi, konzole, preklade in jeklo za armiranje spojev in priključkov</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Vgrajeni opažni sistemi</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Opažni sistemi na osnovi votlih zidakov (opažnih vstavkov) ali plošč, medsebojno povezanih s priključki iz izolirnega materiala ali kombinacije izolirnega in drugih materialov ter napolnjenih z betonom ali armiranim betonom, ki se uporabljajo za gradnjo nosilnih ali nenosilnih notranjih in zunanjih sten</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 do E) v skladu z oddelkom 4(1),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Opažni sistemi, katerih osnova so betonski opažni elementi ali betonski paneli, povezani s priključki</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V skladu z nosilnostjo:</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nosilni</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nenosilni</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Nosilni elementi stavb in inženirskih objektov</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montažni tramovi, povezovalni tramovi, stebri in plošče iz betona</w:t>
            </w:r>
            <w:r>
              <w:rPr>
                <w:sz w:val="20"/>
                <w:vertAlign w:val="superscript"/>
              </w:rPr>
              <w:t xml:space="preserve">c</w:t>
            </w:r>
            <w:r>
              <w:rPr>
                <w:sz w:val="20"/>
              </w:rPr>
              <w:t xml:space="preserve">) ali zidarskih elementov in kovine z zaščitnim premazom za zaščito pred korozijo ali brez, varjeni ali nevarjeni</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tramovi, povezovalni tramovi, stebri in plošče iz lepljenega lameliranega lesa</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tramovi, povezovalni tramovi, stebri in plošče iz naravnega lesa</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V skladu z ROO:</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 do E) v skladu z oddelkom 4(1),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Lahki sestavljeni tramovi in stebri na lesni osnovi z vsaj enim konstrukcijskim elementom na lesni osnovi</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Montažni konstrukcijski</w:t>
            </w:r>
            <w:r>
              <w:rPr>
                <w:sz w:val="20"/>
                <w:vertAlign w:val="superscript"/>
              </w:rPr>
              <w:t xml:space="preserve">b</w:t>
            </w:r>
            <w:r>
              <w:rPr>
                <w:sz w:val="20"/>
              </w:rPr>
              <w:t xml:space="preserve">) paneli na lesni osnovi v obliki zaprtih ali odprtih kaset, obloženi od znotraj ali od zunaj, ki lahko vsebujejo membranske, izolacijske, ojačitvene in pritrdilne elemente, za gradnjo sten, tal, streh ipd.</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Betonski</w:t>
            </w:r>
            <w:r>
              <w:rPr>
                <w:sz w:val="20"/>
                <w:vertAlign w:val="superscript"/>
              </w:rPr>
              <w:t xml:space="preserve">c</w:t>
            </w:r>
            <w:r>
              <w:rPr>
                <w:sz w:val="20"/>
              </w:rPr>
              <w:t xml:space="preserve">) paneli z ali brez opor za tramvajske proge</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izolacijski paneli s kovinskim ohišjem</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Druge značilnosti</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Sistemi stavb in sob ter stavbne enote</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Sistemi stavb z okvirji iz lesa ali hlodovine</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Sistemi stavb z okvirji iz kovine ali betona</w:t>
            </w:r>
            <w:r>
              <w:rPr>
                <w:sz w:val="20"/>
                <w:vertAlign w:val="superscript"/>
              </w:rPr>
              <w:t xml:space="preserve">c)</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Montažne stavbne enote, razen montažnih garaž</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Sistemi za hladno shranjevanje brez hladilnega sistema za namestitev znotraj stavbe</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Montažne garaže</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Plošče in paneli na osnovi lesa ter sestavljeni lahki paneli</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Plošče na lesni osnovi v obliki plosko vezanega naravnega lesa, lameliranega furnirja, zlepljenih plošč, OSB-plošč in ivernih plošč, povezanih s pomočjo cementa ali smole, ter vlaknene plošče, izdelane na suh ali vlažen način, z morebitno vsebnostjo kemikalij za izboljšanje odziva na ogenj in odpornosti na biotsko obremenitev</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 in odzivom na ogenj:</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konstrukcijski</w:t>
            </w:r>
            <w:r>
              <w:rPr>
                <w:sz w:val="20"/>
                <w:vertAlign w:val="superscript"/>
              </w:rPr>
              <w:t xml:space="preserve">b</w:t>
            </w:r>
            <w:r>
              <w:rPr>
                <w:sz w:val="20"/>
              </w:rPr>
              <w:t xml:space="preserve">) elementi</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 do E) v skladu z oddelkom 4(1),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nenosilni elementi</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Samonosilni izolacijski paneli (sendvič plošče) z dvostransko pločevino ali brez</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 (A1FL, A2FL, BFL, CFL) v skladu z oddelkom 4(2)(a)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(A1FL, A2FL, BFL, CFL) v skladu z oddelkom 4(2)(b),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 (A1FL do EFL) v skladu z oddelkom 4(1),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za razdelitev požarnih oddelkov</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Samonosilni sestavljeni lahki paneli (razen proizvodov iz skupine 1802) z oblogo, izdelano iz različnih organskih, mineralnih ali kovinskih materialov, iz zunanje ali notranje strani, ki so lahko povezani z notranjim okvirjem ali izolacijsko sredico ter namenjeni za gradnjo notranjih ali zunanjih sten, stropov in streh ter stenskih oblog</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 (A1FL, A2FL, BFL, CFL) v skladu z oddelkom 4(2)(a)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(A1FL, A2FL, BFL, CFL) v skladu z oddelkom 4(2)(b),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 (A1FL do EFL) v skladu z oddelkom 4(1),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za razdelitev požarnih oddelkov</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Toplotnoizolacijski proizvodi in sistemi</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Toplotnoizolacijski sistemi, namenjeni zunanji izolaciji sten (ETICS), na osnovi mehansko pritrjenih ali prilepljenih toplotnoizolacijskih plošč</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Za namen, predviden v PPV; klasifikacija v skladu z ROO:</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4(2)(b), D, E, (A1 do E) v skladu z oddelkom 4(1),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Toplotnoizolacijski sistemi, namenjeni toplotni izolaciji zunanjih sten (Vetures), iz zunanjih ploščnih elementov, toplotnoizolacijske plasti in pritrdilnih elementov.</w:t>
            </w:r>
            <w:r>
              <w:rPr>
                <w:sz w:val="20"/>
              </w:rPr>
              <w:t xml:space="preserve"> </w:t>
            </w:r>
            <w:r>
              <w:rPr>
                <w:sz w:val="20"/>
              </w:rPr>
              <w:t xml:space="preserve">Plošče so lahko ob dobavi že pritrjene na izolacijsko plast ali pa je treba zadevne elemente povezati na gradbišču.</w:t>
            </w:r>
            <w:r>
              <w:rPr>
                <w:sz w:val="20"/>
              </w:rPr>
              <w:t xml:space="preserve"> </w:t>
            </w:r>
            <w:r>
              <w:rPr>
                <w:sz w:val="20"/>
              </w:rPr>
              <w:t xml:space="preserve">Pritrditi jih je treba tako, da med izolacijsko plastjo in steno ni zračne vrzeli.</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Toplotnoizolacijski proizvodi v obliki plošč, podlog, valjanih trakov ali v drugi obliki, namenjeni stavbam</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Toplotnoizolacijski proizvodi, ki se oblikujejo ali uporabijo na kraju samem, iz razsutih, pihanih ali penastih materialov, namenjeni stavbam</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Toplotnoizolacijski proizvodi v različnih oblikah, namenjeni tehnični opremi stavb in industrijskim napeljavam</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Proizvodi za toplotno izolacijo cest, železniških tirov in za druge vrste uporabe v gradbeništvu (lahko polnilo in izolacija pred zmrzaljo, zmanjšanje prečnega pritiska tal na podporne stene in stebre mostov, porazdelitev teže cevi, ki so zakopane v jarkih, itd.)</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Za namen, predviden v PPV; klasifikacija v skladu z ROO:</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Lahke obloge in samonosilni strešni sistemi</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Viseče stene</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Konstrukcijske</w:t>
            </w:r>
            <w:r>
              <w:rPr>
                <w:sz w:val="20"/>
                <w:vertAlign w:val="superscript"/>
              </w:rPr>
              <w:t xml:space="preserve">b</w:t>
            </w:r>
            <w:r>
              <w:rPr>
                <w:sz w:val="20"/>
              </w:rPr>
              <w:t xml:space="preserve">) lepljene stene z zastekljeno fasado ali streho istega sistema z minimalnim naklonom 7°, z mehanskim prenosom lastne teže in drugih sil (npr. vetra ali snega) na tesnilni podporni okvir in posledično na stavbno konstrukcijo</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V skladu s tipom:</w:t>
            </w:r>
            <w:r>
              <w:rPr>
                <w:sz w:val="20"/>
                <w:vertAlign w:val="superscript"/>
              </w:rPr>
              <w:t xml:space="preserve">k</w:t>
            </w:r>
            <w:r>
              <w:rPr>
                <w:sz w:val="20"/>
              </w:rPr>
              <w:t xml:space="preserve">)</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tipa I in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tipa II in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Samonosilni prosojni strešni sistemi, razen sistemov na osnovi stekla</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preskusa OPZS ni treba opraviti</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Sestavljene strešne kritine, strešna okna in stropna okna</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Strešniki, paneli, valovite plošče, skodle in strešni elementi – keramični, betonski, iz vlaknatega cementa, skrilavca, kamna, plastike, asfalta itd.</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Ploski in oblikovani paneli iz kovinskih plošč, plastike itd.</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Tovarniški sestavljeni in izolacijski strešni paneli z izolacijo ali brez</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Strešna okna in stropna okna</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proizvodi, za katere preskusa OPZS ni treba opraviti</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za uporabo pri požarnih oddelkih</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za uporabo, ki bo pripomogla k trdnosti strehe</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za uporabo v skladu s PRNS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Strešne membrane in vliti proizvodi</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Paronepropustne in paropropustne plasti, osnovne strešne plasti in strešne folije ter druge strešne prevleke</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Opomba:</w:t>
            </w:r>
            <w:r>
              <w:rPr>
                <w:sz w:val="20"/>
              </w:rPr>
              <w:t xml:space="preserve"> </w:t>
            </w:r>
            <w:r>
              <w:rPr>
                <w:sz w:val="20"/>
              </w:rPr>
              <w:t xml:space="preserve">proizvodi so zajeti v skupinah 0403, 0404 in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Sistemi za hidroizolacijo streh, ki se nanašajo v tekočem stanju</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preskusa OPZS ni treba opraviti</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Hidroizolacijski strešni sistemi, ki se nanašajo na lokaciji z uporabo tekočega asfalta ali brizgane pene</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preskusa OPZS ni treba opraviti</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Sistemi mehansko pritrjenih prožnih hidroizolacijskih prevlek, vključno s sistemi za pritrditev, združevanje in pritrjevanje robov, tudi s toplotno izolacijo</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Hidroizolacijski in/ali toplotnoizolacijski lepljeni strešni sistemi</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Obrnjeni strešni izolacijski sklopi</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Strešni dodatki in drugi proizvodi za strehe</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Dodatki za dostop do strehe, zlasti strešne brvi in stopnice, ploščadi, varnostni kavlji in elementi za sidranje, ki so namenjeni vzdrževanju in popravilom streh</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Strešniki, slemenjaki, paneli, spojke za prekrivanje strehe, ograje in mansardni strešni paneli</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Trdne ravne ali oblikovane osnovne plošče pod sestavljeno strešno kritino</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Vrata in pribor (dodatki)</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Požarna/dimnotesna vrata z dodatki ali brez za razdelitev požarnih oddelkov</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Vrata do zasilnih poti z dodatki ali brez</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Konstrukcijski dodatki (tečaji, ključavnice, zapiralni sistemi itd.) požarnih/dimnotesnih vrat in vrat do zasilnih izhodov</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Vrata z dodatki ali brez, ki so primerna za uporabo v skladu s specifičnimi zahtevami, zlasti za zvočno in toplotno izolacijo, trdnost in tesnjenje ter varno uporabo</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Vrata z dodatki ali brez za notranjo uporabo med prostori podobnega okolja</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Okna</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Požarna/dimnotesna okna z dodatki ali brez za razdelitev požarnih oddelkov</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Okna do zasilnih poti z dodatki ali brez</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Druga okna z dodatki ali brez</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Oknice in navojnice</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Oknice in navojnice za zunanjo uporabo z dodatki ali brez</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Posebni stekleni proizvodi, materiali, ki so podobni steklu, in materiali za zastekljevanje</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Ploski ali ukrivljeni stekleni paneli, oblikovano steklo z žičnatimi vložki ali brez, enote izolacijskega stekla, stekleni dodatki in stekleni paneli iz steklenih sistemov, stenski paneli iz steklenih blokov</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V skladu s posebnimi lastnostmi ali namenom:</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odporni na ogenj</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odporni na strelne krogle in/ali eksplozijo</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varnost (tveganje poškodb)</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toplotna in/ali zvočna izolacija</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Ploske in ukrivljene plošče iz materialov, ki so podobni steklu</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V skladu s posebnimi lastnostmi ali namenom:</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odporni na ogenj</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odporni na strelne krogle in/ali eksplozijo</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varnost (tveganje poškodb)</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toplotna in/ali zvočna izolacija</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 ali potrebo po preskušanju OPZS:</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proizvodi, za katere je treba opraviti preskus OPZS</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Cement za zastekljevanje, razen cementa za akvarije, strukturno</w:t>
            </w:r>
            <w:r>
              <w:rPr>
                <w:sz w:val="20"/>
                <w:vertAlign w:val="superscript"/>
              </w:rPr>
              <w:t xml:space="preserve">b)</w:t>
            </w:r>
            <w:r>
              <w:rPr>
                <w:sz w:val="20"/>
              </w:rPr>
              <w:t xml:space="preserve"> zastekljevanje, cementiranje izolacijskega stekla, horizontalno zastekljevanje, do naklona &lt; 70 in cementiranje organskega stekla iz polikarbonata, polimetil metakrilata itd.</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Cement za cementiranje organskega stekla iz polikarbonata, polimetil metakrilata itd.</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Montažne stopnice in stopniščni sistemi</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Popolni montažni stopniščni sistemi (razen podstrešnih in galerijskih stopnic)</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Za namen, predviden v PPV; klasifikacija v skladu z ROO:</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Montažne stopnice iz betona</w:t>
            </w:r>
            <w:r>
              <w:rPr>
                <w:sz w:val="20"/>
                <w:vertAlign w:val="superscript"/>
              </w:rPr>
              <w:t xml:space="preserve">c)</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Plošče iz betona in teraca itd. za notranje in zunanje stopnice</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V skladu z nosilnostjo:</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nosilne</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nenosilne</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Predelni sistemi in cementi za predelne in notranje stene</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Samonosilni predelni sistemi za fiksno in premično namestitev</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Za razdelitev požarnih oddelkov</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Varnost (tveganje poškodb)</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Cement za predelne in notranje stene</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Mavčni proizvodi za stene, predelne stene in strope</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Pritrdilni mavčni sistemi in lepila za nenosilne predelne stene, stenske plošče in protipožarno zaščito (pritrdilni sistemi niso primerni za strope)</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Za protipožarno zaščito</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Mavčne plošče in stropni elementi s tankim površinskim premazom, vlaknati mavčni paneli in sestavljeni paneli (laminati) ter mavčna veziva, vključno s povezanimi dodatnimi proizvodi</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za protipožarno zaščito konstrukcijskih elementov in razdelitev požarnih oddelkov</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za ojačitev lesenih okvirjev sten in lesenih škarnikov</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polaganje ploščic in talnih oblog</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Elementi za tlakovanje, ploščice, mozaiki, laminatne plošče in parketi, prekrivne mreže in platna, talne rešetke in stopnice, trdna laminatna tla, proizvodi na lesni osnovi za notranjo uporabo, vključno z notranjimi javnimi cestami</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Sistemi za dvignjena in spuščena tla za notranjo uporabo, vključno z notranjimi javnimi cestami</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V skladu z ROO:</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(A1FL do EFL) v skladu z oddelkom 4(1),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Premazi pod tlemi, sredstva za uravnavanje višine, lita tla in materiali za tla v razsutem stanju ter premazi tal, vključno z notranjimi javnimi cestami</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Za notranjo uporabo v skladu z ROO:</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Homogeni ali heterogeni prožni materiali za tla v obliki ploščic, pol ali zvitkov, in sicer tekstilne, plastične, gumene, linolejske, plutovinaste, antistatične prevleke, prožna laminatna tla in prožne ploščice</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4(2)(b), DFL, EFL, (A1FL do EFL) v skladu z oddelkom 4(1),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za zunanjo uporabo</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Premazi za površinsko obdelavo tal</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stenske in stropne obloge, vključno z visečimi stropi in dodatno opremo</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Obloge v obliki zvitkov, ploščice, skodle, plošče [razen v primeru betona</w:t>
            </w:r>
            <w:r>
              <w:rPr>
                <w:sz w:val="20"/>
                <w:vertAlign w:val="superscript"/>
              </w:rPr>
              <w:t xml:space="preserve">c</w:t>
            </w:r>
            <w:r>
              <w:rPr>
                <w:sz w:val="20"/>
              </w:rPr>
              <w:t xml:space="preserve">)] paneli in profili za oblaganje zunanjih in notranjih sten in stropov</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Sistemi visečih stropov za notranjo in zunanjo uporabo</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za protipožarno zaščito</w:t>
            </w:r>
            <w:r>
              <w:rPr>
                <w:sz w:val="20"/>
                <w:vertAlign w:val="superscript"/>
              </w:rPr>
              <w:t xml:space="preserve">m</w:t>
            </w:r>
            <w:r>
              <w:rPr>
                <w:sz w:val="20"/>
              </w:rPr>
              <w:t xml:space="preserve">)</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za ojačitev</w:t>
            </w:r>
            <w:r>
              <w:rPr>
                <w:sz w:val="20"/>
                <w:vertAlign w:val="superscript"/>
              </w:rPr>
              <w:t xml:space="preserve">n</w:t>
            </w:r>
            <w:r>
              <w:rPr>
                <w:sz w:val="20"/>
              </w:rPr>
              <w:t xml:space="preserve">)</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varnost (tveganje poškodb)</w:t>
            </w:r>
            <w:r>
              <w:rPr>
                <w:sz w:val="20"/>
                <w:vertAlign w:val="superscript"/>
              </w:rPr>
              <w:t xml:space="preserve">o</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Profili za pritrditev stenskih in stropnih oblog ter viseči okvirji za namestitev visečih stropov</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Malte in lepila za obloge za notranjo in zunanjo uporabo</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Sistemi za oblaganje zunanjih sten, ki služijo kot zaščita pred vremenskimi vplivi in lahko prispevajo k toplotni izolaciji zunanjih sten, razen komponent teh sistemov, ki se dostavijo ločeno, in sistemov iz skupin 1901, 1902 in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Montažni kovinski okvirji za obešanje težkih stropov, z zaščitnim premazom za zaščito pred korozijo ali brez, varjeni ali nevarjeni</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V skladu z ROO:</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 (A1 do E) v skladu z oddelkom 4(1),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Spojni elementi, varilni materiali in lepila</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Spojni elementi za kovinske konstrukcijske</w:t>
            </w:r>
            <w:r>
              <w:rPr>
                <w:sz w:val="20"/>
                <w:vertAlign w:val="superscript"/>
              </w:rPr>
              <w:t xml:space="preserve">b</w:t>
            </w:r>
            <w:r>
              <w:rPr>
                <w:sz w:val="20"/>
              </w:rPr>
              <w:t xml:space="preserve">) dele stavb, zlasti zakovice, zatiči, sponke in vijaki z maticami in podložkami</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Spojni elementi za proizvode iz konstrukcijskega</w:t>
            </w:r>
            <w:r>
              <w:rPr>
                <w:sz w:val="20"/>
                <w:vertAlign w:val="superscript"/>
              </w:rPr>
              <w:t xml:space="preserve">b</w:t>
            </w:r>
            <w:r>
              <w:rPr>
                <w:sz w:val="20"/>
              </w:rPr>
              <w:t xml:space="preserve">) lesa, zlasti lesne spojke, cepiči, spojniki, cilindrični kovinski in leseni spojniki, leseni vijaki, svorniki z navojem in žeblji</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Zarezniki in vezice s stisnjenimi glavami za proizvode iz konstrukcijskega</w:t>
            </w:r>
            <w:r>
              <w:rPr>
                <w:sz w:val="20"/>
                <w:vertAlign w:val="superscript"/>
              </w:rPr>
              <w:t xml:space="preserve">b</w:t>
            </w:r>
            <w:r>
              <w:rPr>
                <w:sz w:val="20"/>
              </w:rPr>
              <w:t xml:space="preserve">) lesa</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Tridimenzionalne žebljične priključne plošče za proizvode iz konstrukcijskega</w:t>
            </w:r>
            <w:r>
              <w:rPr>
                <w:sz w:val="20"/>
                <w:vertAlign w:val="superscript"/>
              </w:rPr>
              <w:t xml:space="preserve">b</w:t>
            </w:r>
            <w:r>
              <w:rPr>
                <w:sz w:val="20"/>
              </w:rPr>
              <w:t xml:space="preserve">) lesa</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Kovinska sidra za beton (tipi, namenjeni lahkim sistemom) za pritrditev ali ojačitev lahkih visečih stropov, inštalacij itd.</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Kovinska sidra za beton (tipi za visoke obremenitve) za pritrditev ali ojačitev betonskih konstrukcijskih</w:t>
            </w:r>
            <w:r>
              <w:rPr>
                <w:sz w:val="20"/>
                <w:vertAlign w:val="superscript"/>
              </w:rPr>
              <w:t xml:space="preserve">b</w:t>
            </w:r>
            <w:r>
              <w:rPr>
                <w:sz w:val="20"/>
              </w:rPr>
              <w:t xml:space="preserve">) elementov ali težkih delov, kot so obloge in viseči stropi</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Kovinska injicirana (polnjena) sidra, ki se v okviru zidarskih del uporabljajo za pritrditev ali ojačitev konstrukcijskih</w:t>
            </w:r>
            <w:r>
              <w:rPr>
                <w:sz w:val="20"/>
                <w:vertAlign w:val="superscript"/>
              </w:rPr>
              <w:t xml:space="preserve">b</w:t>
            </w:r>
            <w:r>
              <w:rPr>
                <w:sz w:val="20"/>
              </w:rPr>
              <w:t xml:space="preserve">) elementov, ki prispevajo k stabilnosti stavbe ali težkih elementov, kot so obloge in inštalacije</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Plastična sidra za beton in uporabo v zidovih, namenjena za sisteme, kot so fasadni sistemi, vključno s toplotnoizolacijskimi sistemi, za pritrditev ali ojačitev elementov, ki prispevajo k stabilnosti omenjenih sistemov</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Materiali za varjenje kovinskih strukturnih</w:t>
            </w:r>
            <w:r>
              <w:rPr>
                <w:sz w:val="20"/>
                <w:vertAlign w:val="superscript"/>
              </w:rPr>
              <w:t xml:space="preserve">b</w:t>
            </w:r>
            <w:r>
              <w:rPr>
                <w:sz w:val="20"/>
              </w:rPr>
              <w:t xml:space="preserve">) delov stavb</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Zatični in nezatični kovinski vijaki in zakovice s podložkami za pritrditev lahkih fasadnih sistemov in naklonskih strešnih kritin</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Pritrdilni elementi iz plastičnih priključkov ali ploščatih podložk ter navojne palice in samorezni vijaki za hidroizolacijske in toplotnoizolacijske plasti</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Raztezni zatiči, ki omogočajo relativno gibljivost med priključenimi ploščami ali med ploščami in stenami</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Lepila za uporabo na konstrukcijskih</w:t>
            </w:r>
            <w:r>
              <w:rPr>
                <w:sz w:val="20"/>
                <w:vertAlign w:val="superscript"/>
              </w:rPr>
              <w:t xml:space="preserve">b</w:t>
            </w:r>
            <w:r>
              <w:rPr>
                <w:sz w:val="20"/>
              </w:rPr>
              <w:t xml:space="preserve">) delih stavb in inženirskih objektov</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Sidrišča, ki se uporabljajo na gradbiščih in preprečujejo, da bi osebe padle z višine, oziroma padec z višine zaustavijo</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Cevi, rezervoarji in dodatna oprema za pitno vodo</w:t>
            </w:r>
            <w:r>
              <w:rPr>
                <w:b/>
                <w:sz w:val="20"/>
                <w:vertAlign w:val="superscript"/>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Cevovodi in sistemi za shranjevanje iz skupin proizvodov 3402 do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Cevi za distribucijo pitne vode v okviru tlačnega ali netlačnega sistema znotraj ali zunaj stavb, nameščene na površini ali pod njo</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Priključne cevi</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Tlačni in netlačni rezervoarji, vključno z rezervoarji za toplo vodo, nameščeni na površini ali pod njo</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Zaščitne in varnostne naprave, kot so detektorji puščanja, sistemi za preprečevanje prenapolnjenosti rezervoarja itd.</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Fitingi, spojke, spajke, lepila in tesnila za tesno vezavo togih in gibkih cevi ter cevi iz nodularne litine</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Armature</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Črpalke in vodni števci</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Membrane, smole, premazi, polnila in maziva</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Cevi, rezervoarji in dodatki za oskrbo s sanitarno in pitno vodo</w:t>
            </w:r>
            <w:r>
              <w:rPr>
                <w:b/>
                <w:sz w:val="20"/>
                <w:vertAlign w:val="superscript"/>
              </w:rPr>
              <w:t xml:space="preserve">11</w:t>
            </w:r>
            <w:r>
              <w:rPr>
                <w:b/>
                <w:sz w:val="20"/>
              </w:rPr>
              <w:t xml:space="preserve">), plinom in tekočimi gorivi</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Proizvodi za prevoz, distribucijo in shranjevanje sanitarne vode, kot so cevi, priključne cevi, rezervoarji, detektorji puščanja, sistemi za preprečevanje prenapolnjenosti rezervoarja, fitingi, spojke, spajke, lepila, tesnila, nosilci za cevi (brez sider), črpalke, armature in varnostne naprave ter sistemi cevovodov in rezervoarjev, ki jih sestavljajo omenjeni proizvodi</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Za sisteme ogrevanja</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r>
              <w:rPr>
                <w:sz w:val="20"/>
                <w:vertAlign w:val="superscript"/>
              </w:rPr>
              <w:t xml:space="preserve">p</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Proizvodi za prevoz, distribucijo in shranjevanje plina ali tekočega goriva iz zunanjega rezervoarja, zadnje postaje za uravnavanje tlaka ali prvega ločevalnega ventila (vedno zunaj stavbe) po vstopu v sistem za ogrevanje vode ali ogrevanje ali hlajenje stavbe, kot so cevi, priključne cevi, rezervoarji, detektorji puščanja, sistemi za preprečevanje prenapolnjenosti rezervoarja, fitingi, spojke, spajke, lepila, nosilci (brez sider), armature in varnostne naprave ter sistemi cevovodov in rezervoarjev, ki jih sestavljajo omenjeni proizvodi</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Za namestitev na območjih, kjer se zahteva požarna odpornost</w:t>
            </w:r>
            <w:r>
              <w:rPr>
                <w:sz w:val="20"/>
                <w:vertAlign w:val="superscript"/>
              </w:rPr>
              <w:t xml:space="preserve">q</w:t>
            </w:r>
            <w:r>
              <w:rPr>
                <w:sz w:val="20"/>
              </w:rPr>
              <w:t xml:space="preserve">)</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distribucijo električne energije, upravljanje in komunikacijo</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Kabli za distribucijo električne energije, upravljanje in komunikacijo</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za namen, določen v PPV v zvezi s požarno odpornostjo</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za uporabo v skladu s PRNS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Rešetke, žlebovi, kanali, ovire, mreže in zavese za polaganje kablov in proizvodi za pritrjevanje kablov za distribucijo električne energije, upravljanje in komunikacijo</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Proizvodi za povezovanje kablov (ohišja in cela pokrivala) za distribucijo električne energije, upravljanje in komunikacijo</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Nizkonapetostni električni razdelilniki za distribucijo električne energije, upravljanje in komunikacijo</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Za namen, določen v PPV v zvezi s požarno odpornostjo</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Dodatki za kable (cevi za kabelsko napeljavo, plošče, kanali, ohišja itd.)</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Za namen, za katerega se PPV uporabljajo v zvezi s širjenjem ognja, PRNS pa v zvezi z vsebnostjo halogenih elementov</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Dimniki</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Kovinski proizvodi za dimniške sisteme (razen dodatkov za dimnike), glinasti/keramični ali betonski vložki za dimnike, vstavki in elementi na zunanjih stenah, materiali za zidane vstavke in montažne jeklene proizvode ter vložki samostojnih dimnikov</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Dimniški sistemi s plastičnimi vložki</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Dimniški priključki, razen plastičnih priključkov</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Oprema za ogrevanje in ognjevarni elementi</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Naprave, ki za ogrevanje bivalnih prostorov uporabljajo trdna goriva, kot so peči, pečice in vgrajene naprave (kamini itd.)</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Naprave na trdna goriva za kuhanje v gospodinjstvih</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Grelniki na tekoče ali plinasto gorivo</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Grelniki brez lastnega vira energije, zlasti radiatorji, konvektorji, konvektorji z vpihovanjem toplega zraka, vključno z ventilatorji, grelnimi režami in šobami, sevalnimi stropnimi paneli in drugimi stacionarnimi grelnimi napravami ter sistemi za stensko in talno gretje</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Ognjevzdržni elementi, malta in ploščice za gradnjo vgradnih naprav na trdna goriva za ogrevanje bivalnih prostorov</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Sanitarna oprema in materiali</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Umivalniki, korita, komunalni odtočni žlebovi, bideji, kopalne kadi, masažne kadi in prhe</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Zavese za prhe in kadi ter zaščitne pregrade</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Straniščni sestavi</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Pisoarji, straniščne školjke, suha, kemična in kompostna stranišča, stranišča z maceracijo odpadnih snovi in stranišča na počep</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Sistemi za splakovanje</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Modularna javna stranišča in montažna stranišča</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V skladu z ROO:</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Cement za priključitev na sanitarno infrastrukturo, razen cementa za industrijsko rabo, za distribucijo pitne vode, ki prihaja v stik s hrano, in v podzemni uporabi, kot na primer za bazene, odtočne cevi itd.</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protipožarno zaščito in dušenje eksplozij</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Proizvodi za protipožarno zaščito ali izboljšanje požarne odpornosti, zlasti barve, prevleke ali obloge, razen mavčnih proizvodov, proizvodov iz mineralne volne in montažnih armiranih betonskih elementov</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Proizvodi za preprečevanje ali omejevanje širjenja ognja, kot so cement, tesnila, pene, elastomeri itd., ki se nanesejo na kraju samem ali so na voljo v tovarniški obliki, na primer plošče, plahte, blazine, vreče, ovoji, rokavi itd., tesnilni materiali za preprečevanje požarov, tesnila za linearne spoje, cevi, odporne na požar, in požarne zapore</w:t>
            </w:r>
            <w:r>
              <w:rPr>
                <w:sz w:val="20"/>
                <w:vertAlign w:val="superscript"/>
              </w:rPr>
              <w:t xml:space="preserve">12</w:t>
            </w:r>
            <w:r>
              <w:rPr>
                <w:sz w:val="20"/>
              </w:rPr>
              <w:t xml:space="preserve">), kot so dušilci ognja, tesnila in požarne zapore</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Prezračevalne enote za naravno ali umetno odstranjevanje toplote in produktov zgorevanja</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Prezračevalni sistemi in sistemi na osnovi diferenčnega tlaka za odstranjevanje produktov zgorevanja in toplote ali njihovi sestavni deli, kot so protidimne pregrade, lopute, prezračevalne cevi, detektorji, nadzorne plošče in alarmni sistemi, vključno z napajalno enoto</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Sistemi za dušenje eksplozij in njihovi sestavni deli</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Vgrajena gasilna oprema</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Hidranti in gasilna oprema</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Sestavni deli brizgalne in podobne gasilne opreme</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Sestavni deli opreme za gašenje požarov s plinom</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Sestavni deli opreme za gašenje požarov s prahom</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Sestavni deli opreme za gašenje požarov s peno</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Sestavni deli opreme za gašenje požarov z aerosolom</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Sestavni deli in oprema požarnih alarmov</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Električni požarni alarm – oprema za zvočni požarni alarm</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Električni požarni alarm – oprema za oskrbo z energijo</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Električni požarni alarm – točkovni detektorji toplote</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Električni požarni alarm – točkovni detektorji dima, ki uporabljajo razpršeno svetlobo, presevno svetlobo ali ionizacijo</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Električni požarni alarm – linijski detektorji dima, ki uporabljajo optični žarek</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Sestavni deli požarnih alarmov, ki niso vključeni v skupine 4201 do 4205 – detektorji dima, toplote in plamena, protipožarna stikala, oprema za prenos alarmnih signalov z zaščito pred kratkim stikom, alarmi, vhodne/izhodne</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enote, alarmi, ki jih je mogoče sprožiti s pritiskom na gumb, in povezana dodatna napajalna oprema</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Kombinirani požarni alarmi in alarmni sistemi ter sistemi za poročanje o požarih</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Premazne snovi in sistemi ter snovi in sistemi, ki prodrejo v notranjost materiala</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Premazi ter snovi in sistemi, ki prodrejo v notranjost materiala in tako zaščitijo konstrukcijske dele pred korozijo in preperevanjem, razen zaščite betonskih konstrukcij in protipožarne zaščite</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Premazni sistemi za zaščito kovinskih cevovodov in rezervoarjev pred korozijo</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Premazni sistemi za zaščito toplotne izolacije pred preperevanjem in premaznih sistemov pred vlago</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zvočno izolacijo in preprečevanje vibracij</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Sistemi v plavajočih podih za absorpcijo vibracij in hrupa</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Sistemi za stene za absorpcijo vibracij in hrupa</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Elementi za preprečevanje vibracij za pritrjevanje napeljav</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popravilo in zaščito betonskih</w:t>
            </w:r>
            <w:r>
              <w:rPr>
                <w:b/>
                <w:sz w:val="20"/>
                <w:vertAlign w:val="superscript"/>
              </w:rPr>
              <w:t xml:space="preserve">c</w:t>
            </w:r>
            <w:r>
              <w:rPr>
                <w:b/>
                <w:sz w:val="20"/>
              </w:rPr>
              <w:t xml:space="preserve">) konstrukcij</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Proizvodi za popravila betonskih</w:t>
            </w:r>
            <w:r>
              <w:rPr>
                <w:sz w:val="20"/>
                <w:vertAlign w:val="superscript"/>
              </w:rPr>
              <w:t xml:space="preserve">c</w:t>
            </w:r>
            <w:r>
              <w:rPr>
                <w:sz w:val="20"/>
              </w:rPr>
              <w:t xml:space="preserve">)</w:t>
            </w:r>
            <w:r>
              <w:rPr>
                <w:sz w:val="20"/>
                <w:vertAlign w:val="superscript"/>
              </w:rPr>
              <w:t xml:space="preserve"> </w:t>
            </w:r>
            <w:r>
              <w:rPr>
                <w:sz w:val="20"/>
              </w:rPr>
              <w:t xml:space="preserve">konstrukcij, na primer za zapolnjevanje odprtin, mašenje razpok itd.</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Proizvodi za dodatno ojačitev betonskih</w:t>
            </w:r>
            <w:r>
              <w:rPr>
                <w:sz w:val="20"/>
                <w:vertAlign w:val="superscript"/>
              </w:rPr>
              <w:t xml:space="preserve">c</w:t>
            </w:r>
            <w:r>
              <w:rPr>
                <w:sz w:val="20"/>
              </w:rPr>
              <w:t xml:space="preserve">) konstrukcij, na primer kovinske ali sestavljene palice, prilepljene na obdelano površino tramov itd.</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Proizvodi za zaščito betonskih</w:t>
            </w:r>
            <w:r>
              <w:rPr>
                <w:sz w:val="20"/>
                <w:vertAlign w:val="superscript"/>
              </w:rPr>
              <w:t xml:space="preserve">c</w:t>
            </w:r>
            <w:r>
              <w:rPr>
                <w:sz w:val="20"/>
              </w:rPr>
              <w:t xml:space="preserve">) konstrukcij, na primer proizvodi za impregniranje betonskih površin ali zaščito armiranih delov pred korozijo itd.</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V skladu z namenom:</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za konstrukcijske</w:t>
            </w:r>
            <w:r>
              <w:rPr>
                <w:sz w:val="20"/>
                <w:vertAlign w:val="superscript"/>
              </w:rPr>
              <w:t xml:space="preserve">b</w:t>
            </w:r>
            <w:r>
              <w:rPr>
                <w:sz w:val="20"/>
              </w:rPr>
              <w:t xml:space="preserve">) dele</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za druge dele</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V skladu z ROO:</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Posebni proizvodi</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Montažni betonski</w:t>
            </w:r>
            <w:r>
              <w:rPr>
                <w:sz w:val="20"/>
                <w:vertAlign w:val="superscript"/>
              </w:rPr>
              <w:t xml:space="preserve">c</w:t>
            </w:r>
            <w:r>
              <w:rPr>
                <w:sz w:val="20"/>
              </w:rPr>
              <w:t xml:space="preserve">) silos za razsuti material in zabojniki za trdne odpadke, nameščeni na površini ali pod njo</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Montažni betonski</w:t>
            </w:r>
            <w:r>
              <w:rPr>
                <w:sz w:val="20"/>
                <w:vertAlign w:val="superscript"/>
              </w:rPr>
              <w:t xml:space="preserve">c</w:t>
            </w:r>
            <w:r>
              <w:rPr>
                <w:sz w:val="20"/>
              </w:rPr>
              <w:t xml:space="preserve">) proizvodi za malo obremenjene in nenosilne dele stavb, razen cevi, rezervoarjev in ograjnih elementov, kot so telekomunikacijske omarice, majhni dovodi, nenosilni stenski elementi, stenski paneli itd.</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Montažni betonski</w:t>
            </w:r>
            <w:r>
              <w:rPr>
                <w:sz w:val="20"/>
                <w:vertAlign w:val="superscript"/>
              </w:rPr>
              <w:t xml:space="preserve">c</w:t>
            </w:r>
            <w:r>
              <w:rPr>
                <w:sz w:val="20"/>
              </w:rPr>
              <w:t xml:space="preserve">) elementi za ograje</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Montažna središča vodovodnih sistemov s požarno zaporo</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Sistemi za zaščito pred padajočimi skalami na gradbiščih</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Požarna dvigala</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Sistemi sanacije mokrih zidov</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Sistemi za zasteklitev balkonov in lož</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Proizvodi za igriščne površine</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Za notranjo uporabo v skladu z ROO:</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v skladu z oddelkom 4(2)(b), DFL, EFL, (A1FL do EFL) v skladu z oddelkom 4(1),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za zunanjo uporabo</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Sistemi hidroizolacijskih premazov ali oblog tal in sten vlažnih sob, kot so kopalnice, stranišča in pralnice</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Cement in proizvodi za razširitev zunanjih sten stavb</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ROO:</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v skladu z oddelkom 4(2)(b),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 do E) v skladu z oddelkom 4(1),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Varovalne ograje za stavbe</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Hidroizolacijski in toplotnoizolacijski sistemi, namenjeni gradnji in obnovi balkonov, lož in teras (balkonski sistemi)</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Prezračevalni vodi in cevi za prezračevanje stavb ter enote za rekuperacijo toplote</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Za osnovni namen</w:t>
            </w:r>
            <w:r>
              <w:rPr>
                <w:sz w:val="20"/>
                <w:vertAlign w:val="superscript"/>
              </w:rPr>
              <w:t xml:space="preserve">d</w:t>
            </w:r>
            <w:r>
              <w:rPr>
                <w:sz w:val="20"/>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Za namen, predviden v PPV; klasifikacija v skladu z vrsto ROO:</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na ROO vplivajo spremembe v proizvodnji v skladu z oddelkom 4(2)(a)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umestitev v ROO brez preskušanja v skladu z oddelkom 4(1)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ROO vrste, ki zgoraj ni navedena, v skladu z oddelkom 4(2)(b)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Uporabljene kratice:</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ETICS – zunanji toplotnoizolacijski sestavljeni sistem (External Thermal Insulation Composite System);</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PRNS – predpisi o ravnanju z nevarnimi snovmi;</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PPV – predpisi o požarni varnosti;</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politetrafluoroetilen;</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OPZS – obnašanje pri požaru z zunanje strani;</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SOL – sistem ocenjevanja lastnosti;</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ROO – razred odziva na ogenj.</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Pojasnjevalne opombe:</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a</w:t>
      </w:r>
      <w:r>
        <w:rPr>
          <w:sz w:val="20"/>
        </w:rPr>
        <w:t xml:space="preserve">) Sistemi ocenjevanja lastnosti I+, I, II+, III in IV so sistemi iz oddelka 3(1) in se uporabijo v primeru, da zadevne proizvode urejajo opredeljeni standardi ali slovaške tehnične ocene.</w:t>
      </w:r>
      <w:r>
        <w:rPr>
          <w:sz w:val="20"/>
        </w:rPr>
        <w:t xml:space="preserve"> </w:t>
      </w:r>
      <w:r>
        <w:rPr>
          <w:sz w:val="20"/>
        </w:rPr>
        <w:t xml:space="preserve">Če se zadevne proizvode urejajo harmonizirani standardi ali evropske tehnične ocene, se uporabijo sistemi ocenjevanja lastnosti iz oddelka 3(4).</w:t>
      </w:r>
      <w:r>
        <w:rPr>
          <w:sz w:val="20"/>
        </w:rPr>
        <w:t xml:space="preserve"> </w:t>
      </w:r>
      <w:r>
        <w:rPr>
          <w:sz w:val="20"/>
        </w:rPr>
        <w:t xml:space="preserve">V primeru proizvodov iz skupin, za katere se uporabljajo evropski ocenjevalni dokumenti iz člena 2(12) Uredbe (EU) št. 305/2011, so v oklepajih navedeni posebni sistemi ocenjevanja lastnosti iz oddelka 3(4), ki se uporabijo, če je proizvod v skladu z evropsko tehnično oceno, izdano v skladu z evropskimi ocenjevalnimi dokumenti.</w:t>
      </w:r>
      <w:r>
        <w:rPr>
          <w:sz w:val="20"/>
        </w:rPr>
        <w:t xml:space="preserve"> </w:t>
      </w:r>
      <w:r>
        <w:rPr>
          <w:sz w:val="20"/>
        </w:rPr>
        <w:t xml:space="preserve">Če je zadevni proizvod v skladu s slovaško tehnično oceno, se uporabijo posebni sistemi ocenjevanja lastnosti iz oddelka 3(1).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b</w:t>
      </w:r>
      <w:r>
        <w:rPr>
          <w:sz w:val="20"/>
        </w:rPr>
        <w:t xml:space="preserve">) Izraz „konstrukcijski“ v zvezi s proizvodom v stavbi pomeni, da je proizvod del stavbne konstrukcije in zagotavlja stabilnost konstrukcije (nosilna komponenta) ali samonosilnega elementa, ki nosi tudi zunanje obremenitve (npr. obremenitev vetra).</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c</w:t>
      </w:r>
      <w:r>
        <w:rPr>
          <w:sz w:val="20"/>
        </w:rPr>
        <w:t xml:space="preserve">) Izraz „betonski“ ali „iz betona“ opredeljuje proizvod, izdelan iz težkega, lahkega ali avtoklaviranega celičastega armiranega ali nearmiranega betona.</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d</w:t>
      </w:r>
      <w:r>
        <w:rPr>
          <w:sz w:val="20"/>
        </w:rPr>
        <w:t xml:space="preserve">) Izraz „osnovni namen“ se nanaša na gradbeni proizvod, pri katerem specifičen namen oziroma uporaba nista navedena za skupino ali skupine proizvodov pri stavbah ali delih stavb, ki jih urejajo posebni predpisi, zahteve ali značilnosti, navedene v besedilu v zvezi z osnovnim namenom.</w:t>
      </w:r>
      <w:r>
        <w:rPr>
          <w:sz w:val="20"/>
        </w:rPr>
        <w:t xml:space="preserve"> </w:t>
      </w:r>
      <w:r>
        <w:rPr>
          <w:sz w:val="20"/>
        </w:rPr>
        <w:t xml:space="preserve">Če se uporablja en ali več sistemov za ocenjevanje lastnosti ob upoštevanju posebnih značilnosti, se ta sistem oziroma sistemi uporabljajo skupaj s sistemom, predpisanim za osnovi namen, pri čemer proizvajalec izda le eno izjavo o lastnostih.</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e</w:t>
      </w:r>
      <w:r>
        <w:rPr>
          <w:sz w:val="20"/>
        </w:rPr>
        <w:t xml:space="preserve">) Nanaša se na skupini 0401 in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f</w:t>
      </w:r>
      <w:r>
        <w:rPr>
          <w:sz w:val="20"/>
        </w:rPr>
        <w:t xml:space="preserve">) Nanaša se na skupini 0404 in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g</w:t>
      </w:r>
      <w:r>
        <w:rPr>
          <w:sz w:val="20"/>
        </w:rPr>
        <w:t xml:space="preserve">) Sestava predlagane malte in način proizvodnje se izbereta z namenom doseganja določenih značilnosti (koncept kakovosti).</w:t>
      </w:r>
      <w:r>
        <w:rPr>
          <w:sz w:val="20"/>
        </w:rPr>
        <w:t xml:space="preserve"> </w:t>
      </w:r>
      <w:r>
        <w:rPr>
          <w:sz w:val="20"/>
        </w:rPr>
        <w:t xml:space="preserve">Malta s predpisano sestavo se proizvaja po predpisani formuli (koncept formule).</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h</w:t>
      </w:r>
      <w:r>
        <w:rPr>
          <w:sz w:val="20"/>
        </w:rPr>
        <w:t xml:space="preserve">) Tip I vključuje primesi inertnih ali skoraj inertnih materialov.</w:t>
      </w:r>
      <w:r>
        <w:rPr>
          <w:sz w:val="20"/>
        </w:rPr>
        <w:t xml:space="preserve"> </w:t>
      </w:r>
      <w:r>
        <w:rPr>
          <w:sz w:val="20"/>
        </w:rPr>
        <w:t xml:space="preserve">Tip II vključuje primesi aktivnih</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materialov.</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i</w:t>
      </w:r>
      <w:r>
        <w:rPr>
          <w:sz w:val="20"/>
        </w:rPr>
        <w:t xml:space="preserve">) Zidarski elementi kategorije I imajo zajamčeno tlačno trdnost z verjetnostjo okvare, ki ne presega 5 %, zanesljivost zidarskih elementov kategorije II pa ni zagotovljena.</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j</w:t>
      </w:r>
      <w:r>
        <w:rPr>
          <w:sz w:val="20"/>
        </w:rPr>
        <w:t xml:space="preserve">) Nanaša se le na elemente z vgrajenimi toplotnoizolacijskimi materiali, v zvezi s katerimi se sistem ocenjevanja lastnosti uporabi</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v skladu s kategorijo elementa.</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k</w:t>
      </w:r>
      <w:r>
        <w:rPr>
          <w:sz w:val="20"/>
        </w:rPr>
        <w:t xml:space="preserve">) Sistemi tipa I in III v nasprotju s sistemi tipa II in IV vsebujejo elemente, ki zmanjšujejo tveganja v primeru okvare zlepljenih spojev.</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l</w:t>
      </w:r>
      <w:r>
        <w:rPr>
          <w:sz w:val="20"/>
        </w:rPr>
        <w:t xml:space="preserve">) Nanaša se na skupino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m</w:t>
      </w:r>
      <w:r>
        <w:rPr>
          <w:sz w:val="20"/>
        </w:rPr>
        <w:t xml:space="preserve">) Nanaša se le na panele in viseče strope.</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n</w:t>
      </w:r>
      <w:r>
        <w:rPr>
          <w:sz w:val="20"/>
        </w:rPr>
        <w:t xml:space="preserve">) Nanaša se le na panele, ki hkrati služijo kot elementi za ojačanje sten ali stropov.</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o</w:t>
      </w:r>
      <w:r>
        <w:rPr>
          <w:sz w:val="20"/>
        </w:rPr>
        <w:t xml:space="preserve">) Nanaša se le na ploščice in panele iz lomljivih materialov ter ploščice in panele, namenjene visečim stropom.</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p</w:t>
      </w:r>
      <w:r>
        <w:rPr>
          <w:sz w:val="20"/>
        </w:rPr>
        <w:t xml:space="preserve">) Nanaša se le na nosilce cevi, armature in varnostno opremo.</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q</w:t>
      </w:r>
      <w:r>
        <w:rPr>
          <w:sz w:val="20"/>
        </w:rPr>
        <w:t xml:space="preserve">) Nanaša se le na rezervoarje.</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r</w:t>
      </w:r>
      <w:r>
        <w:rPr>
          <w:sz w:val="20"/>
        </w:rPr>
        <w:t xml:space="preserve">) Nanaša se le na podaljške za dimnike.“</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Opombe pod črto 9 do 12 se glasijo:</w:t>
      </w:r>
    </w:p>
    <w:p w14:paraId="0D693C1F" w14:textId="77777777" w:rsidR="009A7616" w:rsidRPr="000269C4" w:rsidRDefault="00F72AF9" w:rsidP="00A358E1">
      <w:pPr>
        <w:spacing w:line="276" w:lineRule="auto"/>
        <w:ind w:right="30"/>
        <w:jc w:val="both"/>
        <w:rPr>
          <w:sz w:val="20"/>
          <w:szCs w:val="20"/>
        </w:rPr>
      </w:pPr>
      <w:r>
        <w:rPr>
          <w:sz w:val="20"/>
        </w:rPr>
        <w:t xml:space="preserve">„</w:t>
      </w:r>
      <w:r>
        <w:rPr>
          <w:sz w:val="20"/>
          <w:vertAlign w:val="superscript"/>
        </w:rPr>
        <w:t xml:space="preserve">9</w:t>
      </w:r>
      <w:r>
        <w:rPr>
          <w:sz w:val="20"/>
        </w:rPr>
        <w:t xml:space="preserve">) Izvedbena uredba Ministrstva za okolje Slovaške republike št. 119/2016 o določitvi podrobnosti o izvajanju tehničnega in varnostnega nadzora hidravličnih konstrukcij ter izvajanju tehničnega in varnostnega spremljanja.</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 STN 73 6114 – Tlakovanje cest.</w:t>
      </w:r>
      <w:r>
        <w:rPr>
          <w:sz w:val="20"/>
        </w:rPr>
        <w:t xml:space="preserve"> </w:t>
      </w:r>
      <w:r>
        <w:rPr>
          <w:sz w:val="20"/>
        </w:rPr>
        <w:t xml:space="preserve">Osnovne določbe za projektiranje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 STN 75 0150 – Upravljanje voda.</w:t>
      </w:r>
      <w:r>
        <w:rPr>
          <w:sz w:val="20"/>
        </w:rPr>
        <w:t xml:space="preserve"> </w:t>
      </w:r>
      <w:r>
        <w:rPr>
          <w:sz w:val="20"/>
        </w:rPr>
        <w:t xml:space="preserve">Terminologija s področja oskrbe z vodo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 Izvedbena uredba Ministrstva za notranje zadeve Slovaške republike št. 478/2008 o značilnostih in posebnih pogojih delovanja požarnih zapor ter zagotavljanju njihovih rednih pregledov.“</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Člen II</w:t>
      </w:r>
    </w:p>
    <w:p w14:paraId="7169D118" w14:textId="77777777" w:rsidR="009A7616" w:rsidRPr="000269C4" w:rsidRDefault="00F72AF9" w:rsidP="00A358E1">
      <w:pPr>
        <w:spacing w:line="276" w:lineRule="auto"/>
        <w:ind w:right="30"/>
        <w:rPr>
          <w:sz w:val="20"/>
          <w:szCs w:val="20"/>
        </w:rPr>
      </w:pPr>
      <w:r>
        <w:rPr>
          <w:sz w:val="20"/>
        </w:rPr>
        <w:t xml:space="preserve">Ta izvedbena uredba začne veljati 1. marca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l.r.</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Izdajatelj Zbirke zakonov Slovaške republike, skrbnik vsebin in upravljavec pravnega in informacijskega portala Slov-Lex, ki je na voljo na </w:t>
      </w:r>
      <w:hyperlink r:id="rId11">
        <w:r>
          <w:rPr>
            <w:sz w:val="20"/>
          </w:rPr>
          <w:t xml:space="preserve">www.slov-lex.sk </w:t>
        </w:r>
      </w:hyperlink>
      <w:r>
        <w:rPr>
          <w:sz w:val="20"/>
        </w:rPr>
        <w:t xml:space="preserve">je</w:t>
      </w:r>
    </w:p>
    <w:p w14:paraId="7AA4EC76" w14:textId="72983B61" w:rsidR="009A7616" w:rsidRPr="000269C4" w:rsidRDefault="00F72AF9" w:rsidP="00A358E1">
      <w:pPr>
        <w:spacing w:line="276" w:lineRule="auto"/>
        <w:ind w:right="30"/>
        <w:jc w:val="center"/>
        <w:rPr>
          <w:sz w:val="20"/>
          <w:szCs w:val="20"/>
        </w:rPr>
      </w:pPr>
      <w:r>
        <w:rPr>
          <w:sz w:val="20"/>
        </w:rPr>
        <w:t xml:space="preserve">Ministrstvo za pravosodje Slovaške republike, Župné námestie 13, 813 11 Bratislava, tel.:</w:t>
      </w:r>
      <w:r>
        <w:rPr>
          <w:sz w:val="20"/>
        </w:rPr>
        <w:t xml:space="preserve"> </w:t>
      </w:r>
      <w:r>
        <w:rPr>
          <w:sz w:val="20"/>
        </w:rPr>
        <w:t xml:space="preserve">+421 2 888 91 131, e-naslov:</w:t>
      </w:r>
      <w:r>
        <w:rPr>
          <w:sz w:val="20"/>
        </w:rPr>
        <w:t xml:space="preserve"> </w:t>
      </w:r>
      <w:hyperlink r:id="rId12">
        <w:r>
          <w:rPr>
            <w:sz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Stran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Zbirka zakonov Slovaške republike</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Zbirka zakonov Slovaške republike</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Stran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sl-SI"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sl-SI"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