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C8E4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Výnos ze dne 20. listopadu 2021 o ochraně včel a jiných opylovačů a o zachování služeb opylování při používání přípravků na ochranu rostlin</w:t>
      </w:r>
    </w:p>
    <w:p w14:paraId="6496B0C9" w14:textId="77777777" w:rsidR="00FF1A38" w:rsidRPr="00FF1A38" w:rsidRDefault="00FF1A38" w:rsidP="00FF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AGRG2134356A</w:t>
      </w:r>
      <w:r>
        <w:rPr>
          <w:rFonts w:ascii="Times New Roman" w:hAnsi="Times New Roman"/>
          <w:sz w:val="24"/>
        </w:rPr>
        <w:br/>
        <w:t xml:space="preserve">ELI: https://www.legifrance.gouv.fr/eli/arrete/2021/11/20/AGRG2134356A/jo/texte </w:t>
      </w:r>
      <w:r>
        <w:rPr>
          <w:rFonts w:ascii="Times New Roman" w:hAnsi="Times New Roman"/>
          <w:sz w:val="24"/>
        </w:rPr>
        <w:br/>
        <w:t>JORF č. 0271 ze dne 21. listopadu 2021</w:t>
      </w:r>
      <w:r>
        <w:rPr>
          <w:rFonts w:ascii="Times New Roman" w:hAnsi="Times New Roman"/>
          <w:sz w:val="24"/>
        </w:rPr>
        <w:br/>
        <w:t>Text č. 17</w:t>
      </w:r>
    </w:p>
    <w:p w14:paraId="040906A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I: RÁMEC PRO POVOLOVÁNÍ PŘÍPRAVKŮ NA OCHRANU ROSTLIN V DOBĚ KVĚTU (článek 2)</w:t>
      </w:r>
    </w:p>
    <w:p w14:paraId="69521E1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II: RÁMEC PRO POUŽÍVÁNÍ PROSTŘEDKŮ NA OCHRANU ROSTLIN V DOBĚ KVĚTU (články 3 až 7)</w:t>
      </w:r>
    </w:p>
    <w:p w14:paraId="0E5A6E18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III: PŘECHODNÁ USTANOVENÍ (články 8 až 11)</w:t>
      </w:r>
    </w:p>
    <w:p w14:paraId="3E3E5899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Příloha</w:t>
      </w:r>
    </w:p>
    <w:p w14:paraId="78D9C32A" w14:textId="22149B94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Cílové skupiny: Žadatelé o povolení k uvedení na trh a držitelé, uživatelé přípravků na ochranu rostlin, příjemci opylování. </w:t>
      </w:r>
      <w:r>
        <w:rPr>
          <w:rFonts w:ascii="Times New Roman" w:hAnsi="Times New Roman"/>
          <w:sz w:val="24"/>
        </w:rPr>
        <w:br/>
        <w:t xml:space="preserve">Předmět: Tímto výnosem se stanoví opatření na ochranu opylovacího hmyzu a zemědělského systému a ekosystému před riziky spojenými s používáním přípravků na ochranu rostlin. </w:t>
      </w:r>
      <w:r>
        <w:rPr>
          <w:rFonts w:ascii="Times New Roman" w:hAnsi="Times New Roman"/>
          <w:sz w:val="24"/>
        </w:rPr>
        <w:br/>
        <w:t>Vstup v platnost: Tento výnos nabývá účinnosti dne 1. ledna 2022.</w:t>
      </w:r>
      <w:r>
        <w:rPr>
          <w:rFonts w:ascii="Times New Roman" w:hAnsi="Times New Roman"/>
          <w:sz w:val="24"/>
        </w:rPr>
        <w:br/>
        <w:t xml:space="preserve">Poznámka: Výnosem se rozšiřuje na všechny přípravky na ochranu rostlin zásada hodnocení možnosti používat přípravek na ochranu rostlin během období květu na plodinách atraktivních pro opylovače a na oblasti potravy s ohledem na riziko pro opylovače. Pokud je přípravek schválen agenturou pro potraviny, životní prostředí, ochranu zdraví při práci a bezpečnost (Anses) pro období květu, ošetření by mělo být, s výjimkou zvláštních případů, provedeno do 2 hodin před západem slunce a do 3 hodin po západu slunce. Výnosem se stanoví přechodná opatření a harmonogram pro provádění těchto nových ustanovení. </w:t>
      </w:r>
      <w:r>
        <w:rPr>
          <w:rFonts w:ascii="Times New Roman" w:hAnsi="Times New Roman"/>
          <w:sz w:val="24"/>
        </w:rPr>
        <w:br/>
        <w:t xml:space="preserve">Odkazy: Tento výnos se vydává podle článku L. 253-7 zákoníku o zemědělství a mořském rybolovu. Je k dispozici na internetových stránkách Légifrance na adrese: https://www.legifrance.gouv.fr/. </w:t>
      </w:r>
    </w:p>
    <w:p w14:paraId="55211D70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Ministr pro ekologickou transformaci, ministr hospodářství, financí a obnovy, ministr solidarity a zdravotnictví a ministr zemědělství a výživy,</w:t>
      </w:r>
      <w:r>
        <w:rPr>
          <w:rFonts w:ascii="Times New Roman" w:hAnsi="Times New Roman"/>
          <w:sz w:val="24"/>
        </w:rPr>
        <w:br/>
        <w:t>s ohledem na nařízení Evropského parlamentu a Rady (ES) č. 1107/2009 ze dne 21. října 2009 o uvádění přípravků na ochranu rostlin na trh a o zrušení směrnic Rady 79/117/EHS a 91/414/EHS;</w:t>
      </w:r>
      <w:r>
        <w:rPr>
          <w:rFonts w:ascii="Times New Roman" w:hAnsi="Times New Roman"/>
          <w:sz w:val="24"/>
        </w:rPr>
        <w:br/>
        <w:t>s ohledem na nařízení Komise (EU) č. 547/2011 ze dne 8. června 2011, kterým se provádí nařízení Evropského parlamentu a Rady (ES) č. 1107/2009, pokud jde o požadavky na označování přípravků na ochranu rostlin;</w:t>
      </w:r>
      <w:r>
        <w:rPr>
          <w:rFonts w:ascii="Times New Roman" w:hAnsi="Times New Roman"/>
          <w:sz w:val="24"/>
        </w:rPr>
        <w:br/>
        <w:t>s ohledem na směrnici Evropského parlamentu a Rady (EU) 2015/1535 ze dne 9. září 2015 o postupu při poskytování informací v oblasti technických předpisů a předpisů pro služby informační společnosti;</w:t>
      </w:r>
      <w:r>
        <w:rPr>
          <w:rFonts w:ascii="Times New Roman" w:hAnsi="Times New Roman"/>
          <w:sz w:val="24"/>
        </w:rPr>
        <w:br/>
        <w:t>s ohledem na zákoník o zemědělství a mořském rybolovu, zejména na články L. 201-4, L. 251-3, L. 253-1, L. 253-7, D. 253-8, R. 253-43 a R. 253-45;</w:t>
      </w:r>
      <w:r>
        <w:rPr>
          <w:rFonts w:ascii="Times New Roman" w:hAnsi="Times New Roman"/>
          <w:sz w:val="24"/>
        </w:rPr>
        <w:br/>
        <w:t>s ohledem na výnos ze dne 16. června 2009 o podmínkách, za kterých hospodářské subjekty uvedené v článku L. 257-1 vedou rejstřík uvedený v článku L. 257-3 zákoníku o zemědělství;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s ohledem na oznámení č. 2021/448/F;</w:t>
      </w:r>
      <w:r>
        <w:rPr>
          <w:rFonts w:ascii="Times New Roman" w:hAnsi="Times New Roman"/>
          <w:sz w:val="24"/>
        </w:rPr>
        <w:br/>
        <w:t>s ohledem na připomínky vznesené během veřejné konzultace, která proběhla v období od 28. června 2021 do 20. července 2021 podle článku L. 123-19-1 zákoníku životního prostředí,</w:t>
      </w:r>
      <w:r>
        <w:rPr>
          <w:rFonts w:ascii="Times New Roman" w:hAnsi="Times New Roman"/>
          <w:sz w:val="24"/>
        </w:rPr>
        <w:br/>
        <w:t>tímto nařizují:</w:t>
      </w:r>
    </w:p>
    <w:p w14:paraId="72734333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</w:t>
      </w:r>
    </w:p>
    <w:p w14:paraId="4AE602D9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Pro účely tohoto výnosu platí následující definice:</w:t>
      </w:r>
      <w:r>
        <w:rPr>
          <w:rFonts w:ascii="Times New Roman" w:hAnsi="Times New Roman"/>
          <w:sz w:val="24"/>
        </w:rPr>
        <w:br/>
        <w:t xml:space="preserve">„včely“: domácí včely, volně žijící včely a čmeláci; </w:t>
      </w:r>
      <w:r>
        <w:rPr>
          <w:rFonts w:ascii="Times New Roman" w:hAnsi="Times New Roman"/>
          <w:sz w:val="24"/>
        </w:rPr>
        <w:br/>
        <w:t xml:space="preserve">„západ slunce“: doba definovaná efemeridy místa, které je nejblíže k místu provedení ošetření; </w:t>
      </w:r>
      <w:r>
        <w:rPr>
          <w:rFonts w:ascii="Times New Roman" w:hAnsi="Times New Roman"/>
          <w:sz w:val="24"/>
        </w:rPr>
        <w:br/>
        <w:t>„atraktivní kultura“: atraktivní plodina je plodina, která je ze své podstaty atraktivní pro včely nebo jiný opylovací hmyz.  Ve smyslu tohoto výnosu se nepovažují za atraktivní plodiny uvedené v Úředním věstníku ministerstva zemědělství;</w:t>
      </w:r>
      <w:r>
        <w:rPr>
          <w:rFonts w:ascii="Times New Roman" w:hAnsi="Times New Roman"/>
          <w:sz w:val="24"/>
        </w:rPr>
        <w:br/>
        <w:t xml:space="preserve">„exsudát“: medovice, sladké výměšky produkované rostlinami, které sbírají včely nebo jiný opylovací hmyz; </w:t>
      </w:r>
      <w:r>
        <w:rPr>
          <w:rFonts w:ascii="Times New Roman" w:hAnsi="Times New Roman"/>
          <w:sz w:val="24"/>
        </w:rPr>
        <w:br/>
        <w:t xml:space="preserve">„období květu“: vegetativní období od otevření prvních květin do opadání okvětních lístků posledních květů; </w:t>
      </w:r>
      <w:r>
        <w:rPr>
          <w:rFonts w:ascii="Times New Roman" w:hAnsi="Times New Roman"/>
          <w:sz w:val="24"/>
        </w:rPr>
        <w:br/>
        <w:t>„přípravky“: Přípravky na ochranu rostlin, s výjimkou ředidel, a jejich pomocné prostředky uvedené v článku L.253-1 zákoníku o zemědělství a mořském rybolovu;</w:t>
      </w:r>
      <w:r>
        <w:rPr>
          <w:rFonts w:ascii="Times New Roman" w:hAnsi="Times New Roman"/>
          <w:sz w:val="24"/>
        </w:rPr>
        <w:br/>
        <w:t>„vedení záznamů“: vedení záznamů o používání přípravků na ochranu rostlin dle ustanovení výnosu ze dne 16. června 2009 o podmínkách, za nichž provozovatelé uvedení v článku L. 257-1 zákoníku o zemědělství a mořském rybolovu vedou záznamy uvedené v článku 67 nařízení (ES) č. 1107/2009 ze dne 21. října 2009 o uvádění přípravků na ochranu rostlin na trh;</w:t>
      </w:r>
      <w:r>
        <w:rPr>
          <w:rFonts w:ascii="Times New Roman" w:hAnsi="Times New Roman"/>
          <w:sz w:val="24"/>
        </w:rPr>
        <w:br/>
        <w:t xml:space="preserve">„použitím“ se rozumí: použití přípravku na ochranu rostlin nebo pomocných prostředků na rostlině, rostlinném produktu nebo čeledi rostlin za účelem ochrany proti škůdci, skupině škůdců, tlumení nákazy nebo skupiny nákaz v souladu s jasně vymezenou funkcí a prováděcími pravidly, jak je uvedeno v katalogu uvedeném v II článku D.253-8 zákoníku o zemědělství a mořském rybolovu; </w:t>
      </w:r>
      <w:r>
        <w:rPr>
          <w:rFonts w:ascii="Times New Roman" w:hAnsi="Times New Roman"/>
          <w:sz w:val="24"/>
        </w:rPr>
        <w:br/>
        <w:t>„použití přípravku“: použití přípravku na ochranu rostlin nebo adjuvantu během vegetačního cyklu v souladu s povoleným použitím, bez ohledu na způsob aplikace a část ošetřované rostliny, s výjimkou aplikací definovaných v příloze 1, které vylučují expozici opylovačů během doby květu;</w:t>
      </w:r>
      <w:r>
        <w:rPr>
          <w:rFonts w:ascii="Times New Roman" w:hAnsi="Times New Roman"/>
          <w:sz w:val="24"/>
        </w:rPr>
        <w:br/>
        <w:t>„plocha pastvy“: s výjimkou plodin pěstovaných v rámci produkce je plochou pastvy plocha zemědělské nebo jiné než zemědělské půdy s kultivovanou nebo se spontánně vyskytující skupinou rostlin, která je zřejmým zájmem včel nebo jiného opylovacího hmyzu z důvodu přítomnosti květů nebo exsudátů.  Pro účely tohoto výnosu se za použití přípravků na plochách pastvy považuje použití ke specifickému ošetření těchto ploch, bez ohledu na použití na produkovaných plodinách.</w:t>
      </w:r>
    </w:p>
    <w:p w14:paraId="75081A77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I: RÁMEC PRO POVOLOVÁNÍ PŘÍPRAVKŮ NA OCHRANU ROSTLIN V DOBĚ KVĚTU (článek 2)</w:t>
      </w:r>
    </w:p>
    <w:p w14:paraId="52EC4D0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</w:t>
      </w:r>
    </w:p>
    <w:p w14:paraId="4E54D57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Při vydávání nebo obnovování povolení uvedeného v článku L. 253-1 zákoníku o zemědělství a mořském rybolovu posoudí agentura Anses rizika spojená s používáním </w:t>
      </w:r>
      <w:r>
        <w:rPr>
          <w:rFonts w:ascii="Times New Roman" w:hAnsi="Times New Roman"/>
          <w:sz w:val="24"/>
        </w:rPr>
        <w:lastRenderedPageBreak/>
        <w:t>produktu na atraktivních plodinách během období květu.</w:t>
      </w:r>
      <w:r>
        <w:rPr>
          <w:rFonts w:ascii="Times New Roman" w:hAnsi="Times New Roman"/>
          <w:sz w:val="24"/>
        </w:rPr>
        <w:br/>
        <w:t>Za tímto účelem přiloží žadatel ke své dokumentaci zkoušky a posouzení rizik požadované platnými předpisy a informace nezbytné k tomu, aby agentura Anses mohla vynést rozhodnutí týkající se posouzení uvedeného v prvním pododstavci.</w:t>
      </w:r>
      <w:r>
        <w:rPr>
          <w:rFonts w:ascii="Times New Roman" w:hAnsi="Times New Roman"/>
          <w:sz w:val="24"/>
        </w:rPr>
        <w:br/>
        <w:t>Pokud agentura Anses v posouzení rizik dospěje k závěru, že použití má za následek zanedbatelnou expozici včel nebo nevyvolává nepřijatelné, akutní nebo chronické účinky na včely nebo účinky na přežití a vývoj včelstva, může být použití přípravku povoleno na odpovídající atraktivní plodině v období květu a na plochách pastvy. Toto použití je podmíněno dodržením opatření stanovených v článku 3.</w:t>
      </w:r>
      <w:r>
        <w:rPr>
          <w:rFonts w:ascii="Times New Roman" w:hAnsi="Times New Roman"/>
          <w:sz w:val="24"/>
        </w:rPr>
        <w:br/>
        <w:t>V opačném případě je používání přípravku zakázáno na odpovídajících atraktivních plodinách v době květu a na plochách pastvy.</w:t>
      </w:r>
    </w:p>
    <w:p w14:paraId="278D5B92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II: RÁMEC PRO POUŽÍVÁNÍ PROSTŘEDKŮ NA OCHRANU ROSTLIN V DOBĚ KVĚTU (články 3 až 7)</w:t>
      </w:r>
    </w:p>
    <w:p w14:paraId="74FEABC1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</w:t>
      </w:r>
    </w:p>
    <w:p w14:paraId="691002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Přípravek povolený podle článku 2 se použije na atraktivní plodinu během doby květu nebo na ploše pastvy ve lhůtě do 2 hodin před západem slunce a do 3 hodin po západu slunce.</w:t>
      </w:r>
      <w:r>
        <w:rPr>
          <w:rFonts w:ascii="Times New Roman" w:hAnsi="Times New Roman"/>
          <w:sz w:val="24"/>
        </w:rPr>
        <w:br/>
        <w:t>Toto období může být upraveno nebo zrušeno v souladu s opatřeními poskytujícími rovnocenné záruky, pokud jde o expozici včel a ostatních opylovačů. Tato opatření se uvedou v příloze po vydání stanoviska agentury Anses, zejména s cílem umožnit provádět ošetření ráno nebo pod prahovou teplotou.</w:t>
      </w:r>
      <w:r>
        <w:rPr>
          <w:rFonts w:ascii="Times New Roman" w:hAnsi="Times New Roman"/>
          <w:sz w:val="24"/>
        </w:rPr>
        <w:br/>
        <w:t>Odchylně od prvního odstavce se provádí zkušební použití přípravků na ochranu rostlin nad rámec uvedeného časového intervalu s cílem určit prostředky podpory rozhodování nebo jiné technologie, jejichž použití by poskytlo rovnocenné záruky, pokud jde o expozici včel a ostatních opylovačů. Toto zkušební použití s maximální dobou trvání tří let, které je předmětem hodnocení agentury Anses, se provádí za podmínek a způsobů stanovených společným výnosem ministrů životního prostředí a zemědělství.</w:t>
      </w:r>
    </w:p>
    <w:p w14:paraId="2638E37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</w:t>
      </w:r>
    </w:p>
    <w:p w14:paraId="6F7C037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Představuje-li rostlinný pokryv přítomný pod trvalým porostem plochy pastvy, je nutno učinit je neatraktivními pro opylovače před jakýmkoliv ošetřením insekticidy nebo akaricidy.</w:t>
      </w:r>
    </w:p>
    <w:p w14:paraId="039E740F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5</w:t>
      </w:r>
    </w:p>
    <w:p w14:paraId="70D705F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Doba použití stanovená v článku 3 může být změněna v těchto případech:</w:t>
      </w:r>
    </w:p>
    <w:p w14:paraId="040DB100" w14:textId="7C9EB20D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3F22E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pokud z důvodu výlučně denní aktivity bioagresorů nezajišťuje ošetření provedené během období stanoveného v článku 3 účinnou ochranu ošetřené kultury;</w:t>
      </w:r>
      <w:r>
        <w:rPr>
          <w:rFonts w:ascii="Times New Roman" w:hAnsi="Times New Roman"/>
          <w:sz w:val="24"/>
        </w:rPr>
        <w:br/>
      </w:r>
      <w:r w:rsidR="003F22E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pokud je s ohledem na vývoj onemocnění účinnost fungicidního ošetření podmíněna </w:t>
      </w:r>
      <w:r>
        <w:rPr>
          <w:rFonts w:ascii="Times New Roman" w:hAnsi="Times New Roman"/>
          <w:sz w:val="24"/>
        </w:rPr>
        <w:lastRenderedPageBreak/>
        <w:t>jeho dokončením v omezeném období neslučitelném s obdobím stanoveným v článku 3.</w:t>
      </w:r>
    </w:p>
    <w:p w14:paraId="1C4C0AA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obou případech může být použití provedeno bez časových omezení.</w:t>
      </w:r>
      <w:r>
        <w:rPr>
          <w:rFonts w:ascii="Times New Roman" w:hAnsi="Times New Roman"/>
          <w:sz w:val="24"/>
        </w:rPr>
        <w:br/>
        <w:t>Dočasně, po dobu osmi měsíců ode dne vyhlášení tohoto výnosu, lze aplikaci rovněž provádět bez hodinového omezení za předpokladu, že teplota je dostatečně nízká a zabraňuje přítomnosti včel.</w:t>
      </w:r>
      <w:r>
        <w:rPr>
          <w:rFonts w:ascii="Times New Roman" w:hAnsi="Times New Roman"/>
          <w:sz w:val="24"/>
        </w:rPr>
        <w:br/>
        <w:t>Čas zahájení a ukončení ošetření a důvod změny lhůty stanovené v článku 3 se zaznamenají v záznamech.</w:t>
      </w:r>
    </w:p>
    <w:p w14:paraId="2C42086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6</w:t>
      </w:r>
    </w:p>
    <w:p w14:paraId="7C493FCA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Pokud jde o subjekty upravené článkem L. 251-3 zákoníku o zemědělství a mořském rybolovu, mohou být povoleny odchylky od zákazu stanoveného v čl. 2 pododst. 4 a od správních opatření stanovených v článku 3 na základě výnosu vydaného podle odstavce II článku L. 201-4 zákoníku o zemědělství a mořském rybolovu.</w:t>
      </w:r>
    </w:p>
    <w:p w14:paraId="2121299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7</w:t>
      </w:r>
    </w:p>
    <w:p w14:paraId="1044327C" w14:textId="515154FD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- Označení přípravků, u nichž není povoleno žádné použití v případě kvetoucí plodiny v souladu s článkem 2, musí obsahovat větu „Nebezpečný pro včely. Za účelem ochrany včel a jiného opylovacího hmyzu nepoužívejte během doby květu a nepoužívejte na plochách pastvy.</w:t>
      </w:r>
      <w:r>
        <w:rPr>
          <w:rFonts w:ascii="Times New Roman" w:hAnsi="Times New Roman"/>
          <w:sz w:val="24"/>
        </w:rPr>
        <w:br/>
        <w:t xml:space="preserve">II. </w:t>
      </w:r>
      <w:r w:rsidR="00537756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Označení přípravků, u nichž je povoleno alespoň jedno použití v případě kvetoucí plodiny v souladu s článkem 2, musí obsahovat větu „Může být nebezpečný pro včely.  Použití je možné během doby květu a na plochách pastvy ve lhůtě do 2 hodin před západem slunce nebo 3 hodin po západu slunce, pouze pro následující použití: [...] Časový rozvrh může být přizpůsoben v souladu s výnosem ze dne 20. listopadu 2021 o ochraně včel a jiných opylovačů a o zachování služeb opylování při používání přípravků na ochranu rostlin.“</w:t>
      </w:r>
    </w:p>
    <w:p w14:paraId="2351893A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III: PŘECHODNÁ USTANOVENÍ (články 8 až 11)</w:t>
      </w:r>
    </w:p>
    <w:p w14:paraId="0A0A492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8</w:t>
      </w:r>
    </w:p>
    <w:p w14:paraId="47A5BAF5" w14:textId="111A90CD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373BC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Jako přechodné opatření, insekticidní a akaricidní přípravky, jejichž povolení k uvedení na trh ke dni nabytí účinnosti tohoto výnosu obsahuje jeden z následujících údajů:</w:t>
      </w:r>
    </w:p>
    <w:p w14:paraId="3C0215A8" w14:textId="49D106AA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</w:t>
      </w:r>
      <w:r w:rsidR="00537756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povolené použití během období květu, jiné než za přítomnosti včel“;</w:t>
      </w:r>
      <w:r>
        <w:rPr>
          <w:rFonts w:ascii="Times New Roman" w:hAnsi="Times New Roman"/>
          <w:sz w:val="24"/>
        </w:rPr>
        <w:br/>
        <w:t>„</w:t>
      </w:r>
      <w:r w:rsidR="00537756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povolené použití během období produkce exsudátů, jiného než za přítomnosti včel“;</w:t>
      </w:r>
      <w:r>
        <w:rPr>
          <w:rFonts w:ascii="Times New Roman" w:hAnsi="Times New Roman"/>
          <w:sz w:val="24"/>
        </w:rPr>
        <w:br/>
        <w:t>„</w:t>
      </w:r>
      <w:r w:rsidR="00537756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povolené použití během období květu a během období produkce exsudátů, jiného než za přítomnosti včel“;</w:t>
      </w:r>
    </w:p>
    <w:p w14:paraId="3705A0E7" w14:textId="64A36616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mohou být za podmínek stanovených v článcích 3 až 5 použity pro příslušná použití na atraktivních plodinách během období květu nebo na plochách pastvy, dokud nebude obnoveno povolení k uvedení na trh.</w:t>
      </w:r>
      <w:r>
        <w:rPr>
          <w:rFonts w:ascii="Times New Roman" w:hAnsi="Times New Roman"/>
          <w:sz w:val="24"/>
        </w:rPr>
        <w:br/>
        <w:t>II. - Jako přechodné opatření, pokud k podání žádosti o obnovení povolení k uvedení na trh pro přípravek jiný než insekticidy a akaricidy dojde ve lhůtě kratší než 30 měsíců po nabytí účinnosti tohoto výnosu, lze tento přípravek použít na atraktivní plodiny během květu a na plochách pastvy za podmínek stanovených v článcích 3 až 5, dokud agentura Anses nerozhodne o hodnocení rizik podle článku 2, s výhradou předložení dalších podkladů do 30 měsíců od nabytí účinnosti tohoto výnosu.</w:t>
      </w:r>
      <w:r>
        <w:rPr>
          <w:rFonts w:ascii="Times New Roman" w:hAnsi="Times New Roman"/>
          <w:sz w:val="24"/>
        </w:rPr>
        <w:br/>
        <w:t xml:space="preserve">III. </w:t>
      </w:r>
      <w:r w:rsidR="00373BC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Jako přechodné opatření, pokud k podání žádosti o obnovení povolení k uvedení na trh pro přípravek jiný než insekticidy a akaricidy dojde ve lhůtě delší než 30 měsíců po nabytí účinnosti tohoto výnosu, lze tento přípravek použít na atraktivní plodiny během květu a na plochách pastvy za podmínek stanovených v článcích 3 až 5, dokud agentura Anses nerozhodne o hodnocení rizik podle článku 2, s výhradou předložení dalších podkladů do 48 měsíců od nabytí účinnosti tohoto výnosu.</w:t>
      </w:r>
      <w:r>
        <w:rPr>
          <w:rFonts w:ascii="Times New Roman" w:hAnsi="Times New Roman"/>
          <w:sz w:val="24"/>
        </w:rPr>
        <w:br/>
        <w:t xml:space="preserve">IV. </w:t>
      </w:r>
      <w:r w:rsidR="00373BC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Nejsou-li dodatečné informace předloženy ve lhůtách stanovených v odstavcích II a III tohoto článku, je použití na atraktivních plodinách během období květu a plochách pastvy zakázáno a označení dotčených produktů musí být aktualizována v souladu s čl. 7 odst. I.</w:t>
      </w:r>
      <w:r>
        <w:rPr>
          <w:rFonts w:ascii="Times New Roman" w:hAnsi="Times New Roman"/>
          <w:sz w:val="24"/>
        </w:rPr>
        <w:br/>
        <w:t xml:space="preserve">V. </w:t>
      </w:r>
      <w:r w:rsidR="00373BC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Žadatelé oznámí agentuře Anses 18 měsíců před podáním dodatečných údajů uvedených v bodech II a III tohoto článku svůj záměr předložit tyto dodatečné prvky a uvedou příslušná použití.</w:t>
      </w:r>
      <w:r>
        <w:rPr>
          <w:rFonts w:ascii="Times New Roman" w:hAnsi="Times New Roman"/>
          <w:sz w:val="24"/>
        </w:rPr>
        <w:br/>
        <w:t xml:space="preserve">VI. </w:t>
      </w:r>
      <w:r w:rsidR="00373BC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Ustanovení odstavců III až V se nevztahují na plodiny, které nejsou považovány za plodiny zásadního významu v jedné ze severních nebo jižních oblastí Francie podle katalogu použití stanoveného v článku D. 253-8 zákoníku o zemědělství a mořském rybolovu. U těchto plodin jsou v době obnovení povolení k uvedení na trh požadovány zkoušky a posouzení rizik pro opylovače požadované platnými právními předpisy a dotčené přípravky mohou být použity na atraktivních plodinách během období květu nebo na plochách pastvy za podmínek stanovených v článcích 3 až 5, dokud agentura Anses nevynese rozhodnutí týkající se posouzení rizik podle článku 2.</w:t>
      </w:r>
      <w:r>
        <w:rPr>
          <w:rFonts w:ascii="Times New Roman" w:hAnsi="Times New Roman"/>
          <w:sz w:val="24"/>
        </w:rPr>
        <w:br/>
        <w:t xml:space="preserve">VII. </w:t>
      </w:r>
      <w:r w:rsidR="00373BC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Agentura Anses pravidelně zveřejňuje a aktualizuje seznam použití povolených přípravků za podmínek stanovených v článku 2.</w:t>
      </w:r>
    </w:p>
    <w:p w14:paraId="6DFA93B5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9</w:t>
      </w:r>
    </w:p>
    <w:p w14:paraId="4101862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Výnos ze dne 28. listopadu 2003 o podmínkách používání zemědělských insekticidů a akaricidů k ochraně včel a jiného opylovacího hmyzu se zrušuje.</w:t>
      </w:r>
    </w:p>
    <w:p w14:paraId="7283981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10</w:t>
      </w:r>
    </w:p>
    <w:p w14:paraId="3D6ED771" w14:textId="405850D3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Toto nařízení nabývá účinnosti dne 1. ledna 2022.</w:t>
      </w:r>
    </w:p>
    <w:p w14:paraId="604BD44E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11</w:t>
      </w:r>
    </w:p>
    <w:p w14:paraId="581C8E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Prováděním tohoto výnosu, který bude vyhlášen v Úředním věstníku Francouzské republiky, jsou pověřeni, každý v oblasti své působnosti, generální ředitel pro </w:t>
      </w:r>
      <w:r>
        <w:rPr>
          <w:rFonts w:ascii="Times New Roman" w:hAnsi="Times New Roman"/>
          <w:sz w:val="24"/>
        </w:rPr>
        <w:lastRenderedPageBreak/>
        <w:t>potraviny, generální ředitel pro prevenci rizik, generální ředitelka pro hospodářskou soutěž, ochranu spotřebitele a potírání podvodné činnosti a generální ředitel pro zdravotnictví.</w:t>
      </w:r>
    </w:p>
    <w:p w14:paraId="5A8FC5A1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Příloha</w:t>
      </w:r>
    </w:p>
    <w:p w14:paraId="589DA4E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</w:t>
      </w:r>
    </w:p>
    <w:p w14:paraId="32CB1B17" w14:textId="5B392702" w:rsidR="00FF1A38" w:rsidRPr="00F9249E" w:rsidRDefault="00FF1A38" w:rsidP="00F9249E">
      <w:pPr>
        <w:spacing w:before="100" w:beforeAutospacing="1" w:after="100" w:afterAutospacing="1" w:line="240" w:lineRule="auto"/>
        <w:ind w:left="75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aps/>
          <w:sz w:val="24"/>
        </w:rPr>
        <w:t xml:space="preserve">Příloha 1 </w:t>
      </w:r>
      <w:r w:rsidR="00F9249E">
        <w:rPr>
          <w:rFonts w:ascii="Times New Roman" w:hAnsi="Times New Roman"/>
          <w:caps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aps/>
          <w:sz w:val="24"/>
        </w:rPr>
        <w:t xml:space="preserve"> Seznam použití, která vylučují expozici opylovačů během období květu</w:t>
      </w:r>
    </w:p>
    <w:p w14:paraId="34DB028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Použití prováděná na skleníkových a chráněných plodinách, protože jsou během období květu pro opylovače nedostupné.</w:t>
      </w:r>
    </w:p>
    <w:p w14:paraId="50FD6962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Dne 20. listopadu 2021.</w:t>
      </w:r>
    </w:p>
    <w:p w14:paraId="24C0BB1B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Ministr zemědělství a potravin,</w:t>
      </w:r>
      <w:r>
        <w:rPr>
          <w:rFonts w:ascii="Times New Roman" w:hAnsi="Times New Roman"/>
          <w:sz w:val="24"/>
        </w:rPr>
        <w:br/>
        <w:t>za ministra a na základě pověření:</w:t>
      </w:r>
      <w:r>
        <w:rPr>
          <w:rFonts w:ascii="Times New Roman" w:hAnsi="Times New Roman"/>
          <w:sz w:val="24"/>
        </w:rPr>
        <w:br/>
        <w:t>Generální ředitel pro potraviny,</w:t>
      </w:r>
      <w:r>
        <w:rPr>
          <w:rFonts w:ascii="Times New Roman" w:hAnsi="Times New Roman"/>
          <w:sz w:val="24"/>
        </w:rPr>
        <w:br/>
        <w:t>B. Ferreira</w:t>
      </w:r>
    </w:p>
    <w:p w14:paraId="10D6C0D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Ministryně pro ekologickou transformaci,</w:t>
      </w:r>
      <w:r>
        <w:rPr>
          <w:rFonts w:ascii="Times New Roman" w:hAnsi="Times New Roman"/>
          <w:sz w:val="24"/>
        </w:rPr>
        <w:br/>
        <w:t>za ministryni a na základě pověření:</w:t>
      </w:r>
      <w:r>
        <w:rPr>
          <w:rFonts w:ascii="Times New Roman" w:hAnsi="Times New Roman"/>
          <w:sz w:val="24"/>
        </w:rPr>
        <w:br/>
        <w:t>Generální ředitel pro prevenci rizik,</w:t>
      </w:r>
      <w:r>
        <w:rPr>
          <w:rFonts w:ascii="Times New Roman" w:hAnsi="Times New Roman"/>
          <w:sz w:val="24"/>
        </w:rPr>
        <w:br/>
        <w:t>C. Bourillet</w:t>
      </w:r>
    </w:p>
    <w:p w14:paraId="19B1D81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Ministr hospodářství, financí a oživení,</w:t>
      </w:r>
      <w:r>
        <w:rPr>
          <w:rFonts w:ascii="Times New Roman" w:hAnsi="Times New Roman"/>
          <w:sz w:val="24"/>
        </w:rPr>
        <w:br/>
        <w:t>za ministra a na základě pověření:</w:t>
      </w:r>
      <w:r>
        <w:rPr>
          <w:rFonts w:ascii="Times New Roman" w:hAnsi="Times New Roman"/>
          <w:sz w:val="24"/>
        </w:rPr>
        <w:br/>
        <w:t>Generální ředitelka pro hospodářskou soutěž, ochranu spotřebitele a potírání podvodné činnosti,</w:t>
      </w:r>
      <w:r>
        <w:rPr>
          <w:rFonts w:ascii="Times New Roman" w:hAnsi="Times New Roman"/>
          <w:sz w:val="24"/>
        </w:rPr>
        <w:br/>
        <w:t>V. Beaumeunier</w:t>
      </w:r>
    </w:p>
    <w:p w14:paraId="56BCDE13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Ministr sociálních věcí a zdravotnictví,</w:t>
      </w:r>
      <w:r>
        <w:rPr>
          <w:rFonts w:ascii="Times New Roman" w:hAnsi="Times New Roman"/>
          <w:sz w:val="24"/>
        </w:rPr>
        <w:br/>
        <w:t>za ministra a na základě pověření:</w:t>
      </w:r>
      <w:r>
        <w:rPr>
          <w:rFonts w:ascii="Times New Roman" w:hAnsi="Times New Roman"/>
          <w:sz w:val="24"/>
        </w:rPr>
        <w:br/>
        <w:t>Generální ředitel pro zdravotnictví,</w:t>
      </w:r>
      <w:r>
        <w:rPr>
          <w:rFonts w:ascii="Times New Roman" w:hAnsi="Times New Roman"/>
          <w:sz w:val="24"/>
        </w:rPr>
        <w:br/>
        <w:t>J. Salomon</w:t>
      </w:r>
    </w:p>
    <w:p w14:paraId="26A05D50" w14:textId="77777777" w:rsidR="00C74177" w:rsidRDefault="00C74177"/>
    <w:sectPr w:rsidR="00C7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CB09" w14:textId="77777777" w:rsidR="00763354" w:rsidRDefault="00763354" w:rsidP="00537756">
      <w:pPr>
        <w:spacing w:after="0" w:line="240" w:lineRule="auto"/>
      </w:pPr>
      <w:r>
        <w:separator/>
      </w:r>
    </w:p>
  </w:endnote>
  <w:endnote w:type="continuationSeparator" w:id="0">
    <w:p w14:paraId="52D6AC7E" w14:textId="77777777" w:rsidR="00763354" w:rsidRDefault="00763354" w:rsidP="0053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231" w14:textId="77777777" w:rsidR="00537756" w:rsidRDefault="00537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478C" w14:textId="77777777" w:rsidR="00537756" w:rsidRDefault="00537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B93A" w14:textId="77777777" w:rsidR="00537756" w:rsidRDefault="00537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AC37" w14:textId="77777777" w:rsidR="00763354" w:rsidRDefault="00763354" w:rsidP="00537756">
      <w:pPr>
        <w:spacing w:after="0" w:line="240" w:lineRule="auto"/>
      </w:pPr>
      <w:r>
        <w:separator/>
      </w:r>
    </w:p>
  </w:footnote>
  <w:footnote w:type="continuationSeparator" w:id="0">
    <w:p w14:paraId="46D3DD81" w14:textId="77777777" w:rsidR="00763354" w:rsidRDefault="00763354" w:rsidP="0053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777D" w14:textId="77777777" w:rsidR="00537756" w:rsidRDefault="00537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FCF3" w14:textId="77777777" w:rsidR="00537756" w:rsidRDefault="00537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1EFF" w14:textId="77777777" w:rsidR="00537756" w:rsidRDefault="00537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2779"/>
    <w:multiLevelType w:val="multilevel"/>
    <w:tmpl w:val="FFA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38"/>
    <w:rsid w:val="001415DA"/>
    <w:rsid w:val="00373BC5"/>
    <w:rsid w:val="003F22E7"/>
    <w:rsid w:val="00462526"/>
    <w:rsid w:val="00537756"/>
    <w:rsid w:val="00763354"/>
    <w:rsid w:val="007A2F67"/>
    <w:rsid w:val="00906B70"/>
    <w:rsid w:val="00C74177"/>
    <w:rsid w:val="00F9249E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BB62"/>
  <w15:chartTrackingRefBased/>
  <w15:docId w15:val="{A5F8F7E5-8A34-4C24-8DDC-26EB8C4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56"/>
  </w:style>
  <w:style w:type="paragraph" w:styleId="Footer">
    <w:name w:val="footer"/>
    <w:basedOn w:val="Normal"/>
    <w:link w:val="FooterChar"/>
    <w:uiPriority w:val="99"/>
    <w:unhideWhenUsed/>
    <w:rsid w:val="0053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2080</Words>
  <Characters>11794</Characters>
  <Application>Microsoft Office Word</Application>
  <DocSecurity>0</DocSecurity>
  <Lines>256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Ines Varvodic</cp:lastModifiedBy>
  <cp:revision>4</cp:revision>
  <dcterms:created xsi:type="dcterms:W3CDTF">2022-03-04T12:41:00Z</dcterms:created>
  <dcterms:modified xsi:type="dcterms:W3CDTF">2022-03-04T12:50:00Z</dcterms:modified>
</cp:coreProperties>
</file>