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8E4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2021. november 20-i rendelet a méhek és más beporzó rovarok védelméről, valamint a beporzási szolgáltatások védelméről növényvédő szerek használata esetén</w:t>
      </w:r>
    </w:p>
    <w:p w14:paraId="6496B0C9" w14:textId="77777777" w:rsidR="00FF1A38" w:rsidRPr="00FF1A38" w:rsidRDefault="00FF1A38" w:rsidP="00FF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SZÁM: AGRG2134356A</w:t>
      </w:r>
      <w:r>
        <w:rPr>
          <w:rFonts w:ascii="Times New Roman" w:hAnsi="Times New Roman"/>
          <w:sz w:val="24"/>
        </w:rPr>
        <w:br/>
        <w:t xml:space="preserve">ELI: https://www.legifrance.gouv.fr/eli/arrete/2021/11/20/AGRG2134356A/jo/texte </w:t>
      </w:r>
      <w:r>
        <w:rPr>
          <w:rFonts w:ascii="Times New Roman" w:hAnsi="Times New Roman"/>
          <w:sz w:val="24"/>
        </w:rPr>
        <w:br/>
        <w:t>JORF 0271. szám, 2021. november 21.</w:t>
      </w:r>
      <w:r>
        <w:rPr>
          <w:rFonts w:ascii="Times New Roman" w:hAnsi="Times New Roman"/>
          <w:sz w:val="24"/>
        </w:rPr>
        <w:br/>
        <w:t>Szövegszám: 17</w:t>
      </w:r>
    </w:p>
    <w:p w14:paraId="040906A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I. cím: A NÖVÉNYVÉDŐ SZEREK VIRÁGZÁSI IDŐSZAKOKRA TÖRTÉNŐ ENGEDÉLYEZÉSÉNEK KERETSZABÁLYOZÁSA (2. cikk)</w:t>
      </w:r>
    </w:p>
    <w:p w14:paraId="69521E1F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II. cím: A NÖVÉNYVÉDŐ SZEREK HASZNÁLATÁNAK FELÜGYELETE A VIRÁGZÁSI IDŐSZAKOKBAN (3–7. cikk)</w:t>
      </w:r>
    </w:p>
    <w:p w14:paraId="0E5A6E18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III. cím: ÁTMENETI RENDELKEZÉSEK (8–11. cikk)</w:t>
      </w:r>
    </w:p>
    <w:p w14:paraId="3E3E5899" w14:textId="77777777" w:rsidR="00FF1A38" w:rsidRPr="00FF1A38" w:rsidRDefault="00FF1A38" w:rsidP="00FF1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Melléklet</w:t>
      </w:r>
    </w:p>
    <w:p w14:paraId="78D9C32A" w14:textId="22149B94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Célközönség: Forgalombahozatali engedélyek kérelmezői és birtokosai, növényvédő szerek felhasználói, beporzási szolgáltatások kedvezményezettjei. </w:t>
      </w:r>
      <w:r>
        <w:rPr>
          <w:rFonts w:ascii="Times New Roman" w:hAnsi="Times New Roman"/>
          <w:sz w:val="24"/>
        </w:rPr>
        <w:br/>
        <w:t xml:space="preserve">Tárgy: Ez a rendelet intézkedéseket állapít meg a beporzó rovarok, valamint a növényvédő szerek használatából adódó kockázatokkal kapcsolatos mezőgazdasági és ökoszisztéma-szolgáltatások védelmére. </w:t>
      </w:r>
      <w:r>
        <w:rPr>
          <w:rFonts w:ascii="Times New Roman" w:hAnsi="Times New Roman"/>
          <w:sz w:val="24"/>
        </w:rPr>
        <w:br/>
        <w:t>Hatálybalépés napja: Ez a rendelet 2022. január 1-jén lép hatályba.</w:t>
      </w:r>
      <w:r>
        <w:rPr>
          <w:rFonts w:ascii="Times New Roman" w:hAnsi="Times New Roman"/>
          <w:sz w:val="24"/>
        </w:rPr>
        <w:br/>
        <w:t xml:space="preserve">Megjegyzés: A rendelet valamennyi növényvédő szerre kiterjeszti azt az elvet, hogy a beporzók számára vonzó növényeken és a takarmánytermő területeken a virágzási időszakban értékelni kell a növényvédő szerek használatának lehetőségét a beporzókra vonatkozó kockázatok szempontjából. Ha a készítményt az Anses virágzásra engedélyezte, a kezelést – egyes különleges esetek kivételével – naplemente előtt 2 órán belül, illetve naplemente után 3 órán belül kell elvégezni. A rendelet átmeneti intézkedéseket, valamint ezen új rendelkezések végrehajtásának ütemtervét határozza meg. </w:t>
      </w:r>
      <w:r>
        <w:rPr>
          <w:rFonts w:ascii="Times New Roman" w:hAnsi="Times New Roman"/>
          <w:sz w:val="24"/>
        </w:rPr>
        <w:br/>
        <w:t xml:space="preserve">Hivatkozások: ezt a rendeletet a mezőgazdaságról és a tengeri halászatról szóló törvénykönyv L. 253-7. cikke alapján adták ki. A Légifrance weboldalán érhető el a következő címen: https://www.legifrance.gouv.fr/. </w:t>
      </w:r>
    </w:p>
    <w:p w14:paraId="55211D70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Az ökológiai átmenetért felelős miniszter, a gazdasági, pénzügyi és gazdaságélénkítési miniszter, a szolidaritási és egészségügyi miniszter, valamint a mezőgazdasági és élelmezésügyi miniszter,</w:t>
      </w:r>
      <w:r>
        <w:rPr>
          <w:rFonts w:ascii="Times New Roman" w:hAnsi="Times New Roman"/>
          <w:sz w:val="24"/>
        </w:rPr>
        <w:br/>
        <w:t>Tekintettel a növényvédő szerek forgalomba hozataláról, valamint a 79/117/EGK és a 91/414/EGK tanácsi irányelvek hatályon kívül helyezéséről szóló, 2009. október 21-i módosított 1107/2009/EK európai parlamenti és tanácsi rendeletre;</w:t>
      </w:r>
      <w:r>
        <w:rPr>
          <w:rFonts w:ascii="Times New Roman" w:hAnsi="Times New Roman"/>
          <w:sz w:val="24"/>
        </w:rPr>
        <w:br/>
        <w:t>tekintettel az európai parlament és a tanács 1107/2009/EK számú, a növényvédő szerek címkézési követelményeiről szóló rendeletének végrehajtásáról szóló, 2011. június 8-i 547/2011/EU bizottsági rendeletre;</w:t>
      </w:r>
      <w:r>
        <w:rPr>
          <w:rFonts w:ascii="Times New Roman" w:hAnsi="Times New Roman"/>
          <w:sz w:val="24"/>
        </w:rPr>
        <w:br/>
        <w:t>Tekintettel a műszaki szabályokkal és az információs társadalom szolgáltatásaira vonatkozó szabályokkal kapcsolatos információszolgáltatási eljárás megállapításáról szóló, 2015. szeptember 9-i (EU) 2015/1535 európai parlamenti és tanácsi irányelvre;</w:t>
      </w:r>
      <w:r>
        <w:rPr>
          <w:rFonts w:ascii="Times New Roman" w:hAnsi="Times New Roman"/>
          <w:sz w:val="24"/>
        </w:rPr>
        <w:br/>
        <w:t>Tekintettel a vidéki és tengeri halászati törvénykönyvre, különösen az L. 201-4., L. 251-3., L. 253-1., L. 253-7., D. 253-8., R. 253-43. és R. 253-45. cikkére;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Tekintettel a mezőgazdasági törvénykönyv L. 257-3. cikkében említett nyilvántartásnak az L. 257-1. cikkben említett gazdasági szereplők általi vezetésének feltételeiről szóló, 2009. június 16-i rendeletre;</w:t>
      </w:r>
      <w:r>
        <w:rPr>
          <w:rFonts w:ascii="Times New Roman" w:hAnsi="Times New Roman"/>
          <w:sz w:val="24"/>
        </w:rPr>
        <w:br/>
        <w:t>tekintettel a 2021/448/F számú értesítésre ;</w:t>
      </w:r>
      <w:r>
        <w:rPr>
          <w:rFonts w:ascii="Times New Roman" w:hAnsi="Times New Roman"/>
          <w:sz w:val="24"/>
        </w:rPr>
        <w:br/>
        <w:t>tekintettel a környezetvédelmi törvénykönyv L123-19-1. cikke alapján 2021. június 28. és 2021. július 20. között lefolytatott nyilvános konzultáció során tett észrevételekre,</w:t>
      </w:r>
      <w:r>
        <w:rPr>
          <w:rFonts w:ascii="Times New Roman" w:hAnsi="Times New Roman"/>
          <w:sz w:val="24"/>
        </w:rPr>
        <w:br/>
        <w:t>a következőket rendeli el:</w:t>
      </w:r>
    </w:p>
    <w:p w14:paraId="72734333" w14:textId="77777777" w:rsidR="00FF1A38" w:rsidRPr="00FF1A38" w:rsidRDefault="00FF1A38" w:rsidP="00FF1A38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1. cikk</w:t>
      </w:r>
    </w:p>
    <w:p w14:paraId="4AE602D9" w14:textId="5995804C" w:rsidR="00FF1A38" w:rsidRDefault="00FF1A38" w:rsidP="00FF1A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E rendelet alkalmazásában a következő fogalommeghatározások érvényesek:</w:t>
      </w:r>
      <w:r>
        <w:rPr>
          <w:rFonts w:ascii="Times New Roman" w:hAnsi="Times New Roman"/>
          <w:sz w:val="24"/>
        </w:rPr>
        <w:br/>
        <w:t>„Méhek”: Házi méhek, vadméhek és poszméhek;</w:t>
      </w:r>
      <w:r>
        <w:rPr>
          <w:rFonts w:ascii="Times New Roman" w:hAnsi="Times New Roman"/>
          <w:sz w:val="24"/>
        </w:rPr>
        <w:br/>
        <w:t>„Naplemente”: A kezelés helyszínéhez legközelebb eső hely csillagászati adataiban meghatározott időpont;</w:t>
      </w:r>
      <w:r>
        <w:rPr>
          <w:rFonts w:ascii="Times New Roman" w:hAnsi="Times New Roman"/>
          <w:sz w:val="24"/>
        </w:rPr>
        <w:br/>
        <w:t>„Vonzó kultúra”: A vonzó növény olyan növény, amely természetéből adódóan vonzó a méhek vagy más beporzó rovarok számára. A Mezőgazdasági Minisztérium Hivatalos Közlönyében felsorolt növények e rendelet értelmében nem minősülnek vonzónak.</w:t>
      </w:r>
      <w:r>
        <w:rPr>
          <w:rFonts w:ascii="Times New Roman" w:hAnsi="Times New Roman"/>
          <w:sz w:val="24"/>
        </w:rPr>
        <w:br/>
        <w:t>„Nedv”: A méhek vagy más beporzó rovarok által betakarított mézharmat, növények által termelt édes váladék és extraflorális növényi nektár;</w:t>
      </w:r>
      <w:r>
        <w:rPr>
          <w:rFonts w:ascii="Times New Roman" w:hAnsi="Times New Roman"/>
          <w:sz w:val="24"/>
        </w:rPr>
        <w:br/>
        <w:t>„Virágzás”: Az a vegetatív időszak, amely az első virágok kinyílásától az utolsó virágok szirmainak leeséséig tart;</w:t>
      </w:r>
      <w:r>
        <w:rPr>
          <w:rFonts w:ascii="Times New Roman" w:hAnsi="Times New Roman"/>
          <w:sz w:val="24"/>
        </w:rPr>
        <w:br/>
        <w:t>„Termékek”: Növényvédő szerek, a gyérítő szerek kivételével, valamint azoknak a mezőgazdaságról és a tengeri halászatról szóló törvénykönyv L.253-1. cikkében említett hatásjavító szerei;</w:t>
      </w:r>
      <w:r>
        <w:rPr>
          <w:rFonts w:ascii="Times New Roman" w:hAnsi="Times New Roman"/>
          <w:sz w:val="24"/>
        </w:rPr>
        <w:br/>
        <w:t>„Nyilvántartás”: A növényvédő szerek használatáról szóló nyilvántartás a növényvédő szerek forgalomba hozataláról szóló, 2009. október 21-i 1107/2009/EK rendelet 67. cikkében említett Vidéki és tengeri halászati szabályzat L. 257-1. cikkében említett gazdasági szereplők általi vezetésének feltételeiről szóló, 2009. június 16-i rendelet szerint;</w:t>
      </w:r>
      <w:r>
        <w:rPr>
          <w:rFonts w:ascii="Times New Roman" w:hAnsi="Times New Roman"/>
          <w:sz w:val="24"/>
        </w:rPr>
        <w:br/>
        <w:t>„Használat”: Növényvédő szer vagy hatásjavító szer használata növényen, növényi terméken vagy növénycsaládon kártevő, kártevőcsoport, betegség vagy betegségcsoport elleni védekezés céljából, jól körülhatárolt funkcióval és részletes alkalmazási szabályokkal, a mezőgazdaságról és a tengeri halászatról szóló törvénykönyv D.253-8. cikkében említett katalógusban leírtak szerint;</w:t>
      </w:r>
      <w:r>
        <w:rPr>
          <w:rFonts w:ascii="Times New Roman" w:hAnsi="Times New Roman"/>
          <w:sz w:val="24"/>
        </w:rPr>
        <w:br/>
        <w:t>„Termékfelhasználás”: Növényvédő szer vagy hatásjavító szer vegetatív ciklusban történő alkalmazása az engedélyezett felhasználásnak megfelelően, az alkalmazás módjától és a kezelt növényrésztől függetlenül, kivéve az 1. mellékletben meghatározott alkalmazási módokat, amelyek virágzáskor kizárják a beporzók expozícióját;</w:t>
      </w:r>
      <w:r>
        <w:rPr>
          <w:rFonts w:ascii="Times New Roman" w:hAnsi="Times New Roman"/>
          <w:sz w:val="24"/>
        </w:rPr>
        <w:br/>
        <w:t>„Takarmánytermő terület”: A termesztett növények kivételével a takarmánytermő terület olyan termesztett vagy spontán növénycsoport által elfoglalt mezőgazdasági vagy nem mezőgazdasági terület, amely a virágok vagy a nedvek jelenléte miatt nyilvánvaló jelentőséggel bír a méhek vagy más beporzó rovarok számára. E rendelet alkalmazásában a termékek takarmánytermő területeken történő felhasználása konkrétan e területek kezelésére szolgál, függetlenül a termesztett növényeken való használattól.</w:t>
      </w:r>
    </w:p>
    <w:p w14:paraId="5767C4DD" w14:textId="42F849A5" w:rsidR="002E13ED" w:rsidRDefault="002E13ED" w:rsidP="00FF1A38">
      <w:pPr>
        <w:spacing w:before="100" w:beforeAutospacing="1" w:after="100" w:afterAutospacing="1" w:line="240" w:lineRule="auto"/>
        <w:ind w:left="450"/>
        <w:rPr>
          <w:rFonts w:ascii="Times New Roman" w:hAnsi="Times New Roman"/>
          <w:sz w:val="24"/>
        </w:rPr>
      </w:pPr>
    </w:p>
    <w:p w14:paraId="4A2E2658" w14:textId="77777777" w:rsidR="002E13ED" w:rsidRPr="00FF1A38" w:rsidRDefault="002E13ED" w:rsidP="00FF1A3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75081A77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lastRenderedPageBreak/>
        <w:t>I. cím: A NÖVÉNYVÉDŐ SZEREK VIRÁGZÁSI IDŐSZAKOKRA TÖRTÉNŐ ENGEDÉLYEZÉSÉNEK KERETSZABÁLYOZÁSA (2. cikk)</w:t>
      </w:r>
    </w:p>
    <w:p w14:paraId="52EC4D0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2. cikk</w:t>
      </w:r>
    </w:p>
    <w:p w14:paraId="4E54D57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mezőgazdaságról és a Vidéki és tengeri halászati szabályzat L. 253-1. cikkében említett engedély kiadásakor vagy megújításakor az Anses értékeli a termék vonzó növényeken, virágzáskor történő használatával kapcsolatos kockázatokat.</w:t>
      </w:r>
      <w:r>
        <w:rPr>
          <w:rFonts w:ascii="Times New Roman" w:hAnsi="Times New Roman"/>
          <w:sz w:val="24"/>
        </w:rPr>
        <w:br/>
        <w:t>E célból a kérelmezőnek dokumentációjához csatolnia kell a hatályos rendeletekben előírt teszteket és kockázatértékeléseket, valamint mindazokat az információkat, amelyek ahhoz szükségesek, hogy az Anses döntést hozhasson az első albekezdésben említett értékelésről.</w:t>
      </w:r>
      <w:r>
        <w:rPr>
          <w:rFonts w:ascii="Times New Roman" w:hAnsi="Times New Roman"/>
          <w:sz w:val="24"/>
        </w:rPr>
        <w:br/>
        <w:t>Ha az Anses által végzett kockázatértékelés arra a következtetésre jut, hogy a felhasználás elhanyagolható expozíciót eredményez, vagy nem okoz elfogadhatatlan, akut vagy krónikus hatást a méhekre nézve, illetve nem gyakorol hatást a kolóniák túlélésére és fejlődésére, akkor a termék megfelelő vonzó növényen történő használata engedélyezhető virágzáskor és a takarmánytermő területeken. Az ilyen felhasználás feltétele a 3. cikkben megállapított intézkedések végrehajtása.</w:t>
      </w:r>
      <w:r>
        <w:rPr>
          <w:rFonts w:ascii="Times New Roman" w:hAnsi="Times New Roman"/>
          <w:sz w:val="24"/>
        </w:rPr>
        <w:br/>
        <w:t>Ellenkező esetben a termék használata tilos a megfelelő vonzó növényen, ha az virágzik, valamint a takarmánytermő területeken.</w:t>
      </w:r>
    </w:p>
    <w:p w14:paraId="278D5B92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II. cím: A NÖVÉNYVÉDŐ SZEREK HASZNÁLATÁNAK FELÜGYELETE A VIRÁGZÁSI IDŐSZAKOKBAN (3–7. cikk)</w:t>
      </w:r>
    </w:p>
    <w:p w14:paraId="74FEABC1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3. cikk</w:t>
      </w:r>
    </w:p>
    <w:p w14:paraId="691002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2. cikk szerint engedélyezett terméket virágzás közben vonzó növényen vagy takarmánytermő területen naplemente előtt 2 órán belül, illetve naplemente után 3 órán belül kell használni.</w:t>
      </w:r>
      <w:r>
        <w:rPr>
          <w:rFonts w:ascii="Times New Roman" w:hAnsi="Times New Roman"/>
          <w:sz w:val="24"/>
        </w:rPr>
        <w:br/>
        <w:t>Ez az időszak módosítható vagy eltörölhető a méhek és más beporzók expozíciójára vonatkozó egyenértékű garanciákat nyújtó intézkedések biztosítása mellett. Ezeket az eljárásokat az Anses állásfoglalását követően a mellékletben határozzák meg, különös tekintettel a reggeli vagy egy adott hőmérsékleti küszöbérték alatti kezelések engedélyezésére.</w:t>
      </w:r>
      <w:r>
        <w:rPr>
          <w:rFonts w:ascii="Times New Roman" w:hAnsi="Times New Roman"/>
          <w:sz w:val="24"/>
        </w:rPr>
        <w:br/>
        <w:t>Az első bekezdéstől eltérve a növényvédő szereknek az említett idősávon kívüli használatával kísérletezni kell azon döntéstámogató eszközök vagy egyéb technológiák azonosítása érdekében, amelyek használata egyenértékű garanciákat nyújthat a méhek és más beporzók expozíciója tekintetében. Ezt a legfeljebb hároméves időtartamú kísérletet, amelyet az Anses értékel, a környezetvédelemért és a mezőgazdaságért felelős miniszterek közös rendeletében meghatározott feltételek és szabályok szerint hajtják végre.</w:t>
      </w:r>
    </w:p>
    <w:p w14:paraId="2638E37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4. cikk</w:t>
      </w:r>
    </w:p>
    <w:p w14:paraId="6F7C037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Ha az évelő növénykultúra alatt található növénytakaró takarmánytermő területet alkot, rovarölő vagy atkaölő kezelés előtt annak vonzerejét meg kell szüntetni a beporzók számára.</w:t>
      </w:r>
    </w:p>
    <w:p w14:paraId="039E740F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5. cikk</w:t>
      </w:r>
    </w:p>
    <w:p w14:paraId="70D705FD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3. cikkben meghatározott alkalmazási időszak a következő esetekben módosítható:</w:t>
      </w:r>
    </w:p>
    <w:p w14:paraId="040DB100" w14:textId="7952881D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2E13E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ha a bioagresszorok kizárólag nappali aktivitása miatt a 3. cikkben meghatározott időszakban végzett kezelés nem biztosítja a kezelt kultúra hatékony védelmét;</w:t>
      </w:r>
      <w:r>
        <w:rPr>
          <w:rFonts w:ascii="Times New Roman" w:hAnsi="Times New Roman"/>
          <w:sz w:val="24"/>
        </w:rPr>
        <w:br/>
        <w:t>- ha egy betegség kialakulása tekintetében a gombaölő kezelés hatékonyságának feltétele a 3. cikkben meghatározott időtartammal összeegyeztethetetlen korlátozott időtartamon belüli elvégzés.</w:t>
      </w:r>
    </w:p>
    <w:p w14:paraId="1C4C0AA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Az alkalmazás mindkét esetben időkorlát nélkül elvégezhető.</w:t>
      </w:r>
      <w:r>
        <w:rPr>
          <w:rFonts w:ascii="Times New Roman" w:hAnsi="Times New Roman"/>
          <w:sz w:val="24"/>
        </w:rPr>
        <w:br/>
        <w:t>Ideiglenes jelleggel, e rendelet kihirdetésétől számított nyolc hónapos időtartamra az alkalmazás óránkénti korlátozás nélkül is elvégezhető, feltéve, hogy a hőmérséklet elég alacsony a méhek jelenlétének elkerüléséhez.</w:t>
      </w:r>
      <w:r>
        <w:rPr>
          <w:rFonts w:ascii="Times New Roman" w:hAnsi="Times New Roman"/>
          <w:sz w:val="24"/>
        </w:rPr>
        <w:br/>
        <w:t>A feldolgozás kezdetének és végének időpontját, valamint a 3. cikkben meghatározott időtartam megváltozásának okát rögzíteni kell a nyilvántartásba.</w:t>
      </w:r>
    </w:p>
    <w:p w14:paraId="2C42086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6. cikk</w:t>
      </w:r>
    </w:p>
    <w:p w14:paraId="7C493FCA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2. cikk negyedik bekezdésében előírt tilalomtól, valamint a vidéki és tengeri halászatról szóló törvénykönyv L. 201-4. cikkének II. pontja alapján kiadott rendelet 3. cikkében előírt gazdálkodási intézkedésektől el lehet térni az ugyanezen törvénykönyv L. 251-3. cikke alapján szabályozott szervezetek tekintetében.</w:t>
      </w:r>
    </w:p>
    <w:p w14:paraId="2121299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7. cikk</w:t>
      </w:r>
    </w:p>
    <w:p w14:paraId="1044327C" w14:textId="349A3E0B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2E13E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Azoknak a termékeknek a címkéjén, amelyek használata a 2. cikknek megfelelően virágzó növényen nem engedélyezett, fel kell tüntetni a „Méhekre veszélyes!” feliratot. A méhek és más beporzó rovarok védelme érdekében virágzáskor nem szabad alkalmazni, és takarmánytermő területeken nem szabad használni.”</w:t>
      </w:r>
      <w:r>
        <w:rPr>
          <w:rFonts w:ascii="Times New Roman" w:hAnsi="Times New Roman"/>
          <w:sz w:val="24"/>
        </w:rPr>
        <w:br/>
        <w:t>II</w:t>
      </w:r>
      <w:r w:rsidR="002E13ED">
        <w:rPr>
          <w:rFonts w:ascii="Times New Roman" w:hAnsi="Times New Roman"/>
          <w:sz w:val="24"/>
        </w:rPr>
        <w:t>. -</w:t>
      </w:r>
      <w:r>
        <w:rPr>
          <w:rFonts w:ascii="Times New Roman" w:hAnsi="Times New Roman"/>
          <w:sz w:val="24"/>
        </w:rPr>
        <w:t xml:space="preserve"> Azoknak a termékeknek a címkéjén, amelyek esetében a 2. cikknek megfelelően legalább egy használat engedélyezett virágzó növényen, fel kell tüntetni a következő mondatot: „A méhekre veszélyes lehet. Virágzáskor és takarmánytermő területeken naplemente előtt 2 órán belül, illetve naplemente után 3 órán belül alkalmazható, kizárólag a következő felhasználási cél(ok)ra: [...] Az órabeosztás a méhek és egyéb beporzó rovarok védelméről, valamint növényvédő szerek használata esetén a beporzási szolgáltatások megőrzéséről szóló, 2021. november 20-i rendeletnek megfelelően módosítható.”</w:t>
      </w:r>
    </w:p>
    <w:p w14:paraId="2351893A" w14:textId="77777777" w:rsidR="00FF1A38" w:rsidRPr="00FF1A38" w:rsidRDefault="00FF1A38" w:rsidP="00CC0240">
      <w:pPr>
        <w:pageBreakBefore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lastRenderedPageBreak/>
        <w:t>III. cím: ÁTMENETI RENDELKEZÉSEK (8–11. cikk)</w:t>
      </w:r>
    </w:p>
    <w:p w14:paraId="0A0A492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8. cikk</w:t>
      </w:r>
    </w:p>
    <w:p w14:paraId="47A5BAF5" w14:textId="0143616C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Átmeneti intézkedésként olyan rovarölő és atkaölő szerek, amelyeknek a forgalombahozatali engedélye e rendelet hatálybalépésének napján a következő adatok egyikét tartalmazza:</w:t>
      </w:r>
    </w:p>
    <w:p w14:paraId="3C0215A8" w14:textId="6BFAECCA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virágzáskor történő használat engedélyezett, kivéve méhek jelenlétében”;</w:t>
      </w:r>
      <w:r>
        <w:rPr>
          <w:rFonts w:ascii="Times New Roman" w:hAnsi="Times New Roman"/>
          <w:sz w:val="24"/>
        </w:rPr>
        <w:br/>
        <w:t>„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 nedvek termelődésének időszakában történő használat engedélyezett, kivéve méhek jelenlétében”;</w:t>
      </w:r>
      <w:r>
        <w:rPr>
          <w:rFonts w:ascii="Times New Roman" w:hAnsi="Times New Roman"/>
          <w:sz w:val="24"/>
        </w:rPr>
        <w:br/>
        <w:t>„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virágzáskor és a nedvek termelődésének időszakában történő használat engedélyezett, kivéve méhek jelenlétében”;</w:t>
      </w:r>
    </w:p>
    <w:p w14:paraId="3705A0E7" w14:textId="5CEFD076" w:rsid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a 3–5. cikkben megállapított feltételek mellett felhasználhatók vonzó növényeken virágzáskor vagy takarmánytermő területeken a forgalombahozatali engedély megújításáig.</w:t>
      </w:r>
      <w:r>
        <w:rPr>
          <w:rFonts w:ascii="Times New Roman" w:hAnsi="Times New Roman"/>
          <w:sz w:val="24"/>
        </w:rPr>
        <w:br/>
        <w:t xml:space="preserve">II. </w:t>
      </w:r>
      <w:r w:rsidR="002E13E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Átmeneti intézkedésként, ha a rovarirtóktól és atkaölőktől eltérő termék forgalomba hozatalára vonatkozó engedély megújításának benyújtására az e rendelet hatálybalépését követő 30 hónapon belül kerül sor, e termék a 3–5. cikkben megállapított feltételek mellett felhasználható vonzó növényeken virágzáskor vagy takarmánytermő területeken mindaddig, amíg az Anses döntést nem hoz a 2. cikkben előírt kockázatértékelésről, feltéve, hogy a kiegészítő elemeket e rendelet hatálybalépésétől számított 30 hónapon belül benyújtották.</w:t>
      </w:r>
      <w:r>
        <w:rPr>
          <w:rFonts w:ascii="Times New Roman" w:hAnsi="Times New Roman"/>
          <w:sz w:val="24"/>
        </w:rPr>
        <w:br/>
        <w:t xml:space="preserve">III. 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Átmeneti intézkedésként, ha a rovarirtóktól és atkaölőktől eltérő termék forgalomba hozatalára vonatkozó engedély megújításának benyújtására az e rendelet hatálybalépését követő 30 hónapon túl kerül sor, e termék a 3–5. cikkben megállapított feltételek mellett felhasználható vonzó növényeken virágzáskor vagy takarmánytermő területeken, amíg az Anses döntést nem hoz a 2. cikkben előírt kockázatértékelésről, feltéve, hogy a kiegészítő elemeket az e rendelet hatálybalépésétől számított 48 hónapon belül benyújtották.</w:t>
      </w:r>
      <w:r>
        <w:rPr>
          <w:rFonts w:ascii="Times New Roman" w:hAnsi="Times New Roman"/>
          <w:sz w:val="24"/>
        </w:rPr>
        <w:br/>
        <w:t xml:space="preserve">IV. </w:t>
      </w:r>
      <w:r w:rsidR="002E13E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Amennyiben az e cikk II. és III. pontjában megállapított határidőn belül nem nyújtják be a kiegészítő információkat, virágzáskor és takarmánytermő területeken tilos a vonzó növényeken történő felhasználás, és az érintett termékek címkéit a 7. cikk I. bekezdésének megfelelően frissíteni kell.</w:t>
      </w:r>
      <w:r>
        <w:rPr>
          <w:rFonts w:ascii="Times New Roman" w:hAnsi="Times New Roman"/>
          <w:sz w:val="24"/>
        </w:rPr>
        <w:br/>
        <w:t xml:space="preserve">V. 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 kérelmezők az e cikk II. és III. pontjában előírt további elemek benyújtása előtt 18 hónappal értesítik az Ansest a további elemek benyújtására irányuló szándékukról, megjelölve a szóban forgó felhasználási módokat.</w:t>
      </w:r>
      <w:r>
        <w:rPr>
          <w:rFonts w:ascii="Times New Roman" w:hAnsi="Times New Roman"/>
          <w:sz w:val="24"/>
        </w:rPr>
        <w:br/>
        <w:t xml:space="preserve">VI. 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 III</w:t>
      </w:r>
      <w:r w:rsidR="002E13E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V. bekezdésben megállapított rendelkezések nem alkalmazandók azokra a növényekre, amelyek a mezőgazdaságról és a tengeri halászatról szóló törvénykönyv D. 253-8. cikkében szereplő felhasználási katalógus alapján Franciaország északi vagy déli övezeteinek egyikében sem minősülnek kiemelt jelentőségűnek. E növények esetében a hatályos rendeletekben előírt, a beporzókra vonatkozó vizsgálatokat és kockázatértékeléseket a forgalombahozatali engedély megújításakor kérik, és az érintett termékek a 3–5. cikkben megállapított feltételek mellett felhasználhatók vonzó növényeken virágzáskor vagy takarmánytermő területeken mindaddig, amíg az Anses döntést nem hoz a 2. cikkben előírt kockázatértékelésről.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VII. </w:t>
      </w:r>
      <w:r w:rsidR="002E13E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Az Anses rendszeresen közzéteszi és frissíti az engedélyezett termékek 2. cikkben meghatározott feltételek szerinti felhasználásának jegyzékét.</w:t>
      </w:r>
    </w:p>
    <w:p w14:paraId="6DFA93B5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9. cikk</w:t>
      </w:r>
    </w:p>
    <w:p w14:paraId="41018622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mezőgazdasági rovarölő és atkaölő szereknek a méhek és más beporzó rovarok védelme érdekében történő felhasználásának feltételeiről szóló, 2003. november 28-i rendelet hatályát veszti.</w:t>
      </w:r>
    </w:p>
    <w:p w14:paraId="72839818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10. cikk</w:t>
      </w:r>
    </w:p>
    <w:p w14:paraId="3D6ED771" w14:textId="405850D3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Ez a rendelet 2022. január 1-jén lép hatályba.</w:t>
      </w:r>
    </w:p>
    <w:p w14:paraId="604BD44E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11. cikk</w:t>
      </w:r>
    </w:p>
    <w:p w14:paraId="581C8E66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 rendelet végrehajtásáért, amelyet a Francia Köztársaság Hivatalos Lapjában tesznek közzé, a saját illetékességi területén belül az élelmiszerügyi főigazgató, a kockázatmegelőzési főigazgató, a versenypolitikai, fogyasztóügyi és csalás elleni főigazgató és az egészségügyi főigazgató felel.</w:t>
      </w:r>
    </w:p>
    <w:p w14:paraId="5A8FC5A1" w14:textId="77777777" w:rsidR="00FF1A38" w:rsidRPr="00FF1A38" w:rsidRDefault="00FF1A38" w:rsidP="00FF1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Melléklet</w:t>
      </w:r>
    </w:p>
    <w:p w14:paraId="589DA4E0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Cikk</w:t>
      </w:r>
    </w:p>
    <w:p w14:paraId="32CB1B17" w14:textId="077E1A58" w:rsidR="00FF1A38" w:rsidRPr="00462526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aps/>
          <w:sz w:val="24"/>
        </w:rPr>
        <w:t>1. melléklet</w:t>
      </w:r>
      <w:r w:rsidR="00CC0240">
        <w:rPr>
          <w:rFonts w:ascii="Times New Roman" w:hAnsi="Times New Roman"/>
          <w:caps/>
          <w:sz w:val="24"/>
        </w:rPr>
        <w:br/>
      </w:r>
      <w:r>
        <w:rPr>
          <w:rFonts w:ascii="Times New Roman" w:hAnsi="Times New Roman"/>
          <w:caps/>
          <w:sz w:val="24"/>
        </w:rPr>
        <w:t>A beporzók kitettségét a virágzási időszakban kizáró alkalmazási módok jegyzéke</w:t>
      </w:r>
    </w:p>
    <w:p w14:paraId="34DB028B" w14:textId="77777777" w:rsidR="00FF1A38" w:rsidRPr="00FF1A38" w:rsidRDefault="00FF1A38" w:rsidP="00FF1A3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Üvegházi és védett növényeken történő alkalmazás, mivel azok virágzáskor hozzáférhetetlenek a beporzók számára.</w:t>
      </w:r>
    </w:p>
    <w:p w14:paraId="50FD6962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Készült 2021. november 20-án.</w:t>
      </w:r>
    </w:p>
    <w:p w14:paraId="24C0BB1B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mezőgazdasági és élelmiszerügyi miniszter,</w:t>
      </w:r>
      <w:r>
        <w:rPr>
          <w:rFonts w:ascii="Times New Roman" w:hAnsi="Times New Roman"/>
          <w:sz w:val="24"/>
        </w:rPr>
        <w:br/>
        <w:t>A miniszter nevében és megbízás alapján:</w:t>
      </w:r>
      <w:r>
        <w:rPr>
          <w:rFonts w:ascii="Times New Roman" w:hAnsi="Times New Roman"/>
          <w:sz w:val="24"/>
        </w:rPr>
        <w:br/>
        <w:t>Az élelmiszerügyi főigazgató,</w:t>
      </w:r>
      <w:r>
        <w:rPr>
          <w:rFonts w:ascii="Times New Roman" w:hAnsi="Times New Roman"/>
          <w:sz w:val="24"/>
        </w:rPr>
        <w:br/>
        <w:t>B. Ferreira</w:t>
      </w:r>
    </w:p>
    <w:p w14:paraId="10D6C0DF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Az ökológiai átmenetért felelős miniszter,</w:t>
      </w:r>
      <w:r>
        <w:rPr>
          <w:rFonts w:ascii="Times New Roman" w:hAnsi="Times New Roman"/>
          <w:sz w:val="24"/>
        </w:rPr>
        <w:br/>
        <w:t>A miniszter nevében és megbízás alapján:</w:t>
      </w:r>
      <w:r>
        <w:rPr>
          <w:rFonts w:ascii="Times New Roman" w:hAnsi="Times New Roman"/>
          <w:sz w:val="24"/>
        </w:rPr>
        <w:br/>
        <w:t>A kockázatmegelőzési főigazgató,</w:t>
      </w:r>
      <w:r>
        <w:rPr>
          <w:rFonts w:ascii="Times New Roman" w:hAnsi="Times New Roman"/>
          <w:sz w:val="24"/>
        </w:rPr>
        <w:br/>
        <w:t>C. Bourillet</w:t>
      </w:r>
    </w:p>
    <w:p w14:paraId="19B1D81F" w14:textId="21206846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A gazdasági, pénzügyi és helyreállítási miniszter,</w:t>
      </w:r>
      <w:r>
        <w:rPr>
          <w:rFonts w:ascii="Times New Roman" w:hAnsi="Times New Roman"/>
          <w:sz w:val="24"/>
        </w:rPr>
        <w:br/>
        <w:t>A miniszter nevében és megbízásából:</w:t>
      </w:r>
      <w:r>
        <w:rPr>
          <w:rFonts w:ascii="Times New Roman" w:hAnsi="Times New Roman"/>
          <w:sz w:val="24"/>
        </w:rPr>
        <w:br/>
        <w:t>A versenypolitikai, fogyasztóügyi és csalás elleni főigazgató,</w:t>
      </w:r>
      <w:r>
        <w:rPr>
          <w:rFonts w:ascii="Times New Roman" w:hAnsi="Times New Roman"/>
          <w:sz w:val="24"/>
        </w:rPr>
        <w:br/>
        <w:t>V. Beaumeunier</w:t>
      </w:r>
    </w:p>
    <w:p w14:paraId="56BCDE13" w14:textId="77777777" w:rsidR="00FF1A38" w:rsidRPr="00FF1A38" w:rsidRDefault="00FF1A38" w:rsidP="00F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szolidaritásért és egészségügyért felelős miniszter,</w:t>
      </w:r>
      <w:r>
        <w:rPr>
          <w:rFonts w:ascii="Times New Roman" w:hAnsi="Times New Roman"/>
          <w:sz w:val="24"/>
        </w:rPr>
        <w:br/>
        <w:t>a miniszter nevében és megbízásából:</w:t>
      </w:r>
      <w:r>
        <w:rPr>
          <w:rFonts w:ascii="Times New Roman" w:hAnsi="Times New Roman"/>
          <w:sz w:val="24"/>
        </w:rPr>
        <w:br/>
        <w:t>Az egészségügyi főigazgató,</w:t>
      </w:r>
      <w:r>
        <w:rPr>
          <w:rFonts w:ascii="Times New Roman" w:hAnsi="Times New Roman"/>
          <w:sz w:val="24"/>
        </w:rPr>
        <w:br/>
        <w:t>J. Salomon</w:t>
      </w:r>
    </w:p>
    <w:p w14:paraId="26A05D50" w14:textId="77777777" w:rsidR="00C74177" w:rsidRDefault="00C74177"/>
    <w:sectPr w:rsidR="00C7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2779"/>
    <w:multiLevelType w:val="multilevel"/>
    <w:tmpl w:val="FFA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38"/>
    <w:rsid w:val="002E13ED"/>
    <w:rsid w:val="00462526"/>
    <w:rsid w:val="007A2F67"/>
    <w:rsid w:val="00906B70"/>
    <w:rsid w:val="00C74177"/>
    <w:rsid w:val="00CC024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BB62"/>
  <w15:chartTrackingRefBased/>
  <w15:docId w15:val="{A5F8F7E5-8A34-4C24-8DDC-26EB8C4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 Général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Liana Brili</cp:lastModifiedBy>
  <cp:revision>4</cp:revision>
  <dcterms:created xsi:type="dcterms:W3CDTF">2022-03-04T13:01:00Z</dcterms:created>
  <dcterms:modified xsi:type="dcterms:W3CDTF">2022-03-06T16:21:00Z</dcterms:modified>
</cp:coreProperties>
</file>