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BC8E4" w14:textId="77777777" w:rsidR="00FF1A38" w:rsidRPr="00FF1A38" w:rsidRDefault="00FF1A38" w:rsidP="00FF1A38">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Vyhláška z 20. novembra 2021 o ochrane včiel a iného opeľujúceho hmyzu a o zachovaní opeľovacích služieb pri používaní prípravkov na ochranu rastlín</w:t>
      </w:r>
    </w:p>
    <w:p w14:paraId="6496B0C9" w14:textId="77777777" w:rsidR="00FF1A38" w:rsidRPr="00FF1A38" w:rsidRDefault="00FF1A38" w:rsidP="00FF1A38">
      <w:pPr>
        <w:spacing w:after="0" w:line="240" w:lineRule="auto"/>
        <w:rPr>
          <w:rFonts w:ascii="Times New Roman" w:eastAsia="Times New Roman" w:hAnsi="Times New Roman" w:cs="Times New Roman"/>
          <w:sz w:val="24"/>
          <w:szCs w:val="24"/>
        </w:rPr>
      </w:pPr>
      <w:r>
        <w:rPr>
          <w:rFonts w:ascii="Times New Roman" w:hAnsi="Times New Roman"/>
          <w:sz w:val="24"/>
        </w:rPr>
        <w:t>NOR: AGRG2134356A ELI: https://www.legifrance.gouv.fr/eli/arrete/2021/11/20/AGRG2134356A/jo/texte</w:t>
      </w:r>
      <w:r>
        <w:rPr>
          <w:rFonts w:ascii="Times New Roman" w:hAnsi="Times New Roman"/>
          <w:sz w:val="24"/>
        </w:rPr>
        <w:br/>
        <w:t>JORF č. 0271 z 21. novembra 2021</w:t>
      </w:r>
      <w:r>
        <w:rPr>
          <w:rFonts w:ascii="Times New Roman" w:hAnsi="Times New Roman"/>
          <w:sz w:val="24"/>
        </w:rPr>
        <w:br/>
        <w:t>Text č. 17</w:t>
      </w:r>
    </w:p>
    <w:p w14:paraId="040906AF" w14:textId="77777777" w:rsidR="00FF1A38" w:rsidRPr="00FF1A38" w:rsidRDefault="00FF1A38" w:rsidP="00FF1A38">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Hlava I: RÁMEC PRE POVOĽOVANIE PRÍPRAVKOV NA OCHRANU RASTLÍN POČAS OBDOBIA KVITNUTIA (Článok 2)</w:t>
      </w:r>
    </w:p>
    <w:p w14:paraId="69521E1F" w14:textId="77777777" w:rsidR="00FF1A38" w:rsidRPr="00FF1A38" w:rsidRDefault="00FF1A38" w:rsidP="00FF1A38">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Hlava II: DOHĽAD NAD POUŽÍVANÍM PRÍPRAVKOV NA OCHRANU RASTLÍN POČAS OBDOBIA KVITNUTIA (Články 3 až 7)</w:t>
      </w:r>
    </w:p>
    <w:p w14:paraId="0E5A6E18" w14:textId="77777777" w:rsidR="00FF1A38" w:rsidRPr="00FF1A38" w:rsidRDefault="00FF1A38" w:rsidP="00FF1A38">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Hlava III: PRECHODNÉ USTANOVENIA (Články 8 až 11)</w:t>
      </w:r>
    </w:p>
    <w:p w14:paraId="3E3E5899" w14:textId="77777777" w:rsidR="00FF1A38" w:rsidRPr="00FF1A38" w:rsidRDefault="00FF1A38" w:rsidP="00FF1A38">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Príloha</w:t>
      </w:r>
    </w:p>
    <w:p w14:paraId="78D9C32A" w14:textId="22149B94" w:rsidR="00FF1A38" w:rsidRPr="00FF1A38" w:rsidRDefault="00FF1A38" w:rsidP="00FF1A3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Cieľové skupiny: Žiadatelia a držitelia povolenia na uvedenie na trh, používatelia prípravkov na ochranu rastlín, príjemcovia opeľovacích služieb. </w:t>
      </w:r>
      <w:r>
        <w:rPr>
          <w:rFonts w:ascii="Times New Roman" w:hAnsi="Times New Roman"/>
          <w:sz w:val="24"/>
        </w:rPr>
        <w:br/>
        <w:t xml:space="preserve">Predmet: V tejto Vyhláške sa stanovujú opatrenia na ochranu opeľujúceho hmyzu a poľnohospodárskych a ekosystémových služieb pred rizikami spojenými s používaním prípravkov na ochranu rastlín. </w:t>
      </w:r>
      <w:r>
        <w:rPr>
          <w:rFonts w:ascii="Times New Roman" w:hAnsi="Times New Roman"/>
          <w:sz w:val="24"/>
        </w:rPr>
        <w:br/>
        <w:t>Nadobudnutie účinnosti : Táto Vyhláška nadobúda účinnosť1. januára 2022.</w:t>
      </w:r>
      <w:r>
        <w:rPr>
          <w:rFonts w:ascii="Times New Roman" w:hAnsi="Times New Roman"/>
          <w:sz w:val="24"/>
        </w:rPr>
        <w:br/>
        <w:t xml:space="preserve">Oznámenie: Vyhláška rozširuje na všetky prípravky na ochranu rastlín zásadu hodnotenia možnosti použitia prípravku na ochranu rastlín počas obdobia kvitnutia na plodinách atraktívnych pre opeľovače a na kŕmnych plochách, pokiaľ ide o riziko pre opeľovače. Ak je liek povolený agentúrou Anses pre účely kvitnutia, ošetrenie by sa s výnimkou osobitných prípadov malo vykonať do 2 hodín pred západom slnka a do 3 hodín po západe slnka. Vyhláška ustanovuje prechodné opatrenia a časový harmonogram vykonávania týchto nových ustanovení. </w:t>
      </w:r>
      <w:r>
        <w:rPr>
          <w:rFonts w:ascii="Times New Roman" w:hAnsi="Times New Roman"/>
          <w:sz w:val="24"/>
        </w:rPr>
        <w:br/>
        <w:t xml:space="preserve">Odkazy: táto Vyhláška sa vydáva podľa článku L. 253 – 7 Zákonníka poľnohospodárskeho a námorného rybolovu. Je k dispozícii na internetovej stránke Légifrance na adrese: https://www.legifrance.gouv.fr/. </w:t>
      </w:r>
    </w:p>
    <w:p w14:paraId="55211D70" w14:textId="77777777" w:rsidR="00FF1A38" w:rsidRPr="00FF1A38" w:rsidRDefault="00FF1A38" w:rsidP="00FF1A3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Minister pre ekologickú transformáciu, minister hospodárstva, financií a obnovy, minister solidarity a zdravotníctva a minister poľnohospodárstva a potravinárstva,</w:t>
      </w:r>
      <w:r>
        <w:rPr>
          <w:rFonts w:ascii="Times New Roman" w:hAnsi="Times New Roman"/>
          <w:sz w:val="24"/>
        </w:rPr>
        <w:br/>
        <w:t>so zreteľom na Nariadenie Európskeho parlamentu a Rady (ES) č. 1107/2009 z 21. októbra 2009 o uvádzaní prípravkov na ochranu rastlín na trh a o zrušení Smerníc Rady 79/117/EHS a 91/414/EHS;</w:t>
      </w:r>
      <w:r>
        <w:rPr>
          <w:rFonts w:ascii="Times New Roman" w:hAnsi="Times New Roman"/>
          <w:sz w:val="24"/>
        </w:rPr>
        <w:br/>
        <w:t>So zreteľom na nariadenie Komisie (EÚ) č. 547/2011 z 8. júna 2011, ktorým sa vykonáva nariadenie Európskeho parlamentu a Rady (ES) č. 1107/2009, pokiaľ ide o požiadavky na označovanie prípravkov na ochranu rastlín;</w:t>
      </w:r>
      <w:r>
        <w:rPr>
          <w:rFonts w:ascii="Times New Roman" w:hAnsi="Times New Roman"/>
          <w:sz w:val="24"/>
        </w:rPr>
        <w:br/>
        <w:t>so zreteľom na Smernicu Európskeho parlamentu a Rady (EÚ) 2015/1535 z 9. septembra 2015, ktorou sa stanovuje postup pri poskytovaní informácií v oblasti technických predpisov a pravidiel vzťahujúcich sa na služby Informačnej spoločnosti;</w:t>
      </w:r>
      <w:r>
        <w:rPr>
          <w:rFonts w:ascii="Times New Roman" w:hAnsi="Times New Roman"/>
          <w:sz w:val="24"/>
        </w:rPr>
        <w:br/>
        <w:t>so zreteľom na Zákonník poľnohospodárskeho a námorného rybolovu, najmä na Články L. 201-4, L. 251-3, L. 253-1, L. 253-7, D. 253-8, R. 253-43 and R. 253-45;</w:t>
      </w:r>
      <w:r>
        <w:rPr>
          <w:rFonts w:ascii="Times New Roman" w:hAnsi="Times New Roman"/>
          <w:sz w:val="24"/>
        </w:rPr>
        <w:br/>
        <w:t xml:space="preserve">so zreteľom na vyhlášku zo 16. júna 2009 o podmienkach, za ktorých hospodárske subjekty </w:t>
      </w:r>
      <w:r>
        <w:rPr>
          <w:rFonts w:ascii="Times New Roman" w:hAnsi="Times New Roman"/>
          <w:sz w:val="24"/>
        </w:rPr>
        <w:lastRenderedPageBreak/>
        <w:t>uvedené v Článku L. 257 – 1 vedú register uvedený v Článku L. 257 – 3 Poľnohospodárskeho kódexu;</w:t>
      </w:r>
      <w:r>
        <w:rPr>
          <w:rFonts w:ascii="Times New Roman" w:hAnsi="Times New Roman"/>
          <w:sz w:val="24"/>
        </w:rPr>
        <w:br/>
        <w:t>so zreteľom na oznámenie č. 2021/448/F;</w:t>
      </w:r>
      <w:r>
        <w:rPr>
          <w:rFonts w:ascii="Times New Roman" w:hAnsi="Times New Roman"/>
          <w:sz w:val="24"/>
        </w:rPr>
        <w:br/>
        <w:t>so zreteľom na pripomienky vyjadrené počas verejnej konzultácie realizovanej od 28. júna 2021 do 20. júla 2021, podľa Článku L.123-19-1 Zákonníka o životnom prostredí,</w:t>
      </w:r>
      <w:r>
        <w:rPr>
          <w:rFonts w:ascii="Times New Roman" w:hAnsi="Times New Roman"/>
          <w:sz w:val="24"/>
        </w:rPr>
        <w:br/>
        <w:t>týmto nariaďuje:</w:t>
      </w:r>
    </w:p>
    <w:p w14:paraId="72734333" w14:textId="77777777" w:rsidR="00FF1A38" w:rsidRPr="00FF1A38" w:rsidRDefault="00FF1A38" w:rsidP="00FF1A38">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Článok 1</w:t>
      </w:r>
    </w:p>
    <w:p w14:paraId="4AE602D9" w14:textId="3E6867B4" w:rsidR="00FF1A38" w:rsidRDefault="00FF1A38" w:rsidP="00FF1A38">
      <w:pPr>
        <w:spacing w:before="100" w:beforeAutospacing="1" w:after="100" w:afterAutospacing="1" w:line="240" w:lineRule="auto"/>
        <w:ind w:left="450"/>
        <w:rPr>
          <w:rFonts w:ascii="Times New Roman" w:hAnsi="Times New Roman"/>
          <w:sz w:val="24"/>
        </w:rPr>
      </w:pPr>
      <w:r>
        <w:rPr>
          <w:rFonts w:ascii="Times New Roman" w:hAnsi="Times New Roman"/>
          <w:sz w:val="24"/>
        </w:rPr>
        <w:br/>
        <w:t>Na účely tejto vyhlášky platí nasledujúce vymedzenie pojmov:</w:t>
      </w:r>
      <w:r>
        <w:rPr>
          <w:rFonts w:ascii="Times New Roman" w:hAnsi="Times New Roman"/>
          <w:sz w:val="24"/>
        </w:rPr>
        <w:br/>
        <w:t>„Včely“: Domáce včely, voľne žijúce včely a čmeliaky;</w:t>
      </w:r>
      <w:r>
        <w:rPr>
          <w:rFonts w:ascii="Times New Roman" w:hAnsi="Times New Roman"/>
          <w:sz w:val="24"/>
        </w:rPr>
        <w:br/>
        <w:t>„Západ slnka“: Čas definovaný efemeridou miesta najbližšieho k implantácii miesta ošetrenia;</w:t>
      </w:r>
      <w:r>
        <w:rPr>
          <w:rFonts w:ascii="Times New Roman" w:hAnsi="Times New Roman"/>
          <w:sz w:val="24"/>
        </w:rPr>
        <w:br/>
        <w:t>„Atraktívna kultúra“: Atraktívna plodina je plodina, ktorá je svojou povahou príťažlivá pre včely alebo iný opeľujúci hmyz. Plodiny uvedené v Úradnom vestníku Ministerstva pôdohospodárstva sa nepovažujú za atraktívne v zmysle tejto Vyhlášky;</w:t>
      </w:r>
      <w:r>
        <w:rPr>
          <w:rFonts w:ascii="Times New Roman" w:hAnsi="Times New Roman"/>
          <w:sz w:val="24"/>
        </w:rPr>
        <w:br/>
        <w:t>„Exsudát“: Medovica, sladké sekréty produkované rastlinami a mimokvetový nektár rastlín, ktoré zbierajú včely alebo iný opeľujúci hmyz;</w:t>
      </w:r>
      <w:r>
        <w:rPr>
          <w:rFonts w:ascii="Times New Roman" w:hAnsi="Times New Roman"/>
          <w:sz w:val="24"/>
        </w:rPr>
        <w:br/>
        <w:t>„Kvitnutie“: Vegetačné obdobie siahajúce od otvorenia prvých kvetov až po pád okvetných lístkov posledných kvetov;</w:t>
      </w:r>
      <w:r>
        <w:rPr>
          <w:rFonts w:ascii="Times New Roman" w:hAnsi="Times New Roman"/>
          <w:sz w:val="24"/>
        </w:rPr>
        <w:br/>
        <w:t>„Výrobky“: Prípravky na ochranu rastlín s výnimkou riediacich prípravkov a ich pomocné látky uvedené v Článku L.253–1 Zákonníka poľnohospodárskeho a námorného rybolovu;</w:t>
      </w:r>
      <w:r>
        <w:rPr>
          <w:rFonts w:ascii="Times New Roman" w:hAnsi="Times New Roman"/>
          <w:sz w:val="24"/>
        </w:rPr>
        <w:br/>
        <w:t>„Register“: Register používania prípravkov na ochranu rastlín podľa Vyhlášky zo 16. júna 2009 o podmienkach, za ktorých prevádzkovatelia uvedení v Článku L. 257-1 zákonníka poľnohospodárstva a morského rybolovu vedú register uvedený v Článku 67 Nariadenia (ES) č. 1107/2009 z 21. októbra 2009 o uvádzaní prípravkov na ochranu rastlín na trh;</w:t>
      </w:r>
      <w:r>
        <w:rPr>
          <w:rFonts w:ascii="Times New Roman" w:hAnsi="Times New Roman"/>
          <w:sz w:val="24"/>
        </w:rPr>
        <w:br/>
        <w:t>„Používanie“ znamená: Používanie prípravku na ochranu rastlín alebo pomocnej látky na rastline, rastlinnom produkte alebo skupine rastlín s cieľom regulovať škodcu, skupinu škodcov, chorobu alebo skupinu chorôb v súlade s presne vymedzenou funkciou a podrobnými pravidlami uplatňovania, uvedenými v katalógu uvedenom v Článku D.253–8 Článku D.253–8 Zákonníka poľnohospodárskeho a námorného rybolovu;</w:t>
      </w:r>
      <w:r>
        <w:rPr>
          <w:rFonts w:ascii="Times New Roman" w:hAnsi="Times New Roman"/>
          <w:sz w:val="24"/>
        </w:rPr>
        <w:br/>
        <w:t>„Používanie výrobku“: Akákoľvek aplikácia prípravku na ochranu rastlín alebo pomocnej látky na vegetatívny cyklus v súlade s povoleným použitím bez ohľadu na spôsob aplikácie a časť ošetrenej rastliny, s výnimkou aplikácií vymedzených v Prílohe 1, ktoré vylučujú expozíciu opeľovačov počas obdobia kvitnutia;</w:t>
      </w:r>
      <w:r>
        <w:rPr>
          <w:rFonts w:ascii="Times New Roman" w:hAnsi="Times New Roman"/>
          <w:sz w:val="24"/>
        </w:rPr>
        <w:br/>
        <w:t>„Kŕmna plocha“: S výnimkou pestovaných plodín je plocha na pestovanie krmovín poľnohospodárska alebo nepoľnohospodárska plocha obsadená pestovanou alebo spontánnou skupinou rastlín, ktorá je z dôvodu prítomnosti kvetov alebo exsudátov zjavne zaujímavá pre včely alebo iný opeľujúci hmyz. Pre účely tejto Vyhlášky sa výrobky na plochách určených na pestovanie krmovín používajú na osobitné ošetrovanie týchto plôch bez ohľadu na použitie na pestovaných plodinách.</w:t>
      </w:r>
    </w:p>
    <w:p w14:paraId="465F2BCC" w14:textId="4C200EEB" w:rsidR="007D6EBA" w:rsidRDefault="007D6EBA" w:rsidP="00FF1A38">
      <w:pPr>
        <w:spacing w:before="100" w:beforeAutospacing="1" w:after="100" w:afterAutospacing="1" w:line="240" w:lineRule="auto"/>
        <w:ind w:left="450"/>
        <w:rPr>
          <w:rFonts w:ascii="Times New Roman" w:hAnsi="Times New Roman"/>
          <w:sz w:val="24"/>
        </w:rPr>
      </w:pPr>
    </w:p>
    <w:p w14:paraId="04E93719" w14:textId="77777777" w:rsidR="007D6EBA" w:rsidRPr="00FF1A38" w:rsidRDefault="007D6EBA" w:rsidP="00FF1A38">
      <w:pPr>
        <w:spacing w:before="100" w:beforeAutospacing="1" w:after="100" w:afterAutospacing="1" w:line="240" w:lineRule="auto"/>
        <w:ind w:left="450"/>
        <w:rPr>
          <w:rFonts w:ascii="Times New Roman" w:eastAsia="Times New Roman" w:hAnsi="Times New Roman" w:cs="Times New Roman"/>
          <w:sz w:val="24"/>
          <w:szCs w:val="24"/>
        </w:rPr>
      </w:pPr>
    </w:p>
    <w:p w14:paraId="75081A77" w14:textId="77777777" w:rsidR="00FF1A38" w:rsidRPr="00FF1A38" w:rsidRDefault="00FF1A38" w:rsidP="00FF1A38">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lastRenderedPageBreak/>
        <w:t>Hlava I: RÁMEC PRE POVOĽOVANIE PRÍPRAVKOV NA OCHRANU RASTLÍN POČAS OBDOBIA KVITNUTIA (Článok 2)</w:t>
      </w:r>
    </w:p>
    <w:p w14:paraId="52EC4D0D"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Článok 2</w:t>
      </w:r>
    </w:p>
    <w:p w14:paraId="4E54D572"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Pri vydávaní alebo obnovovaní povolenia uvedeného v Článku L. 253-1 zákonníka poľnohospodárstva a morského rybolovu, agentúra Anses posúdi riziká spojené s používaním výrobku na atraktívnych plodinách počas kvitnutia.</w:t>
      </w:r>
      <w:r>
        <w:rPr>
          <w:rFonts w:ascii="Times New Roman" w:hAnsi="Times New Roman"/>
          <w:sz w:val="24"/>
        </w:rPr>
        <w:br/>
        <w:t>Pre tento účel priloží žiadateľ k svojmu spisu testy a posúdenia rizík, požadované platnými predpismi, a informácie potrebné na to, aby agentúra Anses mohla rozhodnúť o posúdení uvedenom v prvom pododseku.</w:t>
      </w:r>
      <w:r>
        <w:rPr>
          <w:rFonts w:ascii="Times New Roman" w:hAnsi="Times New Roman"/>
          <w:sz w:val="24"/>
        </w:rPr>
        <w:br/>
        <w:t>Ak sa v posúdení rizika, ktoré vykonala agentúra Anses, dospeje k záveru, že výsledkom použitia je zanedbateľná expozícia včiel alebo nespôsobuje neprijateľné, akútne alebo chronické účinky na včely alebo účinky na prežitie a vývin včelstiev, použitie výrobku sa môže povoliť na zodpovedajúcej atraktívnej plodine, keď kvitne, a na kŕmnych plochách. Takéto použitie podlieha súladu s opatreniami stanovenými v Článku 3.</w:t>
      </w:r>
      <w:r>
        <w:rPr>
          <w:rFonts w:ascii="Times New Roman" w:hAnsi="Times New Roman"/>
          <w:sz w:val="24"/>
        </w:rPr>
        <w:br/>
        <w:t>V opačnom prípade je používanie výrobku zakázané na príslušnej atraktívnej plodine, keď kvitne a na kŕmnych plochách.</w:t>
      </w:r>
    </w:p>
    <w:p w14:paraId="278D5B92" w14:textId="77777777" w:rsidR="00FF1A38" w:rsidRPr="00FF1A38" w:rsidRDefault="00FF1A38" w:rsidP="00FF1A38">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Hlava II: DOHĽAD NAD POUŽÍVANÍM PRÍPRAVKOV NA OCHRANU RASTLÍN POČAS OBDOBIA KVITNUTIA (Články 3 až 7)</w:t>
      </w:r>
    </w:p>
    <w:p w14:paraId="74FEABC1"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Článok 3</w:t>
      </w:r>
    </w:p>
    <w:p w14:paraId="69100266"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Výrobok povolený podľa Článku 2 sa používa na atraktívne plodiny počas kvitnutia alebo na kŕmne plochy do 2 hodín pred západom slnka a do 3 hodín po západe slnka.</w:t>
      </w:r>
      <w:r>
        <w:rPr>
          <w:rFonts w:ascii="Times New Roman" w:hAnsi="Times New Roman"/>
          <w:sz w:val="24"/>
        </w:rPr>
        <w:br/>
        <w:t>Toto obdobie sa môže upraviť alebo zrušiť v súlade s postupmi, ktoré poskytujú rovnocenné záruky pre vystavenie včiel a iných opeľovačov. Tieto postupy budú stanovené v prílohe po stanovisku agentúry Anses, najmä s ohľadom na povolenie ošetrení v ranných hodinách alebo pod teplotným prahom.</w:t>
      </w:r>
      <w:r>
        <w:rPr>
          <w:rFonts w:ascii="Times New Roman" w:hAnsi="Times New Roman"/>
          <w:sz w:val="24"/>
        </w:rPr>
        <w:br/>
        <w:t>Odlišne od prvého odseku sa vykonáva experimentovanie s používaním prípravkov na ochranu rastlín po uvedenom časovom intervale s cieľom identifikovať nástroje na podporu rozhodovania alebo iné technológie, ktorých použitie by poskytlo rovnocenné záruky, pokiaľ ide o expozíciu včiel a iných opeľovačov . Tento experiment s maximálnym trvaním troch rokov, ktorý je predmetom posúdenia agentúrou Anses, sa vykonáva za podmienok a modalít vymedzených spoločným dekrétom ministrov zodpovedných za životné prostredie a poľnohospodárstvo.</w:t>
      </w:r>
    </w:p>
    <w:p w14:paraId="2638E37D"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Článok 4</w:t>
      </w:r>
    </w:p>
    <w:p w14:paraId="6F7C037B" w14:textId="01F378E0" w:rsidR="00FF1A38" w:rsidRDefault="00FF1A38" w:rsidP="00FF1A38">
      <w:pPr>
        <w:spacing w:before="100" w:beforeAutospacing="1" w:after="100" w:afterAutospacing="1" w:line="240" w:lineRule="auto"/>
        <w:ind w:left="750"/>
        <w:rPr>
          <w:rFonts w:ascii="Times New Roman" w:hAnsi="Times New Roman"/>
          <w:sz w:val="24"/>
        </w:rPr>
      </w:pPr>
      <w:r>
        <w:rPr>
          <w:rFonts w:ascii="Times New Roman" w:hAnsi="Times New Roman"/>
          <w:sz w:val="24"/>
        </w:rPr>
        <w:br/>
        <w:t>Ak rastlinná pokrývka, ktorá sa vyskytuje v rámci viacročných plodín, predstavuje kŕmnu plochu, musí byť pre opeľovače neatraktívna pred akýmkoľvek ošetrením insekticídmi alebo akaricídmi.</w:t>
      </w:r>
    </w:p>
    <w:p w14:paraId="7470E517" w14:textId="77777777" w:rsidR="007D6EBA" w:rsidRPr="00FF1A38" w:rsidRDefault="007D6EBA" w:rsidP="00FF1A38">
      <w:pPr>
        <w:spacing w:before="100" w:beforeAutospacing="1" w:after="100" w:afterAutospacing="1" w:line="240" w:lineRule="auto"/>
        <w:ind w:left="750"/>
        <w:rPr>
          <w:rFonts w:ascii="Times New Roman" w:eastAsia="Times New Roman" w:hAnsi="Times New Roman" w:cs="Times New Roman"/>
          <w:sz w:val="24"/>
          <w:szCs w:val="24"/>
        </w:rPr>
      </w:pPr>
    </w:p>
    <w:p w14:paraId="039E740F"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lastRenderedPageBreak/>
        <w:t>Článok 5</w:t>
      </w:r>
    </w:p>
    <w:p w14:paraId="70D705FD"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Obdobie aplikovania, stanovené v Článku 3, sa môže zmeniť a doplniť v týchto prípadoch:</w:t>
      </w:r>
    </w:p>
    <w:p w14:paraId="040DB100" w14:textId="00667D18"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7D6EBA">
        <w:rPr>
          <w:rFonts w:ascii="Times New Roman" w:hAnsi="Times New Roman"/>
          <w:sz w:val="24"/>
        </w:rPr>
        <w:t>-</w:t>
      </w:r>
      <w:r>
        <w:rPr>
          <w:rFonts w:ascii="Times New Roman" w:hAnsi="Times New Roman"/>
          <w:sz w:val="24"/>
        </w:rPr>
        <w:t xml:space="preserve"> ak z dôvodu výlučnej dennej aktivity bioagresorov ošetrenie vykonané počas obdobia vymedzeného v Článku 3 nezabezpečuje účinnú ochranu ošetrenej kultúry;</w:t>
      </w:r>
      <w:r>
        <w:rPr>
          <w:rFonts w:ascii="Times New Roman" w:hAnsi="Times New Roman"/>
          <w:sz w:val="24"/>
        </w:rPr>
        <w:br/>
        <w:t>- ak je vzhľadom na vývoj ochorenia účinnosť fungicídnej liečby podmienená jej ukončením v rámci obmedzeného obdobia nezlučiteľného s lehotou stanovenou v Článku 3.</w:t>
      </w:r>
    </w:p>
    <w:p w14:paraId="1C4C0AAB"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V oboch prípadoch sa aplikácia môže vykonať bez časových obmedzení.</w:t>
      </w:r>
      <w:r>
        <w:rPr>
          <w:rFonts w:ascii="Times New Roman" w:hAnsi="Times New Roman"/>
          <w:sz w:val="24"/>
        </w:rPr>
        <w:br/>
        <w:t>Po dobu ôsmich mesiacov odo dňa uverejnenia tohto dekrétu sa žiadosť môže dočasne vykonávať aj bez obmedzenia hodinového obmedzenia za predpokladu, že teplota je dostatočne nízka na to, aby sa zabránilo prítomnosti včiel.</w:t>
      </w:r>
      <w:r>
        <w:rPr>
          <w:rFonts w:ascii="Times New Roman" w:hAnsi="Times New Roman"/>
          <w:sz w:val="24"/>
        </w:rPr>
        <w:br/>
        <w:t>Čas začiatku a konca spracúvania a dôvod zmeny lehoty stanovenej v Článku 3 sa zaznamenajú do registra.</w:t>
      </w:r>
    </w:p>
    <w:p w14:paraId="2C420868"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Článok 6</w:t>
      </w:r>
    </w:p>
    <w:p w14:paraId="7C493FCA"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Výnimky zo zákazu stanoveného v štvrtom odseku Článku 2 a z riadiacich opatrení stanovených v Článku 3 nariadenia vydaného podľa odseku II Článku L. 201-4 zákonníka poľnohospodárstva a morského rybolovu pre subjekty regulované podľa Článku L. 251–3 toho istého Zákonníka môžu byť prijaté.</w:t>
      </w:r>
    </w:p>
    <w:p w14:paraId="21212990"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Článok 7</w:t>
      </w:r>
    </w:p>
    <w:p w14:paraId="1044327C" w14:textId="1A91FDFF"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I. - Na označení výrobkov, pre ktoré nie je povolené žiadne použitie na kvitnúcej plodine v súlade s Článkom 2, sa uvedie veta „Nebezpečné pre včely“. Pre ochranu včiel a iného opeľujúceho hmyzu neaplikujte počas kvitnutia a nepoužívajte na kŕmnych plochách.</w:t>
      </w:r>
      <w:r>
        <w:rPr>
          <w:rFonts w:ascii="Times New Roman" w:hAnsi="Times New Roman"/>
          <w:sz w:val="24"/>
        </w:rPr>
        <w:br/>
        <w:t>II</w:t>
      </w:r>
      <w:r w:rsidR="007D6EBA">
        <w:rPr>
          <w:rFonts w:ascii="Times New Roman" w:hAnsi="Times New Roman"/>
          <w:sz w:val="24"/>
        </w:rPr>
        <w:t>. -</w:t>
      </w:r>
      <w:r>
        <w:rPr>
          <w:rFonts w:ascii="Times New Roman" w:hAnsi="Times New Roman"/>
          <w:sz w:val="24"/>
        </w:rPr>
        <w:t xml:space="preserve"> Na označení výrobkov, pre ktoré je povolené aspoň jedno použitie na kvitnúcej plodine v súlade s Článkom 2, sa uvedie veta "Môže byť nebezpečné pre včely“. Možná aplikácia počas kvitnutia a na kŕmne plochy do 2 hodín pred západom slnka alebo 3 hodiny po západe slnka, len na nasledujúce použitie (použitia): [...] Hodinové opatrenia sa môžu upraviť v súlade s vyhláškou z 20. novembra 2021 o ochrane včiel a iného opeľujúceho hmyzu a o zachovaní opeľovacích služieb pri používaní prípravkov na ochranu rastlín.“</w:t>
      </w:r>
    </w:p>
    <w:p w14:paraId="2351893A" w14:textId="77777777" w:rsidR="00FF1A38" w:rsidRPr="00FF1A38" w:rsidRDefault="00FF1A38" w:rsidP="006E419C">
      <w:pPr>
        <w:pageBreakBefore/>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lastRenderedPageBreak/>
        <w:t>Hlava III: PRECHODNÉ USTANOVENIA (Články 8 až 11)</w:t>
      </w:r>
    </w:p>
    <w:p w14:paraId="0A0A492B"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Článok 8</w:t>
      </w:r>
    </w:p>
    <w:p w14:paraId="47A5BAF5" w14:textId="74EDF799"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 xml:space="preserve">I. </w:t>
      </w:r>
      <w:r w:rsidR="007D6EBA">
        <w:rPr>
          <w:rFonts w:ascii="Times New Roman" w:hAnsi="Times New Roman"/>
          <w:sz w:val="24"/>
        </w:rPr>
        <w:t xml:space="preserve">- </w:t>
      </w:r>
      <w:r>
        <w:rPr>
          <w:rFonts w:ascii="Times New Roman" w:hAnsi="Times New Roman"/>
          <w:sz w:val="24"/>
        </w:rPr>
        <w:t>Ako prechodné opatrenie, insekticídy a akaricídne výrobky, ktorých povolenie na uvedenie na trh obsahuje v deň nadobudnutia účinnosti tejto vyhlášky jednu z týchto náležitostí:</w:t>
      </w:r>
    </w:p>
    <w:p w14:paraId="3C0215A8" w14:textId="6BE507ED"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w:t>
      </w:r>
      <w:r w:rsidR="007D6EBA">
        <w:rPr>
          <w:rFonts w:ascii="Times New Roman" w:hAnsi="Times New Roman"/>
          <w:sz w:val="24"/>
        </w:rPr>
        <w:t xml:space="preserve">- </w:t>
      </w:r>
      <w:r>
        <w:rPr>
          <w:rFonts w:ascii="Times New Roman" w:hAnsi="Times New Roman"/>
          <w:sz w:val="24"/>
        </w:rPr>
        <w:t>povolené použitie počas kvitnutia s výnimkou prítomnosti včiel“;</w:t>
      </w:r>
      <w:r>
        <w:rPr>
          <w:rFonts w:ascii="Times New Roman" w:hAnsi="Times New Roman"/>
          <w:sz w:val="24"/>
        </w:rPr>
        <w:br/>
        <w:t>„</w:t>
      </w:r>
      <w:r w:rsidR="007D6EBA">
        <w:rPr>
          <w:rFonts w:ascii="Times New Roman" w:hAnsi="Times New Roman"/>
          <w:sz w:val="24"/>
        </w:rPr>
        <w:t xml:space="preserve">- </w:t>
      </w:r>
      <w:r>
        <w:rPr>
          <w:rFonts w:ascii="Times New Roman" w:hAnsi="Times New Roman"/>
          <w:sz w:val="24"/>
        </w:rPr>
        <w:t>povolené použitie počas obdobia produkcie exsudátu okrem prítomnosti včiel“;</w:t>
      </w:r>
      <w:r>
        <w:rPr>
          <w:rFonts w:ascii="Times New Roman" w:hAnsi="Times New Roman"/>
          <w:sz w:val="24"/>
        </w:rPr>
        <w:br/>
        <w:t>„</w:t>
      </w:r>
      <w:r w:rsidR="007D6EBA">
        <w:rPr>
          <w:rFonts w:ascii="Times New Roman" w:hAnsi="Times New Roman"/>
          <w:sz w:val="24"/>
        </w:rPr>
        <w:t xml:space="preserve">- </w:t>
      </w:r>
      <w:r>
        <w:rPr>
          <w:rFonts w:ascii="Times New Roman" w:hAnsi="Times New Roman"/>
          <w:sz w:val="24"/>
        </w:rPr>
        <w:t>povolené použitie počas kvitnutia a počas obdobia produkcie exsudátu okrem prítomnosti včiel“;</w:t>
      </w:r>
    </w:p>
    <w:p w14:paraId="3705A0E7" w14:textId="595D5BB5" w:rsidR="00FF1A38" w:rsidRDefault="00FF1A38" w:rsidP="00FF1A38">
      <w:pPr>
        <w:spacing w:before="100" w:beforeAutospacing="1" w:after="100" w:afterAutospacing="1" w:line="240" w:lineRule="auto"/>
        <w:ind w:left="750"/>
        <w:rPr>
          <w:rFonts w:ascii="Times New Roman" w:hAnsi="Times New Roman"/>
          <w:sz w:val="24"/>
        </w:rPr>
      </w:pPr>
      <w:r>
        <w:rPr>
          <w:rFonts w:ascii="Times New Roman" w:hAnsi="Times New Roman"/>
          <w:sz w:val="24"/>
        </w:rPr>
        <w:br/>
        <w:t>môže sa používať na príslušné použitia na atraktívnych plodinách počas kvitnutia alebo na kŕmnych plochách za podmienok stanovených v Článkoch 3 a 5 až do obnovenia povolenia na uvedenie na trh.</w:t>
      </w:r>
      <w:r>
        <w:rPr>
          <w:rFonts w:ascii="Times New Roman" w:hAnsi="Times New Roman"/>
          <w:sz w:val="24"/>
        </w:rPr>
        <w:br/>
        <w:t>II. - Ako prechodné opatrenie, ak k naplneniu obnovenia povolenia na uvedenie na trh iného výrobku, než insekticídov a akaricídov, dôjde v období kratšom ako 30 mesiacov od nadobudnutia účinnosti tejto Vyhlášky, tento výrobok sa môže používať na atraktívnych plodinách počas kvitnutia a na krmoviskách za podmienok stanovených v článkoch 3 až 5, kým Anses nerozhodne o posúdení rizika podľa článku 2, za predpokladu, že ďalšie náležitosti boli predložené do 30 mesiacov od nadobudnutia účinnosti tejto Vyhlášky.</w:t>
      </w:r>
      <w:r>
        <w:rPr>
          <w:rFonts w:ascii="Times New Roman" w:hAnsi="Times New Roman"/>
          <w:sz w:val="24"/>
        </w:rPr>
        <w:br/>
        <w:t xml:space="preserve">III. </w:t>
      </w:r>
      <w:r w:rsidR="007D6EBA">
        <w:rPr>
          <w:rFonts w:ascii="Times New Roman" w:hAnsi="Times New Roman"/>
          <w:sz w:val="24"/>
        </w:rPr>
        <w:t xml:space="preserve">- </w:t>
      </w:r>
      <w:r>
        <w:rPr>
          <w:rFonts w:ascii="Times New Roman" w:hAnsi="Times New Roman"/>
          <w:sz w:val="24"/>
        </w:rPr>
        <w:t>Ako prechodné opatrenie, ak k naplneniu obnovenia povolenia na uvedenie na trh pre výrobok iný ako insekticídy a akaricídy dôjde v období dlhšom ako 30 mesiacov od nadobudnutia účinnosti tejto Vyhlášky, tento výrobok sa môže používať na atraktívnych plodinách počas kvitnutia a na krmoviskách za podmienok stanovených v článkoch 3 až 5, kým Anses nerozhodne o posúdení rizika podľa článku 2, za predpokladu, že dodatočné prvky boli predložené do 48 mesiacov od nadobudnutia účinnosti tejto Vyhlášky.</w:t>
      </w:r>
      <w:r>
        <w:rPr>
          <w:rFonts w:ascii="Times New Roman" w:hAnsi="Times New Roman"/>
          <w:sz w:val="24"/>
        </w:rPr>
        <w:br/>
        <w:t xml:space="preserve">IV. </w:t>
      </w:r>
      <w:r w:rsidR="007D6EBA">
        <w:rPr>
          <w:rFonts w:ascii="Times New Roman" w:hAnsi="Times New Roman"/>
          <w:sz w:val="24"/>
        </w:rPr>
        <w:t xml:space="preserve">- </w:t>
      </w:r>
      <w:r>
        <w:rPr>
          <w:rFonts w:ascii="Times New Roman" w:hAnsi="Times New Roman"/>
          <w:sz w:val="24"/>
        </w:rPr>
        <w:t>Ak sa nepredložia dodatočné informácie v lehotách stanovených v odsekoch II a III tohto Článku, zakazuje sa používanie na atraktívnych plodinách počas kvitnutia a kŕmnych plochách a etikety príslušných výrobkov sa aktualizujú v súlade s odsekom I Článku 7.</w:t>
      </w:r>
      <w:r>
        <w:rPr>
          <w:rFonts w:ascii="Times New Roman" w:hAnsi="Times New Roman"/>
          <w:sz w:val="24"/>
        </w:rPr>
        <w:br/>
        <w:t xml:space="preserve">V. </w:t>
      </w:r>
      <w:r w:rsidR="007D6EBA">
        <w:rPr>
          <w:rFonts w:ascii="Times New Roman" w:hAnsi="Times New Roman"/>
          <w:sz w:val="24"/>
        </w:rPr>
        <w:t xml:space="preserve">- </w:t>
      </w:r>
      <w:r>
        <w:rPr>
          <w:rFonts w:ascii="Times New Roman" w:hAnsi="Times New Roman"/>
          <w:sz w:val="24"/>
        </w:rPr>
        <w:t>Žiadatelia oznámia Anses 18 mesiacov pred podaním dodatočných prvkov uvedených v odsekoch II a III tohto Článku svoj zámer predložiť tieto dodatočné prvky, pričom uvedú príslušné použitia.</w:t>
      </w:r>
      <w:r>
        <w:rPr>
          <w:rFonts w:ascii="Times New Roman" w:hAnsi="Times New Roman"/>
          <w:sz w:val="24"/>
        </w:rPr>
        <w:br/>
        <w:t xml:space="preserve">VI. </w:t>
      </w:r>
      <w:r w:rsidR="007D6EBA">
        <w:rPr>
          <w:rFonts w:ascii="Times New Roman" w:hAnsi="Times New Roman"/>
          <w:sz w:val="24"/>
        </w:rPr>
        <w:t xml:space="preserve">- </w:t>
      </w:r>
      <w:r>
        <w:rPr>
          <w:rFonts w:ascii="Times New Roman" w:hAnsi="Times New Roman"/>
          <w:sz w:val="24"/>
        </w:rPr>
        <w:t>Ustanovenia odsekov III až V sa nevzťahujú na plodiny, ktoré nie sú považované za plodiny veľkého významu v jednej zo severných alebo južných zón Francúzska na základe katalógu použití, uvedeného v Článku D. 253–8 Zákonníka poľnohospodárskeho a námorného rybolovu. V prípade týchto plodín sa v čase obnovenia povolenia na uvedenie na trh vyžadujú testy a posúdenia rizík pre opeľovače, požadované platnými predpismi, a príslušné výrobky je možné používať na atraktívnych plodinách počas kvitnutia alebo na kŕmnych plochách za podmienok stanovených v Článkoch 3 až 5, kým Anses nerozhodne o posúdení rizika uvedenom v Článku 2.</w:t>
      </w:r>
      <w:r>
        <w:rPr>
          <w:rFonts w:ascii="Times New Roman" w:hAnsi="Times New Roman"/>
          <w:sz w:val="24"/>
        </w:rPr>
        <w:br/>
      </w:r>
      <w:r>
        <w:rPr>
          <w:rFonts w:ascii="Times New Roman" w:hAnsi="Times New Roman"/>
          <w:sz w:val="24"/>
        </w:rPr>
        <w:lastRenderedPageBreak/>
        <w:t xml:space="preserve">VII. </w:t>
      </w:r>
      <w:r w:rsidR="007D6EBA">
        <w:rPr>
          <w:rFonts w:ascii="Times New Roman" w:hAnsi="Times New Roman"/>
          <w:sz w:val="24"/>
        </w:rPr>
        <w:t xml:space="preserve">- </w:t>
      </w:r>
      <w:r>
        <w:rPr>
          <w:rFonts w:ascii="Times New Roman" w:hAnsi="Times New Roman"/>
          <w:sz w:val="24"/>
        </w:rPr>
        <w:t>ANSES pravidelne uverejňuje a aktualizuje zoznam použití povolených výrobkov za podmienok stanovených v Článku 2.</w:t>
      </w:r>
    </w:p>
    <w:p w14:paraId="6DFA93B5"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Článok 9</w:t>
      </w:r>
    </w:p>
    <w:p w14:paraId="41018622"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Vyhláška z 28. novembra 2003 o podmienkach používania poľnohospodárskych insekticídov a akaricídov na ochranu včiel a iného opeľujúceho hmyzu sa ruší.</w:t>
      </w:r>
    </w:p>
    <w:p w14:paraId="72839818"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Článok 10</w:t>
      </w:r>
    </w:p>
    <w:p w14:paraId="3D6ED771" w14:textId="405850D3"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Toto nariadenie nadobúda účinnosť 1. januára 2022.</w:t>
      </w:r>
    </w:p>
    <w:p w14:paraId="604BD44E"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Článok 11</w:t>
      </w:r>
    </w:p>
    <w:p w14:paraId="581C8E66"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Generálny riaditeľ pre potraviny, generálny riaditeľ pre prevenciu rizík, generálny riaditeľ pre hospodársku súťaž, spotrebiteľské záležitosti a kontrolu podvodov a generálny riaditeľ pre zdravie sú v rozsahu svojej pôsobnosti zodpovední za vykonávanie tohto Dekrétu, ktorý bude uverejnený v Úradnom vestníku Francúzskej republiky.</w:t>
      </w:r>
    </w:p>
    <w:p w14:paraId="5A8FC5A1" w14:textId="77777777" w:rsidR="00FF1A38" w:rsidRPr="00FF1A38" w:rsidRDefault="00FF1A38" w:rsidP="00FF1A38">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Príloha</w:t>
      </w:r>
    </w:p>
    <w:p w14:paraId="589DA4E0"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Článok</w:t>
      </w:r>
    </w:p>
    <w:p w14:paraId="32CB1B17" w14:textId="5FB8A797" w:rsidR="00FF1A38" w:rsidRPr="00462526" w:rsidRDefault="00FF1A38" w:rsidP="00FF1A38">
      <w:pPr>
        <w:spacing w:before="100" w:beforeAutospacing="1" w:after="100" w:afterAutospacing="1" w:line="240" w:lineRule="auto"/>
        <w:ind w:left="750"/>
        <w:rPr>
          <w:rFonts w:ascii="Times New Roman" w:eastAsia="Times New Roman" w:hAnsi="Times New Roman" w:cs="Times New Roman"/>
          <w:caps/>
          <w:sz w:val="24"/>
          <w:szCs w:val="24"/>
        </w:rPr>
      </w:pPr>
      <w:r>
        <w:rPr>
          <w:rFonts w:ascii="Times New Roman" w:hAnsi="Times New Roman"/>
          <w:sz w:val="24"/>
        </w:rPr>
        <w:br/>
      </w:r>
      <w:r>
        <w:rPr>
          <w:rFonts w:ascii="Times New Roman" w:hAnsi="Times New Roman"/>
          <w:caps/>
          <w:sz w:val="24"/>
        </w:rPr>
        <w:t>Príloha 1</w:t>
      </w:r>
      <w:r w:rsidR="006E419C">
        <w:rPr>
          <w:rFonts w:ascii="Times New Roman" w:hAnsi="Times New Roman"/>
          <w:caps/>
          <w:sz w:val="24"/>
        </w:rPr>
        <w:br/>
      </w:r>
      <w:r>
        <w:rPr>
          <w:rFonts w:ascii="Times New Roman" w:hAnsi="Times New Roman"/>
          <w:caps/>
          <w:sz w:val="24"/>
        </w:rPr>
        <w:t>Zoznam aplikácií, ktoré vylučujú expozíciu opeľovačov počas obdobia kvitnutia</w:t>
      </w:r>
    </w:p>
    <w:p w14:paraId="34DB028B"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Aplikácie vykonávané na skleníkoch a chránených plodinách, pretože sú počas kvitnutia neprístupné pre opeľovače.</w:t>
      </w:r>
    </w:p>
    <w:p w14:paraId="50FD6962" w14:textId="77777777" w:rsidR="00FF1A38" w:rsidRPr="00FF1A38" w:rsidRDefault="00FF1A38" w:rsidP="00FF1A3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Dňa 20. novembra 2021.</w:t>
      </w:r>
    </w:p>
    <w:p w14:paraId="24C0BB1B" w14:textId="77777777" w:rsidR="00FF1A38" w:rsidRPr="00FF1A38" w:rsidRDefault="00FF1A38" w:rsidP="00FF1A3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Minister poľnohospodárstva a potravinárstva,</w:t>
      </w:r>
      <w:r>
        <w:rPr>
          <w:rFonts w:ascii="Times New Roman" w:hAnsi="Times New Roman"/>
          <w:sz w:val="24"/>
        </w:rPr>
        <w:br/>
        <w:t>za ministra a prostredníctvom delegácie:</w:t>
      </w:r>
      <w:r>
        <w:rPr>
          <w:rFonts w:ascii="Times New Roman" w:hAnsi="Times New Roman"/>
          <w:sz w:val="24"/>
        </w:rPr>
        <w:br/>
        <w:t>Generálny riaditeľ pre potraviny,</w:t>
      </w:r>
      <w:r>
        <w:rPr>
          <w:rFonts w:ascii="Times New Roman" w:hAnsi="Times New Roman"/>
          <w:sz w:val="24"/>
        </w:rPr>
        <w:br/>
        <w:t>B. Ferreira</w:t>
      </w:r>
    </w:p>
    <w:p w14:paraId="10D6C0DF" w14:textId="0E3A8827" w:rsidR="00FF1A38" w:rsidRDefault="00FF1A38" w:rsidP="00FF1A38">
      <w:pPr>
        <w:spacing w:before="100" w:beforeAutospacing="1" w:after="100" w:afterAutospacing="1" w:line="240" w:lineRule="auto"/>
        <w:rPr>
          <w:rFonts w:ascii="Times New Roman" w:hAnsi="Times New Roman"/>
          <w:sz w:val="24"/>
        </w:rPr>
      </w:pPr>
      <w:r>
        <w:rPr>
          <w:rFonts w:ascii="Times New Roman" w:hAnsi="Times New Roman"/>
          <w:sz w:val="24"/>
        </w:rPr>
        <w:br/>
        <w:t>Minister pre ekologickú transformáciu,</w:t>
      </w:r>
      <w:r>
        <w:rPr>
          <w:rFonts w:ascii="Times New Roman" w:hAnsi="Times New Roman"/>
          <w:sz w:val="24"/>
        </w:rPr>
        <w:br/>
        <w:t>za ministra a prostredníctvom delegácie:</w:t>
      </w:r>
      <w:r>
        <w:rPr>
          <w:rFonts w:ascii="Times New Roman" w:hAnsi="Times New Roman"/>
          <w:sz w:val="24"/>
        </w:rPr>
        <w:br/>
        <w:t>Generálny riaditeľ pre prevenciu rizík,</w:t>
      </w:r>
      <w:r>
        <w:rPr>
          <w:rFonts w:ascii="Times New Roman" w:hAnsi="Times New Roman"/>
          <w:sz w:val="24"/>
        </w:rPr>
        <w:br/>
        <w:t>C. Bourillet</w:t>
      </w:r>
    </w:p>
    <w:p w14:paraId="7685F3A4" w14:textId="77777777" w:rsidR="007D6EBA" w:rsidRPr="00FF1A38" w:rsidRDefault="007D6EBA" w:rsidP="00FF1A38">
      <w:pPr>
        <w:spacing w:before="100" w:beforeAutospacing="1" w:after="100" w:afterAutospacing="1" w:line="240" w:lineRule="auto"/>
        <w:rPr>
          <w:rFonts w:ascii="Times New Roman" w:eastAsia="Times New Roman" w:hAnsi="Times New Roman" w:cs="Times New Roman"/>
          <w:sz w:val="24"/>
          <w:szCs w:val="24"/>
        </w:rPr>
      </w:pPr>
    </w:p>
    <w:p w14:paraId="19B1D81F" w14:textId="77777777" w:rsidR="00FF1A38" w:rsidRPr="00FF1A38" w:rsidRDefault="00FF1A38" w:rsidP="00FF1A3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Minister hospodárstva, financií a obnovy,</w:t>
      </w:r>
      <w:r>
        <w:rPr>
          <w:rFonts w:ascii="Times New Roman" w:hAnsi="Times New Roman"/>
          <w:sz w:val="24"/>
        </w:rPr>
        <w:br/>
        <w:t>za a v mene ministra:</w:t>
      </w:r>
      <w:r>
        <w:rPr>
          <w:rFonts w:ascii="Times New Roman" w:hAnsi="Times New Roman"/>
          <w:sz w:val="24"/>
        </w:rPr>
        <w:br/>
        <w:t>Generálny riaditeľ pre hospodársku súťaž, spotrebiteľské záležitosti a kontrolu podvodov,</w:t>
      </w:r>
      <w:r>
        <w:rPr>
          <w:rFonts w:ascii="Times New Roman" w:hAnsi="Times New Roman"/>
          <w:sz w:val="24"/>
        </w:rPr>
        <w:br/>
        <w:t>V. Beaumeunier</w:t>
      </w:r>
    </w:p>
    <w:p w14:paraId="56BCDE13" w14:textId="77777777" w:rsidR="00FF1A38" w:rsidRPr="00FF1A38" w:rsidRDefault="00FF1A38" w:rsidP="00FF1A3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Minister pre solidaritu a zdravotníctvo,</w:t>
      </w:r>
      <w:r>
        <w:rPr>
          <w:rFonts w:ascii="Times New Roman" w:hAnsi="Times New Roman"/>
          <w:sz w:val="24"/>
        </w:rPr>
        <w:br/>
        <w:t>za a v mene ministra:</w:t>
      </w:r>
      <w:r>
        <w:rPr>
          <w:rFonts w:ascii="Times New Roman" w:hAnsi="Times New Roman"/>
          <w:sz w:val="24"/>
        </w:rPr>
        <w:br/>
        <w:t>Generálny riaditeľ pre zdravie,</w:t>
      </w:r>
      <w:r>
        <w:rPr>
          <w:rFonts w:ascii="Times New Roman" w:hAnsi="Times New Roman"/>
          <w:sz w:val="24"/>
        </w:rPr>
        <w:br/>
        <w:t>J. Salomon</w:t>
      </w:r>
    </w:p>
    <w:p w14:paraId="26A05D50" w14:textId="77777777" w:rsidR="00C74177" w:rsidRDefault="00C74177"/>
    <w:sectPr w:rsidR="00C741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3A2779"/>
    <w:multiLevelType w:val="multilevel"/>
    <w:tmpl w:val="FFACF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A38"/>
    <w:rsid w:val="00462526"/>
    <w:rsid w:val="006E419C"/>
    <w:rsid w:val="007A2F67"/>
    <w:rsid w:val="007D6EBA"/>
    <w:rsid w:val="00906B70"/>
    <w:rsid w:val="00C74177"/>
    <w:rsid w:val="00FF1A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7BB62"/>
  <w15:chartTrackingRefBased/>
  <w15:docId w15:val="{A5F8F7E5-8A34-4C24-8DDC-26EB8C4D0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580119">
      <w:bodyDiv w:val="1"/>
      <w:marLeft w:val="0"/>
      <w:marRight w:val="0"/>
      <w:marTop w:val="0"/>
      <w:marBottom w:val="0"/>
      <w:divBdr>
        <w:top w:val="none" w:sz="0" w:space="0" w:color="auto"/>
        <w:left w:val="none" w:sz="0" w:space="0" w:color="auto"/>
        <w:bottom w:val="none" w:sz="0" w:space="0" w:color="auto"/>
        <w:right w:val="none" w:sz="0" w:space="0" w:color="auto"/>
      </w:divBdr>
      <w:divsChild>
        <w:div w:id="318073816">
          <w:marLeft w:val="0"/>
          <w:marRight w:val="0"/>
          <w:marTop w:val="0"/>
          <w:marBottom w:val="0"/>
          <w:divBdr>
            <w:top w:val="none" w:sz="0" w:space="0" w:color="auto"/>
            <w:left w:val="none" w:sz="0" w:space="0" w:color="auto"/>
            <w:bottom w:val="none" w:sz="0" w:space="0" w:color="auto"/>
            <w:right w:val="none" w:sz="0" w:space="0" w:color="auto"/>
          </w:divBdr>
          <w:divsChild>
            <w:div w:id="181541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2090</Words>
  <Characters>11916</Characters>
  <Application>Microsoft Office Word</Application>
  <DocSecurity>0</DocSecurity>
  <Lines>99</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Secrétariat Général</Company>
  <LinksUpToDate>false</LinksUpToDate>
  <CharactersWithSpaces>13979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Liana Brili</cp:lastModifiedBy>
  <cp:revision>4</cp:revision>
  <dcterms:created xsi:type="dcterms:W3CDTF">2022-03-04T13:10:00Z</dcterms:created>
  <dcterms:modified xsi:type="dcterms:W3CDTF">2022-03-06T16:21:00Z</dcterms:modified>
</cp:coreProperties>
</file>