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Ustawa zmieniająca ustawę o poprawie egzekwowania prawa w sieciach społecznościowych</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Sporządzono dnia 03 czerwca 2021 r.</w:t>
      </w:r>
    </w:p>
    <w:p w14:paraId="3F51C4C2" w14:textId="77777777" w:rsidR="00E83886" w:rsidRDefault="00E83886">
      <w:pPr>
        <w:pStyle w:val="EingangsformelStandardnderungsdokument"/>
      </w:pPr>
      <w:r>
        <w:t>Bundestag przyjął następującą ustawę:</w:t>
      </w:r>
    </w:p>
    <w:p w14:paraId="3EF60F3B" w14:textId="51840A09" w:rsidR="00E83886" w:rsidRDefault="00B61AA0" w:rsidP="00B61AA0">
      <w:pPr>
        <w:pStyle w:val="ArtikelBezeichner"/>
        <w:numPr>
          <w:ilvl w:val="0"/>
          <w:numId w:val="0"/>
        </w:numPr>
      </w:pPr>
      <w:r>
        <w:t>Artykuł 1</w:t>
      </w:r>
    </w:p>
    <w:p w14:paraId="00B33297" w14:textId="77777777" w:rsidR="00E83886" w:rsidRDefault="00BC2E28">
      <w:pPr>
        <w:pStyle w:val="Artikelberschrift"/>
      </w:pPr>
      <w:r>
        <w:t>Z</w:t>
      </w:r>
      <w:bookmarkStart w:id="1" w:name="eNV_02766DCDDD0C451696CD2CA9BA8F5F05_1"/>
      <w:bookmarkEnd w:id="1"/>
      <w:r>
        <w:t>miana ustawy o poprawie egzekwowania prawa w sieciach społecznościowych</w:t>
      </w:r>
    </w:p>
    <w:p w14:paraId="75A86A66" w14:textId="77777777" w:rsidR="00E83886" w:rsidRPr="00B43644" w:rsidRDefault="00BC2E28">
      <w:pPr>
        <w:pStyle w:val="JuristischerAbsatznichtnummeriert"/>
      </w:pPr>
      <w:r>
        <w:t>W ustawie z dnia 1 września 2017 r. o poprawie egzekwowania prawa w sieciach społecznościowych (Federalny Dz.U. I, s. 3352), ostatnio zmienionej art. 7 ustawy z 30 marca 2021 r. (Federalny Dz.U. I, s. 441), zmienionej następnie art. 15 ustawy z 30 marca 2021 r. (Federalny Dz.U. I, s. 448) wprowadza się następujące zmiany:</w:t>
      </w:r>
    </w:p>
    <w:p w14:paraId="5906B6F4" w14:textId="77777777" w:rsidR="009C3C3B" w:rsidRDefault="009C3C3B" w:rsidP="00FD2509">
      <w:pPr>
        <w:pStyle w:val="NummerierungStufe1"/>
      </w:pPr>
      <w:bookmarkStart w:id="2" w:name="eNV_6C01AF3269F54A25937775F5B1921A82_1"/>
      <w:bookmarkEnd w:id="2"/>
      <w:r>
        <w:t xml:space="preserve">W § 1 ust. 2 odniesienie </w:t>
      </w:r>
      <w:r>
        <w:rPr>
          <w:rStyle w:val="RevisionText"/>
        </w:rPr>
        <w:t>„§§ 2 i 3”</w:t>
      </w:r>
      <w:r>
        <w:t xml:space="preserve"> zastępuje się odniesieniem </w:t>
      </w:r>
      <w:r>
        <w:rPr>
          <w:rStyle w:val="RevisionText"/>
        </w:rPr>
        <w:t>„§§ 2 do 3b i 5a”</w:t>
      </w:r>
      <w:r>
        <w:t>.</w:t>
      </w:r>
    </w:p>
    <w:p w14:paraId="71A5833B" w14:textId="77777777" w:rsidR="00FD2509" w:rsidRDefault="00D563DB" w:rsidP="00FD2509">
      <w:pPr>
        <w:pStyle w:val="NummerierungStufe1"/>
      </w:pPr>
      <w:r>
        <w:t>W</w:t>
      </w:r>
      <w:bookmarkStart w:id="3" w:name="eNV_F184275CB3ED43BBAC3DB3FE735A86E0_1"/>
      <w:bookmarkEnd w:id="3"/>
      <w:r>
        <w:t xml:space="preserve"> § 2 ust. 2 wprowadza się następujące zmiany:</w:t>
      </w:r>
    </w:p>
    <w:p w14:paraId="75A87168" w14:textId="77777777" w:rsidR="00D563DB" w:rsidRPr="001355C5" w:rsidRDefault="00D563DB" w:rsidP="00D563DB">
      <w:pPr>
        <w:pStyle w:val="NummerierungStufe2"/>
      </w:pPr>
      <w:bookmarkStart w:id="4" w:name="eNV_C4D4FB87EB23484289627BC27807BCE5_1"/>
      <w:bookmarkEnd w:id="4"/>
      <w:r>
        <w:t>Punkt 2 zastępuje się następującymi punktami 2 i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charakter, ogólne zarysy funkcjonowania i zakres wszelkich metod stosowanych do automatycznego wykrywania treści, które mają zostać usunięte lub zablokowane, w tym ogólne informacje na temat wykorzystywanych danych szkoleniowych i weryfikacji przez usługodawcę wyników tych procedur, jak również informacje na temat zakresu, w jakim środowiska naukowe i badawcze są wspierane w ocenie tych procedur i uzyskały dostęp do informacji dostarczonych w tym celu przez usługodawcę,</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opis mechanizmów przekazywania skarg dotyczących treści niezgodnych z prawem, opis kryteriów podejmowania decyzji dotyczących usuwania i blokowania treści niezgodnych z prawem oraz opis procedury przeglądu, w tym kolejności przeglądu pod kątem tego, czy są to treści niezgodne z prawem lub czy naruszane są postanowienia umowy między usługodawcą a użytkownikiem,”.</w:t>
      </w:r>
    </w:p>
    <w:p w14:paraId="074A3429" w14:textId="77777777" w:rsidR="00E43EFE" w:rsidRPr="001355C5" w:rsidRDefault="00E43EFE" w:rsidP="003764C3">
      <w:pPr>
        <w:pStyle w:val="NummerierungStufe2"/>
      </w:pPr>
      <w:bookmarkStart w:id="6" w:name="DQPErrorScopeAA164204E61A4B6863D92987321"/>
      <w:r>
        <w:t>Dotychczasowe punkty od 3 do 6 otrzymują oznaczenia od 4 do 7.</w:t>
      </w:r>
      <w:bookmarkEnd w:id="6"/>
    </w:p>
    <w:p w14:paraId="44BFC151" w14:textId="29827472" w:rsidR="00DE0035" w:rsidRPr="001355C5" w:rsidRDefault="00E43EFE" w:rsidP="003764C3">
      <w:pPr>
        <w:pStyle w:val="NummerierungStufe2"/>
      </w:pPr>
      <w:r>
        <w:t>Dotychczasowy pkt 7 otrzymuje oznaczenie pkt 8, a po słowie „</w:t>
      </w:r>
      <w:r>
        <w:rPr>
          <w:rStyle w:val="RevisionText"/>
          <w:color w:val="auto"/>
        </w:rPr>
        <w:t>doprowadziły</w:t>
      </w:r>
      <w:r>
        <w:t>” dodaje się słowa „</w:t>
      </w:r>
      <w:r>
        <w:rPr>
          <w:rStyle w:val="RevisionText"/>
          <w:color w:val="auto"/>
        </w:rPr>
        <w:t>zgodnie z całkowitą liczbą, jak również</w:t>
      </w:r>
      <w:r>
        <w:t>”. Po słowach „</w:t>
      </w:r>
      <w:r>
        <w:rPr>
          <w:rStyle w:val="RevisionText"/>
          <w:color w:val="auto"/>
        </w:rPr>
        <w:t>użytkowników miało miejsce</w:t>
      </w:r>
      <w:r>
        <w:t>” dodaje się przecinek i słowa „</w:t>
      </w:r>
      <w:r>
        <w:rPr>
          <w:rStyle w:val="RevisionText"/>
          <w:color w:val="auto"/>
        </w:rPr>
        <w:t>który etap w sekwencji badań zgodnie z pkt 3 doprowadził do usunięcia lub zablokowania</w:t>
      </w:r>
      <w:r>
        <w:t>”.</w:t>
      </w:r>
    </w:p>
    <w:p w14:paraId="0B6811A7" w14:textId="77777777" w:rsidR="008D6E45" w:rsidRPr="001355C5" w:rsidRDefault="00E43EFE" w:rsidP="003764C3">
      <w:pPr>
        <w:pStyle w:val="NummerierungStufe2"/>
      </w:pPr>
      <w:r>
        <w:lastRenderedPageBreak/>
        <w:t>Dotychczasowy p</w:t>
      </w:r>
      <w:bookmarkStart w:id="7" w:name="eNV_3CAAC48361F44D8E911B82392C79CDB9_1"/>
      <w:bookmarkEnd w:id="7"/>
      <w:r>
        <w:t>kt 8 otrzymuje oznaczenie pkt 9 i następujące brzmienie:</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odpowiednią liczbę skarg dotyczących treści niezgodnych z prawem, które doprowadziły do usunięcia lub zablokowania treści niezgodnych z prawem w ciągu 24 godzin, w ciągu 48 godzin lub w ciągu tygodnia od ich otrzymania lub w późniejszym terminie, dodatkowo w podziale na skargi od biur skarg i użytkowników oraz w podziale według przyczyny złożenia skargi,”.</w:t>
      </w:r>
      <w:bookmarkEnd w:id="8"/>
    </w:p>
    <w:p w14:paraId="090FCED8" w14:textId="77777777" w:rsidR="003764C3" w:rsidRPr="001355C5" w:rsidRDefault="00E43EFE" w:rsidP="003764C3">
      <w:pPr>
        <w:pStyle w:val="NummerierungStufe2"/>
      </w:pPr>
      <w:r>
        <w:t>Dotychczasowy pkt 9 otrzymuje oznaczenie pkt 10, a kropkę na końcu zastępuje się przecinkiem.</w:t>
      </w:r>
    </w:p>
    <w:p w14:paraId="3E7ED79C" w14:textId="77777777" w:rsidR="003764C3" w:rsidRPr="001355C5" w:rsidRDefault="002C5C85" w:rsidP="002C5C85">
      <w:pPr>
        <w:pStyle w:val="NummerierungStufe2"/>
      </w:pPr>
      <w:r>
        <w:t>Dodaje się pkt 11 i 17 w brzmieniu:</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liczba odwołań otrzymanych w okresie sprawozdawczym zgodnie z § 3b ust. 1 zdanie drugie, według całkowitej liczby i w podziale na odwołania skarżących i użytkowników, dla których zapisano kwestionowane treści, każde z nich ze szczegółowymi informacjami na temat liczby przypadków, w których odwołanie zostało uwzględnione;</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liczba odwołań, które wpłynęły w okresie sprawozdawczym zgodnie z § 3b ust. 3 zdanie pierwsze, z wyszczególnieniem liczby spraw, w których odstąpiono od ponownego rozpatrzenia zgodnie z § 3b ust. 3 zdanie trzecie, oraz liczby spraw, w których odwołanie zostało uwzględnione;</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Informacje o tym, czy i w jakim zakresie grupom naukowym i badawczym udzielono dostępu do informacji od usługodawcy w okresie sprawozdawczym w celu umożliwienia anonimowej oceny, czy</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usunięte lub zablokowane nielegalne treści odnoszą się do cech, o których mowa w § 1 ogólnej ustawy o równym traktowaniu z dnia 14 sierpnia 2006 r. (Federalny Dziennik Ustaw I, s. 1897), ostatnio zmienionej art. 8 ustawy z dnia 3 kwietnia 2013 r. (Federalny Dziennik Ustaw I, s. 610), w jej aktualnym brzmieniu,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czy rozpowszechnianie treści niezgodnych z prawem wpływa w określony sposób na niektóre grupy użytkowników oraz</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czy podstawę rozpowszechniania stanowią zorganizowane struktury lub skoordynowane zachowania,</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inne środki podjęte przez dostawcę w celu ochrony i wsparcia osób dotkniętych bezprawnymi treściami,</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podsumowanie z zestawieniem tabelarycznym przedstawiające całkowitą liczbę otrzymanych skarg dotyczących treści niezgodnych z prawem, odsetek treści usuniętych lub zablokowanych w odpowiedzi na te skargi, liczbę odwołań na mocy odpowiednio § 3b ust. 1 zdanie drugie i § 3b ust. 3 zdanie pierwsze oraz odsetek decyzji zmienionych na podstawie tych odwołań w porównaniu z odpowiednimi liczbami za dwa poprzednie okresy sprawozdawcze, wraz z wyjaśnieniem istotnych różnic i ich możliwych przyczyn,</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wyjaśnienie postanowień zawartych w ogólnych warunkach umów usługodawcy dotyczących dopuszczalności rozpowszechniania treści na portalu społecznościowym wykorzystywanym przez usługodawcę do zawierania umów z konsumentami,</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lastRenderedPageBreak/>
        <w:t>17.</w:t>
      </w:r>
      <w:r>
        <w:rPr>
          <w:color w:val="auto"/>
        </w:rPr>
        <w:tab/>
        <w:t>przedstawienie, w jakim stopniu umowa dotycząca postanowień na podstawie paragrafu 16 jest zgodna z wymogami §§ 307 do 309 Kodeksu cywilnego i innych przepisów”.</w:t>
      </w:r>
    </w:p>
    <w:p w14:paraId="268633E7" w14:textId="77777777" w:rsidR="00BE13DB" w:rsidRPr="001355C5" w:rsidRDefault="00BE13DB" w:rsidP="00BE13DB">
      <w:pPr>
        <w:pStyle w:val="NummerierungStufe1"/>
      </w:pPr>
      <w:r>
        <w:t>§</w:t>
      </w:r>
      <w:bookmarkStart w:id="10" w:name="eNV_1071D66C7A3A4E78904AD55041E5495E_1"/>
      <w:bookmarkEnd w:id="10"/>
      <w:r>
        <w:t> 3 otrzymuje brzmienie:</w:t>
      </w:r>
    </w:p>
    <w:p w14:paraId="0581E3DD" w14:textId="77777777" w:rsidR="00BE13DB" w:rsidRPr="001355C5" w:rsidRDefault="00BE13DB" w:rsidP="00BE13DB">
      <w:pPr>
        <w:pStyle w:val="NummerierungStufe2"/>
      </w:pPr>
      <w:r>
        <w:t>W</w:t>
      </w:r>
      <w:bookmarkStart w:id="11" w:name="eNV_014D67E831A54E84AE69F682494D2210_1"/>
      <w:bookmarkEnd w:id="11"/>
      <w:r>
        <w:t xml:space="preserve"> ust. 1 zdanie drugie po słowie „</w:t>
      </w:r>
      <w:r>
        <w:rPr>
          <w:rStyle w:val="RevisionText"/>
          <w:color w:val="auto"/>
        </w:rPr>
        <w:t>a</w:t>
      </w:r>
      <w:r>
        <w:t>” i przecinku dodaje się słowa „</w:t>
      </w:r>
      <w:r>
        <w:rPr>
          <w:rStyle w:val="RevisionText"/>
          <w:color w:val="auto"/>
        </w:rPr>
        <w:t>przy odbiorze treści</w:t>
      </w:r>
      <w:r>
        <w:t>”, a po słowie „</w:t>
      </w:r>
      <w:r>
        <w:rPr>
          <w:rStyle w:val="RevisionText"/>
          <w:color w:val="auto"/>
        </w:rPr>
        <w:t>osiągalny</w:t>
      </w:r>
      <w:r>
        <w:t>” dodaje się słowa „</w:t>
      </w:r>
      <w:r>
        <w:rPr>
          <w:rStyle w:val="RevisionText"/>
          <w:color w:val="auto"/>
        </w:rPr>
        <w:t>łatwy w użyciu</w:t>
      </w:r>
      <w:r>
        <w:t>”.</w:t>
      </w:r>
    </w:p>
    <w:p w14:paraId="630F3893" w14:textId="77777777" w:rsidR="00BE13DB" w:rsidRPr="001355C5" w:rsidRDefault="00BE13DB" w:rsidP="00BE13DB">
      <w:pPr>
        <w:pStyle w:val="NummerierungStufe2"/>
      </w:pPr>
      <w:r>
        <w:t>W</w:t>
      </w:r>
      <w:bookmarkStart w:id="12" w:name="eNV_29BA89EA1BB2430697A4687983AABC93_1"/>
      <w:bookmarkEnd w:id="12"/>
      <w:r>
        <w:t xml:space="preserve"> ust. 2 wprowadza się następujące zmiany:</w:t>
      </w:r>
    </w:p>
    <w:p w14:paraId="59FA4E72" w14:textId="77777777" w:rsidR="001B5632" w:rsidRPr="001355C5" w:rsidRDefault="001B5632" w:rsidP="001B5632">
      <w:pPr>
        <w:pStyle w:val="NummerierungStufe3"/>
      </w:pPr>
      <w:r>
        <w:t>W</w:t>
      </w:r>
      <w:bookmarkStart w:id="13" w:name="eNV_EEB47693F91D4F2B9784901065243950_1"/>
      <w:bookmarkEnd w:id="13"/>
      <w:r>
        <w:t xml:space="preserve"> pkt 3 lit. b) słowa </w:t>
      </w:r>
      <w:r>
        <w:rPr>
          <w:rStyle w:val="RevisionText"/>
          <w:color w:val="auto"/>
        </w:rPr>
        <w:t>„sieć społeczna”</w:t>
      </w:r>
      <w:r>
        <w:t xml:space="preserve"> zastępuje się słowami </w:t>
      </w:r>
      <w:r>
        <w:rPr>
          <w:rStyle w:val="RevisionText"/>
          <w:color w:val="auto"/>
        </w:rPr>
        <w:t>„dostawca sieci społecznej”</w:t>
      </w:r>
      <w:r>
        <w:t>.</w:t>
      </w:r>
    </w:p>
    <w:p w14:paraId="72A04C98" w14:textId="77777777" w:rsidR="00AE356F" w:rsidRPr="001355C5" w:rsidRDefault="00CE245D" w:rsidP="001B5632">
      <w:pPr>
        <w:pStyle w:val="NummerierungStufe3"/>
      </w:pPr>
      <w:r>
        <w:t>Punkty 4 i 5 otrzymują następujące brzmienie:</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w przypadku usunięcia zabezpiecza treść do celów dowodowych i w tym celu przechowuje ją przez okres dziesięciu tygodni w zakresie dyrektywy 2000/31/WE Parlamentu Europejskiego i Rady z dnia 8 czerwca 2000 r. w sprawie niektórych aspektów prawnych usług społeczeństwa informacyjnego, w szczególności handlu elektronicznego w ramach rynku wewnętrznego (</w:t>
      </w:r>
      <w:bookmarkStart w:id="15" w:name="DQPErrorScope2646C3C49F191982EE73F3F98FA"/>
      <w:r>
        <w:rPr>
          <w:color w:val="auto"/>
        </w:rPr>
        <w:t>„</w:t>
      </w:r>
      <w:bookmarkEnd w:id="15"/>
      <w:r>
        <w:rPr>
          <w:color w:val="auto"/>
        </w:rPr>
        <w:t>dyrektywa o handlu elektronicznym”) (Dz.U. L 178 z 17.7.2000, s. 1) oraz dyrektywy Parlamentu Europejskiego i Rady 2010/13/UE z dnia 10 marca 2010 r. w sprawie koordynacji niektórych przepisów ustawowych, wykonawczych i administracyjnych państw członkowskich dotyczących świadczenia audiowizualnych usług medialnych („dyrektywa o audiowizualnych usługach medialnych”) (Dz.U. L 95 z 15.4.2010, s. 1; Dz.U L 263 z 6.10.2010, s. 15), zmieniona dyrektywą (UE) 2018/1808 (Dz.U. L 303 z 28.11.2018, s.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bezzwłocznie informuje skarżącego i użytkownika, dla którego zapisano kwestionowane treści, o każdej decyzji, a przy tym</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uzasadnia swoją decyzję,</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informuje o możliwości wniesienia odwołania zgodnie z § 3b ust. 1 zdanie drugie, przewidzianym w tym celu trybie zgodnie z § 3b ust. 1 zdanie trzecie terminie zgodnie z § 3b ust. 1 zdanie drugie oraz o możliwości przekazania treści odwołania w ramach postępowania zgodnie z § 3b ust. 2 pkt 1, oraz</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informuje skarżącego, że może złożyć zawiadomienie o popełnieniu przestępstwa i, w razie potrzeby, wniosek o wszczęcie postępowania przeciwko użytkownikowi, dla którego zapisano kwestionowane treści, a także o stronie internetowej, na której może otrzymać dalsze informacje na ten temat”.</w:t>
      </w:r>
    </w:p>
    <w:p w14:paraId="7A752ABA" w14:textId="77777777" w:rsidR="00D31A36" w:rsidRPr="001355C5" w:rsidRDefault="00E94ACD" w:rsidP="00D31A36">
      <w:pPr>
        <w:pStyle w:val="NummerierungStufe3"/>
      </w:pPr>
      <w:r>
        <w:t>Dodaje się zdania w brzmieniu:</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 xml:space="preserve">„W przypadkach określonych w zdaniu 1 ust. 3 lit. b) dostawca sieci społecznościowej może ujawnić uznanemu organowi samoregulacyjnemu kwestionowane treści, informacje o czasie udostępniania lub udostępniania treści oraz stopniu ich rozpowszechnienia, a także treści powiązane w możliwym do rozpoznania kontekście (jeżeli jest to niezbędne do celów wydania decyzji). Organ samoregulacyjny jest upoważniony do przetwarzania danych osobowych w zakresie niezbędnym do przeprowadzenia kontroli. Jakakolwiek nieścisłość decyzji podjętej przez organ samoregulacyjny w </w:t>
      </w:r>
      <w:r>
        <w:rPr>
          <w:rStyle w:val="RevisionText"/>
          <w:color w:val="auto"/>
        </w:rPr>
        <w:lastRenderedPageBreak/>
        <w:t>przypadkach wskazanych w zdaniu 1 ust. 3 lit. b) nie stanowi naruszenia ust. 1 pkt 1 przez dostawcę sieci społecznościowej”.</w:t>
      </w:r>
    </w:p>
    <w:p w14:paraId="05710271" w14:textId="77777777" w:rsidR="008331B2" w:rsidRPr="001355C5" w:rsidRDefault="008331B2" w:rsidP="008331B2">
      <w:pPr>
        <w:pStyle w:val="NummerierungStufe2"/>
      </w:pPr>
      <w:r>
        <w:t>W u</w:t>
      </w:r>
      <w:bookmarkStart w:id="17" w:name="eNV_1BD0FCD066BB4ADDA24D31C7AFEE9D76_1"/>
      <w:bookmarkEnd w:id="17"/>
      <w:r>
        <w:t>st. 6 wprowadza się następujące zmiany:</w:t>
      </w:r>
    </w:p>
    <w:p w14:paraId="5B774DD7" w14:textId="77777777" w:rsidR="009E7D6E" w:rsidRPr="001355C5" w:rsidRDefault="002F6D0D" w:rsidP="008331B2">
      <w:pPr>
        <w:pStyle w:val="NummerierungStufe3"/>
      </w:pPr>
      <w:r>
        <w:t xml:space="preserve">W pkt 3 słowo </w:t>
      </w:r>
      <w:r>
        <w:rPr>
          <w:rStyle w:val="RevisionText"/>
          <w:color w:val="auto"/>
        </w:rPr>
        <w:t>„zapewnia,”</w:t>
      </w:r>
      <w:r>
        <w:t xml:space="preserve"> zastępuje się słowami </w:t>
      </w:r>
      <w:r>
        <w:rPr>
          <w:rStyle w:val="RevisionText"/>
          <w:color w:val="auto"/>
        </w:rPr>
        <w:t>„zapewnia na wniosek skarżącego i na wniosek użytkownika, dla którego zapisano kwestionowane treści, oraz”</w:t>
      </w:r>
      <w:r>
        <w:t xml:space="preserve">. </w:t>
      </w:r>
    </w:p>
    <w:p w14:paraId="0AF21211" w14:textId="77777777" w:rsidR="008331B2" w:rsidRPr="001355C5" w:rsidRDefault="008331B2" w:rsidP="008331B2">
      <w:pPr>
        <w:pStyle w:val="NummerierungStufe3"/>
      </w:pPr>
      <w:bookmarkStart w:id="18" w:name="eNV_C577E052D4584A18A8AFB1A777664717_1"/>
      <w:bookmarkEnd w:id="18"/>
      <w:r>
        <w:t>U</w:t>
      </w:r>
      <w:bookmarkStart w:id="19" w:name="eNV_95D0B1FF82E643548E19CDBF244405BA_1"/>
      <w:bookmarkEnd w:id="19"/>
      <w:r>
        <w:t>chyla się punkt 4.</w:t>
      </w:r>
    </w:p>
    <w:p w14:paraId="03ABCB4E" w14:textId="77777777" w:rsidR="002F6D0D" w:rsidRPr="001355C5" w:rsidRDefault="002F6D0D" w:rsidP="008331B2">
      <w:pPr>
        <w:pStyle w:val="NummerierungStufe3"/>
      </w:pPr>
      <w:bookmarkStart w:id="20" w:name="DQPErrorScopeE4F4EA840838595339EED4986C9"/>
      <w:r>
        <w:t>Punkt 5 otrzymuje oznaczenie punktu 4.</w:t>
      </w:r>
      <w:bookmarkEnd w:id="20"/>
    </w:p>
    <w:p w14:paraId="70A31A7E" w14:textId="77777777" w:rsidR="002C5C85" w:rsidRPr="001355C5" w:rsidRDefault="002C5C85" w:rsidP="002C5C85">
      <w:pPr>
        <w:pStyle w:val="NummerierungStufe2"/>
      </w:pPr>
      <w:r>
        <w:t>W ust. 7 dodaje się zdania w brzmieniu:</w:t>
      </w:r>
    </w:p>
    <w:p w14:paraId="3C3C4597" w14:textId="77777777" w:rsidR="002C5C85" w:rsidRPr="001355C5" w:rsidRDefault="002C5C85" w:rsidP="00E53355">
      <w:pPr>
        <w:pStyle w:val="RevisionJuristischerAbsatzFolgeabsatz"/>
        <w:ind w:left="850"/>
        <w:rPr>
          <w:color w:val="auto"/>
        </w:rPr>
      </w:pPr>
      <w:r>
        <w:rPr>
          <w:color w:val="auto"/>
        </w:rPr>
        <w:t>„Udziela centralnemu organowi nadzorczemu Państw Federalnych do spraw ochrony małoletnich przed szkodliwymi mediami możliwość wypowiedzenia się przed podjęciem decyzji o uznaniu. Decyzja może zostać wydana pod dodatkowymi warunkami. Termin nie powinien być krótszy niż pięć lat”.</w:t>
      </w:r>
    </w:p>
    <w:p w14:paraId="6F468865" w14:textId="77777777" w:rsidR="00654A16" w:rsidRPr="001355C5" w:rsidRDefault="00654A16" w:rsidP="00654A16">
      <w:pPr>
        <w:pStyle w:val="NummerierungStufe2"/>
      </w:pPr>
      <w:r>
        <w:t>Dodaje się ust. 8 i 9 p</w:t>
      </w:r>
      <w:bookmarkStart w:id="21" w:name="eNV_C9F4E65DC72A4A318587B7B03101C3D9_1"/>
      <w:bookmarkEnd w:id="21"/>
      <w:r>
        <w:t>o ust. 7:</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„(8) Uznany organ samoregulacyjny musi niezwłocznie poinformować organ administracyjny, o którym mowa w § 4, o zmianach okoliczności istotnych dla uznania i innych informacji podanych we wniosku o uznanie.</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Uznany organ samoregulacyjny musi opublikować na swojej stronie internetowej do dnia 31 lipca każdego roku sprawozdanie z działalności za poprzedni rok kalendarzowy i przekazać je organowi administracyjnemu, o którym mowa w § 4”.</w:t>
      </w:r>
    </w:p>
    <w:p w14:paraId="0A4EFCFA" w14:textId="77777777" w:rsidR="00E43EFE" w:rsidRPr="001355C5" w:rsidRDefault="00E43EFE" w:rsidP="00E43EFE">
      <w:pPr>
        <w:pStyle w:val="NummerierungStufe2"/>
      </w:pPr>
      <w:bookmarkStart w:id="22" w:name="DQPErrorScope5756FCF4B74B2F1C86E686CCCF8"/>
      <w:r>
        <w:t>Poprzednie ustępy 8 i 9 otrzymują oznaczenie nowych ustępów 10 i 11.</w:t>
      </w:r>
      <w:bookmarkEnd w:id="22"/>
    </w:p>
    <w:p w14:paraId="134BA870" w14:textId="77777777" w:rsidR="002C5C85" w:rsidRPr="001355C5" w:rsidRDefault="002C5C85" w:rsidP="007068D4">
      <w:pPr>
        <w:pStyle w:val="NummerierungStufe1"/>
      </w:pPr>
      <w:r>
        <w:t>W § 3a wprowadza się następujące zmiany:</w:t>
      </w:r>
    </w:p>
    <w:p w14:paraId="58898B35" w14:textId="77777777" w:rsidR="002C5C85" w:rsidRPr="001355C5" w:rsidRDefault="002C5C85" w:rsidP="008A1C13">
      <w:pPr>
        <w:pStyle w:val="NummerierungStufe2"/>
      </w:pPr>
      <w:r>
        <w:t>Ust. 4 otrzymuje brzmienie:</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Powiadomienie Federalnego Urzędu Policji Kryminalnej musi zawierać:</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treści oraz, jeśli to możliwe, czas, w którym treści te zostały udostępnione innym użytkownikom lub publicznie, ze wskazaniem strefy czasowej, której dotyczą,</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następujące informacje o użytkowniku, który udostępnił treść innym użytkownikom lub publicznie:</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nazwę użytkownika oraz</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jeżeli jest dostępny, ostatni adres IP używany w odniesieniu do dostawcy sieci społecznościowej, w tym numer portu i czas ostatniego dostępu, ze wskazaniem strefy czasowej”.</w:t>
      </w:r>
    </w:p>
    <w:p w14:paraId="60139EDD" w14:textId="77777777" w:rsidR="002C5C85" w:rsidRPr="001355C5" w:rsidRDefault="006945A0" w:rsidP="008A1C13">
      <w:pPr>
        <w:pStyle w:val="NummerierungStufe2"/>
      </w:pPr>
      <w:r>
        <w:t>Jako nowy ust. 8 dodaje się:</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„(8) Organy ścigania mogą, do celów ogólnej dyskusji z dostawcami sieci społecznościowych na temat stosowania ust. 1-7, przetwarzać dane osobowe niezbędne do tego celu w formie spseudonimizowanej”.</w:t>
      </w:r>
    </w:p>
    <w:p w14:paraId="1EC0B3D6" w14:textId="77777777" w:rsidR="007068D4" w:rsidRPr="001355C5" w:rsidRDefault="003A6658" w:rsidP="007068D4">
      <w:pPr>
        <w:pStyle w:val="NummerierungStufe1"/>
      </w:pPr>
      <w:r>
        <w:lastRenderedPageBreak/>
        <w:t>Przed § 4 dodaje się sekcje 3b-3f w brzmieniu:</w:t>
      </w:r>
    </w:p>
    <w:p w14:paraId="61BFE1F2" w14:textId="77777777" w:rsidR="007068D4" w:rsidRPr="001355C5" w:rsidRDefault="007068D4" w:rsidP="00E53355">
      <w:pPr>
        <w:pStyle w:val="RevisionParagraphBezeichnermanuell"/>
        <w:ind w:left="425" w:hanging="75"/>
        <w:rPr>
          <w:color w:val="auto"/>
        </w:rPr>
      </w:pPr>
      <w:r>
        <w:rPr>
          <w:color w:val="auto"/>
        </w:rPr>
        <w:t>„§ 3b</w:t>
      </w:r>
    </w:p>
    <w:p w14:paraId="194BEC84" w14:textId="77777777" w:rsidR="00222B8C" w:rsidRPr="001355C5" w:rsidRDefault="00222B8C" w:rsidP="00E53355">
      <w:pPr>
        <w:pStyle w:val="RevisionParagraphberschrift"/>
        <w:ind w:left="425"/>
        <w:rPr>
          <w:color w:val="auto"/>
        </w:rPr>
      </w:pPr>
      <w:r>
        <w:rPr>
          <w:color w:val="auto"/>
        </w:rPr>
        <w:t>Procedura odwoławcza</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Dostawca sieci społecznościowej utrzymuje skuteczną i przejrzystą procedurę zgodnie z ust. 2, umożliwiającą zarówno skarżącemu, jak i użytkownikowi, dla którego zapisano kwestionowane treści, zapoznanie się z decyzją o usunięciu lub zablokowaniu dostępu do treści (decyzja pierwotna) podjętą w odpowiedzi na skargę dotyczącą treści niezgodnych z prawem; wyjątek ma zastosowanie w przypadkach § 3 ust. 2 zdanie pierwsze pkt 3 lit. b).</w:t>
      </w:r>
      <w:bookmarkStart w:id="24" w:name="DQPErrorScope07558994FA2BBF877D1F8241434"/>
      <w:bookmarkEnd w:id="23"/>
      <w:r>
        <w:rPr>
          <w:color w:val="auto"/>
        </w:rPr>
        <w:t xml:space="preserve">Przegląd jest wymagany tylko wtedy, gdy skarżący lub użytkownik, dla którego zapisano kwestionowane treści, złoży wniosek o ponowne rozpatrzenie, podając uzasadnienie, w terminie dwóch tygodni od informacji o pierwotnej decyzji (odwołanie). W tym celu dostawca sieci społecznościowych musi zapewnić łatwo rozpoznawalną procedurę, która umożliwia łatwy kontakt elektroniczny i bezpośrednią komunikację z nim. </w:t>
      </w:r>
      <w:bookmarkEnd w:id="24"/>
      <w:r>
        <w:rPr>
          <w:color w:val="auto"/>
        </w:rPr>
        <w:t>Środki kontaktu muszą być również uwzględnione w informacjach zgodnie z § 3 ust. 2 pkt 1 ppkt 5 lit. b).</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Procedura, o której mowa w ust. 1 zdanie pierwsze, gwarantuje, że dostawca sieci społecznościowych,</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w przypadku, gdy chce zaradzić odwołaniu, niezwłocznie informuje użytkownika o treści odwołania w przypadku odwołania złożonego przez skarżącego, niezwłocznie informuje skarżącego o treści odwołania w przypadku odwołania złożonego przez użytkownika oraz zapewnia użytkownikowi w pierwszym przypadku i skarżącemu w drugim możliwość złożenia oświadczenia w uzasadnionym terminie,</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wskazuje, że treść oświadczenia użytkownika może zostać przekazana skarżącemu, a treść oświadczenia skarżącego może zostać przekazana użytkownikowi,</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niezwłocznie poddaje swoją pierwotną decyzję przeglądowi przez osobę, która nie brała udziału w podejmowaniu pierwotnej decyzji,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bezzwłocznie informuje skarżącego i użytkownika o swojej decyzji dotyczącej przeglądu i podaje jej uzasadnienie w odniesieniu do poszczególnych przypadków, a w przypadku niepodejmowania działań – przekazuje ją skarżącemu i użytkownikowi tylko w takim zakresie, w jakim byli oni już zaangażowani w procedurę odwoławczą, oraz</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zapewnia, aby tożsamość skarżącego i użytkownika nie została ujawniona w ramach procedury.</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O ile decyzja o usunięciu lub uniemożliwieniu dostępu do treści nie jest oparta na skardze dotyczącej treści bezprawnych, ust. 1 i 2 stosuje się odpowiednio. Jeżeli decyzja opiera się na skardze dotyczącej treści osoby trzeciej, miejsce skarżącego zajmuje osoba, która przekazała skargę dostawcy sieci społecznościowej. W drodze odstępstwa od ust. 2 pkt 3 nie jest konieczne, aby przegląd był przeprowadzany przez osobę, która nie brała udziału w wydaniu pierwotnej decyzji. </w:t>
      </w:r>
      <w:bookmarkStart w:id="25" w:name="DQPErrorScopeE57447843F5BAB62D772EAE93DA"/>
      <w:r>
        <w:rPr>
          <w:color w:val="auto"/>
        </w:rPr>
        <w:t>W drodze odstępstwa od ust. 1 zdanie drugie, przegląd zgodnie ze zdaniem pierwszym nie jest wymagany, jeżeli treść jest wyraźnie niechcianą informacją handlową lub informacją handlową naruszającą ogólne warunki handlowe usługodawcy, która została udostępniona przez użytkownika innym użytkownikom w dużej liczbie przypadków lub została udostępniona publicznie, a odwołanie nie ma oczywistych szans na powodzenie.</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lastRenderedPageBreak/>
        <w:t>Prawo do wszczęcia postępowania sądowego pozostaje nienaruszone.</w:t>
      </w:r>
    </w:p>
    <w:p w14:paraId="61869D73" w14:textId="77777777" w:rsidR="004420C8" w:rsidRPr="001355C5" w:rsidRDefault="004420C8" w:rsidP="00E53355">
      <w:pPr>
        <w:pStyle w:val="RevisionParagraphBezeichnermanuell"/>
        <w:ind w:left="425"/>
        <w:rPr>
          <w:color w:val="auto"/>
        </w:rPr>
      </w:pPr>
      <w:r>
        <w:rPr>
          <w:color w:val="auto"/>
        </w:rPr>
        <w:t>§ 3c</w:t>
      </w:r>
    </w:p>
    <w:p w14:paraId="04533C71" w14:textId="77777777" w:rsidR="002B001F" w:rsidRPr="001355C5" w:rsidRDefault="002B001F" w:rsidP="00E53355">
      <w:pPr>
        <w:pStyle w:val="RevisionParagraphberschrift"/>
        <w:ind w:left="425"/>
        <w:rPr>
          <w:color w:val="auto"/>
        </w:rPr>
      </w:pPr>
      <w:r>
        <w:rPr>
          <w:color w:val="auto"/>
        </w:rPr>
        <w:t>Arbitraż</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Organ administracyjny, o którym mowa w § 4, może uznać organizacje prawa prywatnego za organy arbitrażowe do pozasądowego rozstrzygania sporów między skarżącymi lub użytkownikami, dla których zapisano kwestionowane treści, a dostawcami sieci społecznościowych w sprawie decyzji podjętych zgodnie z § 3 ust. 2 zdanie pierwsze pkt 1-3.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Organizację prawa prywatnego uznaje się za organ arbitrażowy zgodnie z ust. 1, jeżeli</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jej sponsorem jest osoba prawna,</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z siedzibą w państwie członkowskim Unii Europejskiej lub w innym państwie będącym stroną Porozumienia o Europejskim Obszarze Gospodarczym, do którego ma zastosowanie dyrektywa 2010/13/UE,</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w zamierzeniu ma mieć charakter stały oraz</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jej finansowanie jest zagwarantowane,</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zagwarantowana jest niezależność, bezstronność i fachowość osób, które mają być zaangażowane w arbitraż,</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zapewniono odpowiedni sprzęt i terminowe rozpatrywanie procedur arbitrażowych,</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posiada regulamin arbitrażu, który reguluje szczegóły postępowania arbitrażowego i przypisane arbitrażowi kompetencje oraz umożliwia prostą, niedrogą, niewiążącą i sprawiedliwą procedurę arbitrażową, w której mogą uczestniczyć dostawca sieci społecznościowej, skarżący i użytkownik, dla którego zapisano kwestionowane treści,</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zapewnia się stałe informowanie opinii publicznej o dostępności i kompetencjach organu arbitrażowego oraz o przebiegu postępowania arbitrażowego, w tym o regulaminie arbitrażu.</w:t>
      </w:r>
    </w:p>
    <w:p w14:paraId="4D53200C" w14:textId="77777777" w:rsidR="006432C7" w:rsidRPr="001355C5" w:rsidRDefault="006432C7" w:rsidP="00E53355">
      <w:pPr>
        <w:pStyle w:val="RevisionJuristischerAbsatzFolgeabsatz"/>
        <w:ind w:left="425"/>
        <w:rPr>
          <w:color w:val="auto"/>
        </w:rPr>
      </w:pPr>
      <w:r>
        <w:rPr>
          <w:color w:val="auto"/>
        </w:rPr>
        <w:t>§ 3 ust. 7 zdanie drugie i 3 oraz ust. 8-10 stosuje się odpowiednio.</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Skarżący i użytkownicy, dla których zapisano kwestionowane treści, mogą zwrócić się do organu arbitrażowego w ramach swoich kompetencji, jeżeli wcześniej przeprowadzono procedurę odwoławczą zgodnie z § 3b lub zmieniono decyzję zgodnie z § 3 ust. 6 pkt 3, a dostawca sieci społecznościowej bierze udział w arbitrażu tego organu arbitrażowego co do zasady lub w poszczególnych przypadkach. </w:t>
      </w:r>
      <w:bookmarkStart w:id="27" w:name="DQPErrorScopeFF0F7104CBD94FC2C8D85EC1C4F"/>
      <w:bookmarkEnd w:id="26"/>
      <w:r>
        <w:rPr>
          <w:color w:val="auto"/>
        </w:rPr>
        <w:t xml:space="preserve">Jeżeli usługodawca bierze udział w postępowaniu arbitrażowym, może przesłać organowi arbitrażowemu kwestionowane treści, informacje </w:t>
      </w:r>
      <w:r>
        <w:rPr>
          <w:rStyle w:val="RevisionText"/>
          <w:color w:val="auto"/>
        </w:rPr>
        <w:t>o czasie udostępnienia lub dostarczenia treści i zakresie rozpowszechnienia</w:t>
      </w:r>
      <w:r>
        <w:rPr>
          <w:color w:val="auto"/>
        </w:rPr>
        <w:t xml:space="preserve">, jak również treści w rozpoznawalnym związku z treścią, jeżeli jest to konieczne dla postępowania arbitrażowego; w przypadku wniesienia przez skarżącego odwołania do organu arbitrażowego można przekazać dane kontaktowe użytkownika, dla którego zapisano kwestionowane treści, a w przypadku wniesienia odwołania przez użytkownika, dla którego zapisano kwestionowane treści, do organu arbitrażowego można również przekazać dane kontaktowe skarżącego. </w:t>
      </w:r>
      <w:bookmarkEnd w:id="27"/>
      <w:r>
        <w:rPr>
          <w:rStyle w:val="RevisionText"/>
          <w:color w:val="auto"/>
        </w:rPr>
        <w:t xml:space="preserve">Organ arbitrażowy jest upoważniony do przetwarzania </w:t>
      </w:r>
      <w:r>
        <w:rPr>
          <w:rStyle w:val="RevisionText"/>
          <w:color w:val="auto"/>
        </w:rPr>
        <w:lastRenderedPageBreak/>
        <w:t>odpowiednich danych osobowych, jeżeli jest to konieczne do przeprowadzenia postępowania arbitrażowego; wyklucza się ujawnienie danych osobowych skarżącego i użytkownika, dla którego zapisano kwestionowane treści.</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Udział w postępowaniach arbitrażowych jest dobrowolny. Prawo do odwołania się do sądu pozostaje nienaruszone. Ustawa </w:t>
      </w:r>
      <w:bookmarkStart w:id="28" w:name="DQPErrorScopeCA95913401EB617EF752D152E14"/>
      <w:r>
        <w:rPr>
          <w:color w:val="auto"/>
        </w:rPr>
        <w:t>o rozstrzyganiu sporów konsumenckich</w:t>
      </w:r>
      <w:bookmarkEnd w:id="28"/>
      <w:r>
        <w:rPr>
          <w:color w:val="auto"/>
        </w:rPr>
        <w:t xml:space="preserve"> z dnia 19 lutego 2016 r. (Federalny Dziennik Ustaw I, s. 254, 1039), zmieniona art. 1 ustawy z dnia 30 listopada 2019 r. (Federalny Dziennik Ustaw I, s. 1942), nie ma zastosowania.</w:t>
      </w:r>
    </w:p>
    <w:p w14:paraId="3F8F1C63" w14:textId="77777777" w:rsidR="000125D5" w:rsidRPr="002D1297" w:rsidRDefault="000125D5" w:rsidP="00E53355">
      <w:pPr>
        <w:pStyle w:val="RevisionParagraphBezeichnermanuell"/>
        <w:ind w:left="425"/>
        <w:rPr>
          <w:color w:val="auto"/>
        </w:rPr>
      </w:pPr>
      <w:r>
        <w:rPr>
          <w:color w:val="auto"/>
        </w:rPr>
        <w:t>§ 3d</w:t>
      </w:r>
    </w:p>
    <w:p w14:paraId="7040D56F" w14:textId="77777777" w:rsidR="000125D5" w:rsidRPr="001355C5" w:rsidRDefault="006D22CC" w:rsidP="00E53355">
      <w:pPr>
        <w:pStyle w:val="RevisionParagraphberschrift"/>
        <w:ind w:left="425"/>
        <w:rPr>
          <w:color w:val="auto"/>
        </w:rPr>
      </w:pPr>
      <w:r>
        <w:rPr>
          <w:color w:val="auto"/>
        </w:rPr>
        <w:t>Definicje usług platform udostępniania wideo</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Do celów niniejszej ustawy:</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usługi platformy udostępniania wideo to:</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telemedia, których głównym celem lub istotną funkcją jest publiczne udostępnianie transmisji lub nagrań wideo wytworzonych przez użytkowników, za które usługodawca nie ponosi odpowiedzialności redakcyjnej, w których usługodawca decyduje o organizacji transmisji lub nagrań wideo wytworzonych przez użytkowników, także w sposób zautomatyzowany,</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rozdzielne części telemediów, jeżeli główny cel takiej rozdzielnej części jest określony w lit. a),</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film wideo stworzony przez użytkownika to sekwencja ruchomych obrazów z dźwiękiem lub bez, wygenerowana przez użytkownika, która, niezależnie od długości, stanowi integralną część, która została przesłana do usługi platformy udostępniania wideo przez tego lub innego użytkownika,</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transmisja to ciąg ruchomych obrazów z dźwiękiem lub bez niego, który, niezależnie od długości, stanowi integralną część planu nadawania lub katalogu stworzonego przez usługodawcę,</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państwem członkowskim jest każde państwo członkowskie Unii Europejskiej i każde inne państwo będące stroną Porozumienia o Europejskim Obszarze Gospodarczym, do którego ma zastosowanie dyrektywa 2010/13/UE,</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spółka dominująca jest spółką kontrolującą co najmniej jedną spółkę zależną,</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spółka zależna jest spółką, która jest bezpośrednio lub pośrednio kontrolowana przez spółkę dominującą,</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grupa to całość złożona ze spółki dominującej, wszystkich jej spółek zależnych oraz wszystkich innych spółek, które są ekonomicznie i prawnie powiązane ze spółką dominującą i jej spółkami zależnymi.</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Do celów niniejszej ustawy miejscem siedziby dostawcy usługi platformy udostępniania wideo jest państwo członkowskie, na którego terytorium spółka dostawcy została założona. Jeżeli dostawca usług platform udostępniania wideo nie ma siedziby na terytorium państwa członkowskiego, państwo członkowskie jest państwem, na którego terytorium</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spółka dominująca lub spółka zależna usługodawcy lub</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lastRenderedPageBreak/>
        <w:t>inna spółka z grupy, do której należy usługodawca,</w:t>
      </w:r>
    </w:p>
    <w:p w14:paraId="3AC701E4" w14:textId="77777777" w:rsidR="00494DCB" w:rsidRPr="001355C5" w:rsidRDefault="00A76F3C" w:rsidP="00E53355">
      <w:pPr>
        <w:pStyle w:val="RevisionJuristischerAbsatzFolgeabsatz"/>
        <w:ind w:left="425"/>
        <w:rPr>
          <w:color w:val="auto"/>
        </w:rPr>
      </w:pPr>
      <w:r>
        <w:rPr>
          <w:color w:val="auto"/>
        </w:rPr>
        <w:t>jest utworzona.</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Jeżeli w przypadkach określonych w ust. 2 zdanie drugie, spółka dominująca, spółka zależna lub inne spółki grupy prowadzą działalność w różnych państwach członkowskich, wówczas uznaje się, że usługodawca ma siedzibę w państwie członkowskim, w którym prowadzi działalność jego spółka dominująca lub, w przypadku braku takiej siedziby, w państwie członkowskim, w którym ma siedzibę jego spółka zależna lub, w przypadku braku takiej siedziby, w państwie członkowskim, w którym ma siedzibę inna spółka grupy. </w:t>
      </w:r>
      <w:bookmarkEnd w:id="29"/>
      <w:r>
        <w:rPr>
          <w:color w:val="auto"/>
        </w:rPr>
        <w:t>Jeżeli istnieje kilka spółek zależnych i każda z tych spółek zależnych prowadzi działalność w innym państwie członkowskim, uznaje się, że usługodawca prowadzi działalność w państwie członkowskim, w którym jedna ze spółek zależnych rozpoczęła działalność jako pierwsza, pod warunkiem, że spółka zależna jest trwale i faktycznie powiązana z gospodarką tego państwa członkowskiego. Jeżeli istnieje kilka innych spółek wchodzących w skład grupy, z których każda ma siedzibę w innym państwie członkowskim, uznaje się, że usługodawca ma siedzibę w państwie członkowskim, w którym jedna z tych spółek rozpoczęła działalność, pod warunkiem że istnieje trwały i faktyczny związek z gospodarką tego państwa członkowskiego.</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W przypadku sporów między organem administracyjnym wymienionym w § 4 a organem innego państwa członkowskiego co do tego, które państwo członkowskie uznaje się za siedzibę podmiotu świadczącego usługi platformy udostępniania wideo, organ administracyjny wymieniony w § 4 niezwłocznie informuje o tym Komisję Europejską.</w:t>
      </w:r>
    </w:p>
    <w:p w14:paraId="65B64238" w14:textId="77777777" w:rsidR="000A5E86" w:rsidRPr="001355C5" w:rsidRDefault="000A5E86" w:rsidP="00E53355">
      <w:pPr>
        <w:pStyle w:val="RevisionParagraphBezeichnermanuell"/>
        <w:ind w:left="425"/>
        <w:rPr>
          <w:color w:val="auto"/>
        </w:rPr>
      </w:pPr>
      <w:r>
        <w:rPr>
          <w:color w:val="auto"/>
        </w:rPr>
        <w:t>§ 3e</w:t>
      </w:r>
    </w:p>
    <w:p w14:paraId="1C1753AF" w14:textId="77777777" w:rsidR="000A5E86" w:rsidRPr="001355C5" w:rsidRDefault="00092488" w:rsidP="00E53355">
      <w:pPr>
        <w:pStyle w:val="RevisionParagraphberschrift"/>
        <w:ind w:left="425"/>
        <w:rPr>
          <w:color w:val="auto"/>
        </w:rPr>
      </w:pPr>
      <w:r>
        <w:rPr>
          <w:color w:val="auto"/>
        </w:rPr>
        <w:t>Przepisy mające zastosowanie do usług platform udostępniania wideo</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Niniejsza ustawa ma zastosowanie do dostawców usług platform udostępniania wideo, chyba że ust. 2 i 3 stanowią inaczej.</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W przypadku dostawców usług platform udostępniania wideo, którzy mają mniej niż dwa miliony zarejestrowanych użytkowników w Niemczech, niniejsza ustawa ma zastosowanie tylko wtedy, gdy Republika Federalna Niemiec jest państwem, w którym dostawca ma siedzibę, lub jest uznawana za państwo, w którym ma siedzibę, zgodnie z § 3d ust. 2 i 3. Ustawa ta ma do nich zastosowanie wyłącznie w odniesieniu do filmów wideo i transmisji generowanych przez użytkowników zgodnie z § 3d ust. 1 pkt 2 i 3, które zawierają treści spełniające kryteria przestępstwa określone w §§ 111, 130 ust. 1 lub 2, §§ 131, 140, 166 lub 184b kodeksu karnego i nie są uzasadnione. W drodze odstępstwa od § 1 ust. 2 dostawcy usług platform udostępniania wideo są zwolnieni z obowiązków wynikających z § 2, § 3 ust. 2 zdanie pierwsze pkt 3 i 4, a także ust. 4 i § 3a.</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W odniesieniu do filmów wideo stworzonych przez użytkownika i transmisji, o których mowa w ust. 2 zdanie drugie, obowiązki wynikające z §§ 2, 3 i 3b mają zastosowanie wyłącznie do dostawców usług platformy udostępniania wideo, dla których państwo członkowskie inne niż Republika Federalna Niemiec jest faktycznie lub jest uważane za państwo, w którym mają siedzibę, zgodnie z § 3d ust. 2 i 3 na podstawie i w zakresie nakazu organu, o którym mowa w § 4. </w:t>
      </w:r>
      <w:bookmarkStart w:id="31" w:name="DQPErrorScopeBDF1949485EA6F0E446600D58EB"/>
      <w:bookmarkEnd w:id="30"/>
      <w:r>
        <w:rPr>
          <w:color w:val="auto"/>
        </w:rPr>
        <w:t xml:space="preserve">Nakaz może zostać wydany tylko wtedy, gdy warunki określone w § 3 ust. 5 ustawy o telemediach z dnia 26 lutego 2007 r. (Federalny Dziennik Ustaw I, str. 179), ostatnio zmienionej art. 12 ustawy z dnia 30 marca 2021 r. (Federalny Dziennik Ustaw I, str. 448), są spełnione w obowiązującej wersji i z zachowaniem wymaganych w związku z tym czynności </w:t>
      </w:r>
      <w:r>
        <w:rPr>
          <w:color w:val="auto"/>
        </w:rPr>
        <w:lastRenderedPageBreak/>
        <w:t xml:space="preserve">proceduralnych. </w:t>
      </w:r>
      <w:bookmarkEnd w:id="31"/>
      <w:r>
        <w:rPr>
          <w:color w:val="auto"/>
        </w:rPr>
        <w:t>Organ administracyjny, o którym mowa w § 4, może zlecić innemu organowi sprawdzenie, czy spełnione zostały warunki określone w § 3 ust. 5 zdanie pierwsze ustawy o telemediach.</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Jeżeli niniejsza ustawa ma zastosowanie do dostawcy usługi platformy udostępniania wideo zgodnie z ust. 1-3 w odniesieniu do filmów i transmisji stworzonych przez użytkowników, o których mowa w ust. 2 zdanie drugie, jest on zobowiązany do zawarcia skutecznego porozumienia ze swoimi użytkownikami, że rozpowszechnianie filmów i transmisji stworzonych przez użytkowników, o których mowa w ust. 2 zdanie drugie, jest zabronione.</w:t>
      </w:r>
      <w:bookmarkEnd w:id="32"/>
    </w:p>
    <w:p w14:paraId="55AC470D" w14:textId="77777777" w:rsidR="007418C8" w:rsidRPr="001355C5" w:rsidRDefault="007418C8" w:rsidP="00E53355">
      <w:pPr>
        <w:pStyle w:val="RevisionParagraphBezeichnermanuell"/>
        <w:ind w:left="425"/>
        <w:rPr>
          <w:color w:val="auto"/>
        </w:rPr>
      </w:pPr>
      <w:r>
        <w:rPr>
          <w:color w:val="auto"/>
        </w:rPr>
        <w:t>§ 3f</w:t>
      </w:r>
    </w:p>
    <w:p w14:paraId="4D2E9790" w14:textId="77777777" w:rsidR="007418C8" w:rsidRPr="001355C5" w:rsidRDefault="007418C8" w:rsidP="00E53355">
      <w:pPr>
        <w:pStyle w:val="RevisionParagraphberschrift"/>
        <w:ind w:left="425"/>
        <w:rPr>
          <w:color w:val="auto"/>
        </w:rPr>
      </w:pPr>
      <w:r>
        <w:rPr>
          <w:color w:val="auto"/>
        </w:rPr>
        <w:t>Urzędowy arbitraż dla sporów dotyczących usług platform udostępniania wideo</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Przy organie administracyjnym, o którym mowa w § 4, powołuje się urzędowy organ arbitrażowy. </w:t>
      </w:r>
      <w:bookmarkStart w:id="33" w:name="DQPErrorScopeE92CF804F62B9CE832E9F29632C"/>
      <w:r>
        <w:rPr>
          <w:color w:val="auto"/>
        </w:rPr>
        <w:t xml:space="preserve">Urzędowy organ arbitrażowy istnieje w celu pozasądowego rozstrzygania sporów z dostawcami usług platform udostępniania wideo w zakresie decyzji zgodnie z § 3 ust. 2 zdanie pierwsze pkt 1-3 dotyczących obecności filmów i transmisji generowanych przez użytkowników, które zawierają treści spełniające kryteria przestępstwa określone w § 3e ust. 2 zdanie drugie i są nieuzasadnione. </w:t>
      </w:r>
      <w:bookmarkStart w:id="34" w:name="DQPErrorScope36716444AD4BE67878A909DAB58"/>
      <w:bookmarkEnd w:id="33"/>
      <w:r>
        <w:rPr>
          <w:color w:val="auto"/>
        </w:rPr>
        <w:t>Urzędowy organ arbitrażowy jest odpowiedzialny wyłącznie za spory z dostawcami usług platform udostępniania wideo, w przypadku których Republika Federalna Niemiec jest faktycznie lub jest uznawana za kraj siedziby zgodnie z § 3d ust. 2, i tylko wtedy, gdy dostawca nie uczestniczy w procedurach arbitrażowych prowadzonych przez uznany organ arbitrażowy zgodnie z § 3c ust. 1 lub gdy żadna organizacja prawa prywatnego nie jest uznawana za organ arbitrażowy zgodnie z § 3c ust. 1.</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Wymogi § 3c ust. 2 zdanie pierwsze pkt 2-5 oraz § 3 ust. 9 oraz § 3c ust. 3 i 4 stosuje się odpowiednio do urzędowego organu arbitrażowego.</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Urzędowy organ arbitrażowy może pobierać opłaty za prowadzenie postępowania arbitrażowego, które muszą być określone w jego regulaminie arbitrażowym”,</w:t>
      </w:r>
    </w:p>
    <w:p w14:paraId="1C58FB43" w14:textId="77777777" w:rsidR="007068D4" w:rsidRPr="001355C5" w:rsidRDefault="009545A0" w:rsidP="007068D4">
      <w:pPr>
        <w:pStyle w:val="NummerierungStufe1"/>
      </w:pPr>
      <w:r>
        <w:t>§</w:t>
      </w:r>
      <w:bookmarkStart w:id="35" w:name="eNV_C9F55B4BE97741478F2249B607AE3168_1"/>
      <w:bookmarkEnd w:id="35"/>
      <w:r>
        <w:t> 4 otrzymuje brzmienie:</w:t>
      </w:r>
    </w:p>
    <w:p w14:paraId="1CAC0552" w14:textId="77777777" w:rsidR="005468C2" w:rsidRPr="001355C5" w:rsidRDefault="005468C2" w:rsidP="009545A0">
      <w:pPr>
        <w:pStyle w:val="NummerierungStufe2"/>
      </w:pPr>
      <w:r>
        <w:t>Ust. 1 otrzymuje brzmienie:</w:t>
      </w:r>
    </w:p>
    <w:p w14:paraId="0E54D550" w14:textId="77777777" w:rsidR="00CA1C39" w:rsidRPr="001355C5" w:rsidRDefault="00CA1C39" w:rsidP="00CA1C39">
      <w:pPr>
        <w:pStyle w:val="NummerierungStufe3"/>
      </w:pPr>
      <w:r>
        <w:t>W pkt 2 po słowie „</w:t>
      </w:r>
      <w:r>
        <w:rPr>
          <w:rStyle w:val="RevisionText"/>
          <w:color w:val="auto"/>
        </w:rPr>
        <w:t>zdanie pierwsze</w:t>
      </w:r>
      <w:r>
        <w:t>” dodaje się słowa „</w:t>
      </w:r>
      <w:r>
        <w:rPr>
          <w:rStyle w:val="RevisionText"/>
          <w:color w:val="auto"/>
        </w:rPr>
        <w:t>lub § 3b ust. 1 zdanie pierwsze”</w:t>
      </w:r>
      <w:r>
        <w:t>, a po wyrazie „</w:t>
      </w:r>
      <w:r>
        <w:rPr>
          <w:rStyle w:val="RevisionText"/>
          <w:color w:val="auto"/>
        </w:rPr>
        <w:t>mają</w:t>
      </w:r>
      <w:r>
        <w:t>” dodaje się wyrazy „</w:t>
      </w:r>
      <w:r>
        <w:rPr>
          <w:rStyle w:val="RevisionText"/>
          <w:color w:val="auto"/>
        </w:rPr>
        <w:t>lub o ponowne rozpatrzenie decyzji</w:t>
      </w:r>
      <w:r>
        <w:t>”.</w:t>
      </w:r>
    </w:p>
    <w:p w14:paraId="67880C37" w14:textId="77777777" w:rsidR="00E94ACD" w:rsidRPr="001355C5" w:rsidRDefault="00E94ACD" w:rsidP="00092488">
      <w:pPr>
        <w:pStyle w:val="NummerierungStufe3"/>
      </w:pPr>
      <w:r>
        <w:t>W pkt 3 po słowach „</w:t>
      </w:r>
      <w:r>
        <w:rPr>
          <w:rStyle w:val="RevisionText"/>
          <w:color w:val="auto"/>
        </w:rPr>
        <w:t>zdanie drugie</w:t>
      </w:r>
      <w:r>
        <w:t>” dodaje się słowa „</w:t>
      </w:r>
      <w:r>
        <w:rPr>
          <w:rStyle w:val="RevisionText"/>
          <w:color w:val="auto"/>
        </w:rPr>
        <w:t>lub § 3b ust. 1 zdanie trzecie</w:t>
      </w:r>
      <w:r>
        <w:t>".</w:t>
      </w:r>
    </w:p>
    <w:p w14:paraId="694995FC" w14:textId="77777777" w:rsidR="005468C2" w:rsidRPr="001355C5" w:rsidRDefault="005468C2" w:rsidP="00092488">
      <w:pPr>
        <w:pStyle w:val="NummerierungStufe3"/>
      </w:pPr>
      <w:bookmarkStart w:id="36" w:name="DQPErrorScopeE72DC994AA48B802F2C16A30F0D"/>
      <w:r>
        <w:t>Punkt 6a otrzymuje oznaczenie punktu 7.</w:t>
      </w:r>
      <w:bookmarkEnd w:id="36"/>
    </w:p>
    <w:p w14:paraId="470BD5FD" w14:textId="77777777" w:rsidR="005468C2" w:rsidRPr="001355C5" w:rsidRDefault="005468C2" w:rsidP="00092488">
      <w:pPr>
        <w:pStyle w:val="NummerierungStufe3"/>
      </w:pPr>
      <w:bookmarkStart w:id="37" w:name="DQPErrorScopeCB774C2457AB3DE6B781A62FB20"/>
      <w:r>
        <w:t>Poprzednie punkty 7 i 8 otrzymują oznaczenia punktów 8 i 9.</w:t>
      </w:r>
      <w:bookmarkEnd w:id="37"/>
    </w:p>
    <w:p w14:paraId="2C1D24E7" w14:textId="77777777" w:rsidR="000E1AD4" w:rsidRPr="001355C5" w:rsidRDefault="000E1AD4" w:rsidP="009545A0">
      <w:pPr>
        <w:pStyle w:val="NummerierungStufe2"/>
      </w:pPr>
      <w:r>
        <w:t xml:space="preserve">W ust. 2 pkt 1 słowa </w:t>
      </w:r>
      <w:r>
        <w:rPr>
          <w:rStyle w:val="RevisionText"/>
          <w:color w:val="auto"/>
        </w:rPr>
        <w:t>„pkt 7 i 8”</w:t>
      </w:r>
      <w:r>
        <w:t xml:space="preserve"> zastępuje się słowami </w:t>
      </w:r>
      <w:r>
        <w:rPr>
          <w:rStyle w:val="RevisionText"/>
          <w:color w:val="auto"/>
        </w:rPr>
        <w:t>„pkt 8 i 9”</w:t>
      </w:r>
      <w:r>
        <w:t>.</w:t>
      </w:r>
    </w:p>
    <w:p w14:paraId="751D6B29" w14:textId="77777777" w:rsidR="00AD2CA4" w:rsidRPr="001355C5" w:rsidRDefault="00AD2CA4" w:rsidP="00AD2CA4">
      <w:pPr>
        <w:pStyle w:val="NummerierungStufe1"/>
      </w:pPr>
      <w:r>
        <w:t>P</w:t>
      </w:r>
      <w:bookmarkStart w:id="38" w:name="eNV_E6DE02647D4D48EA8EC2D351BB8C0943_1"/>
      <w:bookmarkEnd w:id="38"/>
      <w:r>
        <w:t>o § 4 dodaje się § 4a w brzmieniu:</w:t>
      </w:r>
    </w:p>
    <w:p w14:paraId="04A4FB69" w14:textId="77777777" w:rsidR="00AD2CA4" w:rsidRPr="001355C5" w:rsidRDefault="00AD2CA4" w:rsidP="00E53355">
      <w:pPr>
        <w:pStyle w:val="RevisionParagraphBezeichnermanuell"/>
        <w:ind w:left="425" w:hanging="75"/>
        <w:rPr>
          <w:color w:val="auto"/>
        </w:rPr>
      </w:pPr>
      <w:r>
        <w:rPr>
          <w:color w:val="auto"/>
        </w:rPr>
        <w:lastRenderedPageBreak/>
        <w:t>„§ 4a</w:t>
      </w:r>
    </w:p>
    <w:p w14:paraId="484D93D5" w14:textId="77777777" w:rsidR="00AD2CA4" w:rsidRPr="001355C5" w:rsidRDefault="00AD2CA4" w:rsidP="00E53355">
      <w:pPr>
        <w:pStyle w:val="RevisionParagraphberschrift"/>
        <w:ind w:left="425"/>
        <w:rPr>
          <w:color w:val="auto"/>
        </w:rPr>
      </w:pPr>
      <w:r>
        <w:rPr>
          <w:color w:val="auto"/>
        </w:rPr>
        <w:t>Nadzór</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Organ administracyjny, o którym mowa w § 4, nadzoruje przestrzeganie przepisów niniejszej ustawy.</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Jeżeli organ administracyjny, o którym mowa w § 4, stwierdzi, że dostawca sieci społecznościowej naruszył lub narusza przepisy niniejszej ustawy, podejmuje wobec niego niezbędne środki. W szczególności może wymagać od usługodawcy naprawienia naruszenia. § 4 ust. 5 stosuje się mutatis mutandis, z zastrzeżeniem, że właściwy jest sąd, który rozstrzygałby w przedmiocie sprzeciwu od administracyjnej kary pieniężnej.</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W ramach postępowania administracyjnego na podstawie ust. 2 dostawca sieci społecznościowej przekazuje organowi administracyjnemu, o którym mowa w § 4, na jego wniosek, informacje o środkach podjętych w celu wykonania niniejszej ustawy, liczbie zarejestrowanych użytkowników w Niemczech oraz skargach dotyczących treści niezgodnych z prawem otrzymanych w ubiegłym roku kalendarzowym; przedstawiciele usługodawcy, jak również w przypadku osób prawnych, spółek i stowarzyszeń nieposiadających osobowości prawnej – osoby wyznaczone przez prawo lub umowę spółki, są zobowiązani do ujawnienia żądanych informacji w imieniu spółki. </w:t>
      </w:r>
      <w:bookmarkEnd w:id="39"/>
      <w:r>
        <w:rPr>
          <w:color w:val="auto"/>
        </w:rPr>
        <w:t>Wniosek o udzielenie informacji musi być proporcjonalny. Jeżeli osoby fizyczne są zobowiązane do współpracy na podstawie zdania pierwszego, muszą one również ujawnić fakty, które mogą skutkować ściganiem za przestępstwo karne lub wykroczenie administracyjne, jeżeli uzyskanie tych informacji jest w inny sposób trudne lub mało prawdopodobne. Jednakże informacje przekazane przez osobę fizyczną zgodnie ze zdaniem pierwszym mogą być wykorzystane w postępowaniu karnym lub w postępowaniu na podstawie Kodeksu wykroczeń administracyjnych przeciwko tej osobie lub jednej z osób bliskich określonych w § 383 ust. 1 pkt 1-3 kodeksu postępowania cywilnego wyłącznie za zgodą tej osoby. Informacje udzielone zgodnie ze zdaniem pierwszym mogą być wykorzystane przeciwko usługodawcy w postępowaniu o nałożenie kary pieniężnej zgodnie z § 30 kodeksu wykroczeń administracyjnych wyłącznie za zgodą usługodawcy lub osoby, która udzieliła informacji w wyniku obowiązku wynikającego ze zdania pierwszego.</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Świadkowie są zobowiązani do składania zeznań w postępowaniu administracyjnym na podstawie ust. 2. Świadek może odmówić ujawnienia w przypadku pytań, na które odpowiedź mogłaby narazić samego świadka lub jedną z jego osób bliskich opisanych w § 383 ust. 1 pkt 1–3 k.p.c. na niebezpieczeństwo postępowania karnego lub postępowania na podstawie kodeksu wykroczeń administracyjnych. W przeciwnym razie stosuje się odpowiednio przepisy Kodeksu postępowania cywilnego dotyczące obowiązku składania zeznań w charakterze świadka. Organ administracji, o którym mowa w § 4, jest obowiązany pouczyć świadka o prawie odmowy zeznań przed przesłuchaniem”.</w:t>
      </w:r>
    </w:p>
    <w:p w14:paraId="4340EFAD" w14:textId="77777777" w:rsidR="00AD2CA4" w:rsidRPr="001355C5" w:rsidRDefault="00AD2CA4" w:rsidP="006945A0">
      <w:pPr>
        <w:pStyle w:val="NummerierungStufe1"/>
      </w:pPr>
      <w:r>
        <w:t>W § </w:t>
      </w:r>
      <w:bookmarkStart w:id="40" w:name="eNV_04FF9BB8F8AA4AA7A9BF1B042E4A5062_1"/>
      <w:bookmarkEnd w:id="40"/>
      <w:r>
        <w:t>5 wprowadza się następujące zmiany:</w:t>
      </w:r>
    </w:p>
    <w:p w14:paraId="2D379F88" w14:textId="77777777" w:rsidR="00AD2CA4" w:rsidRPr="001355C5" w:rsidRDefault="00AD2CA4" w:rsidP="00AD2CA4">
      <w:pPr>
        <w:pStyle w:val="NummerierungStufe2"/>
      </w:pPr>
      <w:r>
        <w:t>D</w:t>
      </w:r>
      <w:bookmarkStart w:id="41" w:name="eNV_FE6D31F203874E4C8EEC616DEBA99F3C_1"/>
      <w:bookmarkEnd w:id="41"/>
      <w:r>
        <w:t>rugie i trzecie zdanie pierwszego akapitu otrzymuje brzmienie:</w:t>
      </w:r>
    </w:p>
    <w:p w14:paraId="49EFFC86" w14:textId="77777777" w:rsidR="00AA3DB5" w:rsidRPr="001355C5" w:rsidRDefault="00AA3DB5" w:rsidP="00E53355">
      <w:pPr>
        <w:pStyle w:val="RevisionJuristischerAbsatzFolgeabsatz"/>
        <w:ind w:left="850"/>
        <w:rPr>
          <w:bCs/>
          <w:color w:val="auto"/>
        </w:rPr>
      </w:pPr>
      <w:r>
        <w:rPr>
          <w:color w:val="auto"/>
        </w:rPr>
        <w:t xml:space="preserve">„Doręczenia mogą być dokonywane na ich rzecz w postępowaniach dotyczących grzywien oraz w postępowaniach nadzorczych zgodnie z §§ 4 i 4a lub w postępowaniach sądowych przed sądami niemieckimi na podstawie rozpowszechniania lub nieuzasadnionego przyzwolenia na rozpowszechnianie treści niezgodnych z prawem, w szczególności w przypadkach, w których żąda się przywrócenia usuniętych lub zablokowanych treści. Dotyczy to również doręczania dokumentów wszczynających takie postępowanie, doręczania prawomocnych </w:t>
      </w:r>
      <w:r>
        <w:rPr>
          <w:color w:val="auto"/>
        </w:rPr>
        <w:lastRenderedPageBreak/>
        <w:t>orzeczeń sądowych oraz doręczeń w postępowaniu egzekucyjnym lub wykonawczym”.</w:t>
      </w:r>
    </w:p>
    <w:p w14:paraId="16B76B89" w14:textId="77777777" w:rsidR="00AA3DB5" w:rsidRPr="001355C5" w:rsidRDefault="00AA3DB5" w:rsidP="00AA3DB5">
      <w:pPr>
        <w:pStyle w:val="NummerierungStufe2"/>
      </w:pPr>
      <w:r>
        <w:t>W u</w:t>
      </w:r>
      <w:bookmarkStart w:id="42" w:name="eNV_9291AE4B799844E98739D68DE9F55F7C_1"/>
      <w:bookmarkEnd w:id="42"/>
      <w:r>
        <w:t>st. 2 wprowadza się następujące zmiany:</w:t>
      </w:r>
    </w:p>
    <w:p w14:paraId="15A52BDB" w14:textId="77777777" w:rsidR="00AA3DB5" w:rsidRPr="001355C5" w:rsidRDefault="00AA3DB5" w:rsidP="00AA3DB5">
      <w:pPr>
        <w:pStyle w:val="NummerierungStufe3"/>
      </w:pPr>
      <w:r>
        <w:t>W</w:t>
      </w:r>
      <w:bookmarkStart w:id="43" w:name="eNV_C9EC0596544E46D7A0B4712CAE7C00B0_1"/>
      <w:bookmarkEnd w:id="43"/>
      <w:r>
        <w:t xml:space="preserve"> zdaniu pierwszym po słowie „</w:t>
      </w:r>
      <w:r>
        <w:rPr>
          <w:rStyle w:val="RevisionText"/>
          <w:color w:val="auto"/>
        </w:rPr>
        <w:t>krajowym</w:t>
      </w:r>
      <w:r>
        <w:t xml:space="preserve">” dodaje się słowa </w:t>
      </w:r>
      <w:r>
        <w:rPr>
          <w:rStyle w:val="RevisionText"/>
          <w:color w:val="auto"/>
        </w:rPr>
        <w:t>„wobec organu administracyjnego, o którym mowa w § 4”</w:t>
      </w:r>
      <w:r>
        <w:t>.</w:t>
      </w:r>
    </w:p>
    <w:p w14:paraId="7C90362A" w14:textId="77777777" w:rsidR="00AA3DB5" w:rsidRPr="001355C5" w:rsidRDefault="00CE291E" w:rsidP="00AA3DB5">
      <w:pPr>
        <w:pStyle w:val="NummerierungStufe3"/>
      </w:pPr>
      <w:r>
        <w:t>Dodaje się n</w:t>
      </w:r>
      <w:bookmarkStart w:id="44" w:name="eNV_CD5A7E96D5134342A11A35189CB5E6D5_1"/>
      <w:bookmarkEnd w:id="44"/>
      <w:r>
        <w:t>astępujące zdania:</w:t>
      </w:r>
    </w:p>
    <w:p w14:paraId="437ADFA5" w14:textId="77777777" w:rsidR="00F86A78" w:rsidRPr="001355C5" w:rsidRDefault="00AA3DB5" w:rsidP="00E53355">
      <w:pPr>
        <w:pStyle w:val="RevisionJuristischerAbsatzFolgeabsatz"/>
        <w:ind w:left="1276"/>
        <w:rPr>
          <w:bCs/>
          <w:color w:val="auto"/>
        </w:rPr>
      </w:pPr>
      <w:r>
        <w:rPr>
          <w:color w:val="auto"/>
        </w:rPr>
        <w:t>„Organ administracyjny, o którym mowa w § 4, prowadzi wykaz upoważnionych odbiorców. Dostarcza on informacji na ten temat krajowym organom ścigania na ich wniosek”.</w:t>
      </w:r>
    </w:p>
    <w:p w14:paraId="5BE2967B" w14:textId="77777777" w:rsidR="000235A5" w:rsidRPr="001355C5" w:rsidRDefault="000235A5" w:rsidP="008A1C13">
      <w:pPr>
        <w:pStyle w:val="NummerierungStufe1"/>
      </w:pPr>
      <w:r>
        <w:t>Po § 5 dodaje się § 5a w brzmieniu:</w:t>
      </w:r>
    </w:p>
    <w:p w14:paraId="1EB3C8D9" w14:textId="77777777" w:rsidR="000235A5" w:rsidRPr="001355C5" w:rsidRDefault="000235A5" w:rsidP="000235A5">
      <w:pPr>
        <w:pStyle w:val="RevisionParagraphBezeichnermanuell"/>
        <w:ind w:left="425" w:hanging="75"/>
        <w:rPr>
          <w:color w:val="auto"/>
        </w:rPr>
      </w:pPr>
      <w:r>
        <w:rPr>
          <w:color w:val="auto"/>
        </w:rPr>
        <w:t>„§ 5a</w:t>
      </w:r>
    </w:p>
    <w:p w14:paraId="722CF057" w14:textId="77777777" w:rsidR="000235A5" w:rsidRPr="001355C5" w:rsidRDefault="000235A5" w:rsidP="000235A5">
      <w:pPr>
        <w:pStyle w:val="RevisionParagraphberschrift"/>
        <w:ind w:left="425"/>
        <w:rPr>
          <w:color w:val="auto"/>
        </w:rPr>
      </w:pPr>
      <w:r>
        <w:rPr>
          <w:color w:val="auto"/>
        </w:rPr>
        <w:t>Informacje na potrzeby badań naukowych</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W rozumieniu niniejszego przepisu „naukowiec” oznacza każdą osobę fizyczną lub prawną prowadzącą badania naukowe.</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Naukowiec może zwrócić się do dostawcy sieci społecznościowej o kwalifikowane informacje na temat</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stosowania i konkretnego działania procedur automatycznego rozpoznawania treści, które mają zostać usunięte lub zablokowane, w szczególności charakteru i zakresu stosowanych technologii oraz celów, kryteriów i parametrów ich programowania, jak również wykorzystywanych danych,</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rozpowszechniania treści, które były przedmiotem skarg dotyczących treści niezgodnych z prawem lub które zostały usunięte lub zablokowane przez dostawcę, w szczególności odpowiednich treści, jak również informacji o tym, którzy użytkownicy weszli w interakcję z tymi treściami i w jaki sposób.</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O informacje w rozumieniu ust. 2 można zwracać się jedynie w zakresie, w jakim jest to konieczne dla projektów badań naukowych leżących w interesie publicznym, dotyczących charakteru, zakresu, przyczyn i skutków komunikacji publicznej w sieciach społecznościowych oraz sposobów traktowania jej przez dostawców.</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Informacje mogą zostać udostępnione tylko wówczas, gdy naukowiec przedstawi dostawcy sieci społecznościowej koncepcję ochrony. Pojęcie ochrony obejmuje</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opis informacji wymaganych do celów badawczych, o których mowa w ust.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opis zamierzonego wykorzystania informacji,</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opis środków podjętych w celu zapobieżenia jakiemukolwiek innemu wykorzystaniu informacji,</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opis środków ostrożności podjętych w celu ochrony uzasadnionych interesów dostawcy, oraz</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lastRenderedPageBreak/>
        <w:t>opis środków technicznych i organizacyjnych podjętych w celu zapewnienia ochrony danych osobowych.</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Dostawca sieci społecznościowej może odmówić udzielenia informacji, jeżeli</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godne ochrony interesy znacznie przeważają nad publicznym interesem badań lub</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naruszone zostają godne ochrony interesy osób, których dane dotyczą, a interes publiczny badań nie przeważa nad interesem poufności osób, których dane dotyczą.</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Dostawca sieci społecznościowej może przekazywać następujące dane osobowe w celu udzielania informacji zgodnie z ust. 2:</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rozpowszechniane treści,</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skargi dotyczące treści niezgodnych z prawem,</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nazwy użytkowników osób zaangażowanych w rozpowszechnianie,</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szczegóły na temat okoliczności interakcji osób zaangażowanych w rozpowszechnianie w odniesieniu do odpowiednich treści oraz</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dane treningowe procedur automatycznego rozpoznawania treści przeznaczonych do usunięcia lub zablokowania, a także informacje o sposobie działania, celach, kryteriach i parametrach programowania tych procedur.</w:t>
      </w:r>
    </w:p>
    <w:p w14:paraId="101C9DCB" w14:textId="77777777" w:rsidR="000235A5" w:rsidRPr="001355C5" w:rsidRDefault="000235A5" w:rsidP="000235A5">
      <w:pPr>
        <w:pStyle w:val="RevisionJuristischerAbsatzFolgeabsatz"/>
        <w:ind w:left="425"/>
        <w:rPr>
          <w:color w:val="auto"/>
        </w:rPr>
      </w:pPr>
      <w:r>
        <w:rPr>
          <w:color w:val="auto"/>
        </w:rPr>
        <w:t>Dane są przekazywane w postaci zanonimizowanej lub przynajmniej spseudonimizowanej, o ile jest to możliwe bez narażania na szwank celu badań.</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Naukowiec może przetwarzać dane wyłącznie w celu realizacji projektów badań naukowych, o których mowa w ust. 3. W zakresie, w jakim przetwarzane są szczególne kategorie danych w rozumieniu art. 9 ust. 1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(Dz.U. L 119 z 4.5.2016, s. 1; L 314 z 22.11.2016, s. 72; L 127 z 23.5.2018, s. 2) w aktualnie obowiązującym brzmieniu, naukowiec zapewnia odpowiednie i szczególne środki w celu zabezpieczenia interesów osoby, której dane dotyczą, zgodnie z § 22 ust. 2 zdanie drugie federalnej ustawy o ochronie danych. Oprócz zastosowania wymienionych tam środków, dane należy poddać anonimizacji w rozumieniu art. 9 ust. 1 rozporządzenia (UE) 2016/679, o ile tylko jest to możliwe ze względu na cel badań. </w:t>
      </w:r>
      <w:bookmarkEnd w:id="46"/>
      <w:r>
        <w:rPr>
          <w:color w:val="auto"/>
        </w:rPr>
        <w:t xml:space="preserve"> Wszelkie inne wymogi dotyczące ochrony danych pozostają nienaruszone.</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Dostawca sieci społecznościowej jest uprawniony do otrzymania od naukowca zwrotu, w rozsądnej wysokości, kosztów poniesionych w związku z dostarczaniem informacji zgodnie z ust. 2. Przy określaniu uzasadnionej wysokości uwzględnia się fakt, że koszty nie mogą stanowić istotnej przeszkody w korzystaniu z prawa do informacji. Zastosowanie znajduje odpowiednio § 287 ust. 1 Kodeksu postępowania cywilnego. Koszty podlegające zwrotowi mogą wynosić do 5 000 EUR, z wyjątkiem przypadków przewidzianych w zdaniu piątym. Kwota ta może zostać przekroczona jedynie w przypadku, gdy dostarczenie informacji pociąga za sobą wyjątkowo wysokie wydatki. Po przedłożeniu koncepcji ochrony zgodnie z ust. 4 naukowiec może zwrócić się do dostawcy o przedstawienie w rozsądnym terminie bezpłatnego kosztorysu szacunkowego.”.</w:t>
      </w:r>
      <w:bookmarkEnd w:id="48"/>
    </w:p>
    <w:p w14:paraId="2077EF98" w14:textId="77777777" w:rsidR="006945A0" w:rsidRPr="001355C5" w:rsidRDefault="006945A0" w:rsidP="008A1C13">
      <w:pPr>
        <w:pStyle w:val="NummerierungStufe1"/>
      </w:pPr>
      <w:r>
        <w:t>W § 6 dodaje się ust. 3-6 w brzmieniu:</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lastRenderedPageBreak/>
        <w:t>„(3)</w:t>
      </w:r>
      <w:r>
        <w:rPr>
          <w:color w:val="auto"/>
        </w:rPr>
        <w:tab/>
        <w:t>W przypadku sprawozdań obejmujących okresy do dnia 31 grudnia 2021 r. włącznie zastosowanie ma § 2 ustawy z dnia 1 września 2017 r. o poprawie egzekwowania prawa w sieciach społecznościowych (Federalny Dziennik Ustaw I, s. 3352).</w:t>
      </w:r>
      <w:bookmarkEnd w:id="49"/>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t>(4)</w:t>
      </w:r>
      <w:r>
        <w:rPr>
          <w:color w:val="auto"/>
        </w:rPr>
        <w:tab/>
        <w:t>Sprawozdanie zgodnie z § 3 ust. 9 ma być początkowo przedłożone do dnia 31 lipca 2022 r.</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t>(5)</w:t>
      </w:r>
      <w:r>
        <w:rPr>
          <w:color w:val="auto"/>
        </w:rPr>
        <w:tab/>
        <w:t>W przypadku organów regulowanej samoregulacji, które zostały uznane już w dniu 28 czerwca 2021 r., § 3 ust. 6 pkt 3 stosuje się do końca 2022 r., zgodnie ze zmianami wprowadzonymi ustawą z dnia 1 września 2017 r. o poprawie egzekwowania prawa w sieciach społecznościowych (Federalny Dziennik Ustaw I, s. 3352).</w:t>
      </w:r>
      <w:bookmarkEnd w:id="50"/>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W przypadku usługodawców, którzy nie są dostawcami usług platform udostępniania wideo, § 3b ma zastosowanie dopiero od dnia 1 października 2021 r. W przypadku dostawców usług platform udostępniania wideo, § 3b stosuje się dopiero od dnia 1 października 2021 r. w odniesieniu do treści, które nie są filmami lub transmisjami generowanymi przez użytkowników”.</w:t>
      </w:r>
    </w:p>
    <w:p w14:paraId="2118C079" w14:textId="440D3807" w:rsidR="00455A86" w:rsidRPr="001355C5" w:rsidRDefault="00B61AA0" w:rsidP="00B61AA0">
      <w:pPr>
        <w:pStyle w:val="ArtikelBezeichner"/>
        <w:numPr>
          <w:ilvl w:val="0"/>
          <w:numId w:val="0"/>
        </w:numPr>
      </w:pPr>
      <w:r>
        <w:t>Artykuł 2</w:t>
      </w:r>
    </w:p>
    <w:p w14:paraId="4D9CB7F9" w14:textId="77777777" w:rsidR="00455A86" w:rsidRPr="001355C5" w:rsidRDefault="00455A86" w:rsidP="00455A86">
      <w:pPr>
        <w:pStyle w:val="Artikelberschrift"/>
      </w:pPr>
      <w:r>
        <w:t>Z</w:t>
      </w:r>
      <w:bookmarkStart w:id="51" w:name="eNV_75EECEE39F6042299F02C89BB83ABA93_1"/>
      <w:bookmarkEnd w:id="51"/>
      <w:r>
        <w:t>miana ustawy o telemediach</w:t>
      </w:r>
    </w:p>
    <w:p w14:paraId="104AB961" w14:textId="56887D9A" w:rsidR="00455A86" w:rsidRPr="001355C5" w:rsidRDefault="00AC2CB9" w:rsidP="00FA30F0">
      <w:pPr>
        <w:pStyle w:val="JuristischerAbsatznichtnummeriert"/>
      </w:pPr>
      <w:r>
        <w:t>W § 14 ustawy z dnia 26 lutego 2007 r. o rejestracji osób (Federalny Dziennik Ustaw I, s. 179), ostatnio zmienionej art. 12 ustawy z dnia 30 marca 2021 r. (Federalny Dziennik Ustaw I, s. 448, 1380), wprowadza się następujące zmiany:</w:t>
      </w:r>
    </w:p>
    <w:p w14:paraId="1DB683A0" w14:textId="77777777" w:rsidR="00FF2EC1" w:rsidRPr="001355C5" w:rsidRDefault="00FF2EC1" w:rsidP="00FF2EC1">
      <w:pPr>
        <w:pStyle w:val="NummerierungStufe1"/>
      </w:pPr>
      <w:r>
        <w:t>W ust. 3 dodaje się zdanie w brzmieniu:</w:t>
      </w:r>
    </w:p>
    <w:p w14:paraId="7DE44C3D" w14:textId="77777777" w:rsidR="00FF2EC1" w:rsidRPr="001355C5" w:rsidRDefault="00FF2EC1" w:rsidP="00065020">
      <w:pPr>
        <w:pStyle w:val="RevisionJuristischerAbsatzFolgeabsatz"/>
        <w:ind w:left="425"/>
        <w:rPr>
          <w:color w:val="auto"/>
        </w:rPr>
      </w:pPr>
      <w:r>
        <w:rPr>
          <w:color w:val="auto"/>
        </w:rPr>
        <w:t>„W tym zakresie jest zobowiązany do udzielenia informacji stronie poszkodowanej”.</w:t>
      </w:r>
    </w:p>
    <w:p w14:paraId="3A4DCC6D" w14:textId="77777777" w:rsidR="00FF2EC1" w:rsidRPr="001355C5" w:rsidRDefault="00FF2EC1" w:rsidP="005D706D">
      <w:pPr>
        <w:pStyle w:val="NummerierungStufe1"/>
      </w:pPr>
      <w:r>
        <w:t>Po ust. 4 zdanie pierwsze dodaje się zdanie w brzmieniu:</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Sąd rozstrzyga również o obowiązku udzielenia informacji, chyba że wniosek jest wyraźnie ograniczony do nakazania dopuszczalności informacji</w:t>
      </w:r>
      <w:r>
        <w:rPr>
          <w:rStyle w:val="RevisionText"/>
          <w:color w:val="auto"/>
        </w:rPr>
        <w:t>”</w:t>
      </w:r>
    </w:p>
    <w:p w14:paraId="3490D74B" w14:textId="1817ADD9" w:rsidR="008157F4" w:rsidRDefault="00B61AA0" w:rsidP="00B61AA0">
      <w:pPr>
        <w:pStyle w:val="ArtikelBezeichner"/>
        <w:numPr>
          <w:ilvl w:val="0"/>
          <w:numId w:val="0"/>
        </w:numPr>
      </w:pPr>
      <w:r>
        <w:t>Artykuł 3</w:t>
      </w:r>
    </w:p>
    <w:p w14:paraId="33A01610" w14:textId="77777777" w:rsidR="008157F4" w:rsidRDefault="008157F4" w:rsidP="008157F4">
      <w:pPr>
        <w:pStyle w:val="Artikelberschrift"/>
      </w:pPr>
      <w:r>
        <w:t>Zmiany ustawy o zwalczaniu ekstremizmu prawicowego i przestępstw z nienawiści</w:t>
      </w:r>
    </w:p>
    <w:p w14:paraId="1F7B3809" w14:textId="77777777" w:rsidR="008157F4" w:rsidRDefault="008157F4" w:rsidP="008157F4">
      <w:pPr>
        <w:pStyle w:val="JuristischerAbsatznichtnummeriert"/>
      </w:pPr>
      <w:r>
        <w:t>Uchyla się art. 7 ust. 1 lit. b) i ust. 2 ustawy z dnia 30 marca 2021 r. o zwalczaniu ekstremizmu prawicowego i przestępstw z nienawiści (Federalny Dziennik Ustaw I, s. 441), zmieniony art. 15 ustawy z dnia 30 marca 2021 r. (Federalny Dziennik Ustaw I, s. 448).</w:t>
      </w:r>
    </w:p>
    <w:p w14:paraId="55216B0A" w14:textId="14079E9E" w:rsidR="006945A0" w:rsidRPr="006945A0" w:rsidRDefault="00B61AA0" w:rsidP="00B61AA0">
      <w:pPr>
        <w:pStyle w:val="ArtikelBezeichner"/>
        <w:numPr>
          <w:ilvl w:val="0"/>
          <w:numId w:val="0"/>
        </w:numPr>
      </w:pPr>
      <w:r>
        <w:lastRenderedPageBreak/>
        <w:t>Artykuł 4</w:t>
      </w:r>
    </w:p>
    <w:p w14:paraId="7E143A31" w14:textId="77777777" w:rsidR="006945A0" w:rsidRPr="006945A0" w:rsidRDefault="006945A0" w:rsidP="008A1C13">
      <w:pPr>
        <w:pStyle w:val="Artikelberschrift"/>
      </w:pPr>
      <w:r>
        <w:t>Wejście w życie</w:t>
      </w:r>
    </w:p>
    <w:p w14:paraId="690968A7" w14:textId="29B2BF15" w:rsidR="006945A0" w:rsidRDefault="00065020" w:rsidP="0040116B">
      <w:pPr>
        <w:pStyle w:val="JuristischerAbsatznummeriert"/>
      </w:pPr>
      <w:r>
        <w:t>Niniejsza ustawa wchodzi w życie z dniem 28 czerwca 2021 r., z zastrzeżeniem ust. 2 i 3.</w:t>
      </w:r>
    </w:p>
    <w:p w14:paraId="2900BC71" w14:textId="228CA322" w:rsidR="008157F4" w:rsidRPr="006945A0" w:rsidRDefault="00065020" w:rsidP="0040116B">
      <w:pPr>
        <w:pStyle w:val="JuristischerAbsatznummeriert"/>
      </w:pPr>
      <w:r>
        <w:t>W art. 1 ust. 3 lit. bb) litera bb, § 3 ust. 2 pkt 5 ustawy o poprawie egzekwowania prawa w sieciach społecznościowych wchodzi w życie z dniem 1 października 2021 r.</w:t>
      </w:r>
    </w:p>
    <w:p w14:paraId="1C49F280" w14:textId="77777777" w:rsidR="006945A0" w:rsidRPr="006945A0" w:rsidRDefault="006945A0" w:rsidP="0040116B">
      <w:pPr>
        <w:pStyle w:val="JuristischerAbsatznummeriert"/>
      </w:pPr>
      <w:r>
        <w:t>Z dniem 1 lutego 2022 r. wchodzi w życie:</w:t>
      </w:r>
    </w:p>
    <w:p w14:paraId="5BE8DBDC" w14:textId="77777777" w:rsidR="006945A0" w:rsidRDefault="00065020" w:rsidP="0040116B">
      <w:pPr>
        <w:pStyle w:val="NummerierungStufe1"/>
      </w:pPr>
      <w:r>
        <w:t>Artykuł 1 ust. 4,</w:t>
      </w:r>
    </w:p>
    <w:p w14:paraId="0F476C14" w14:textId="77777777" w:rsidR="00065020" w:rsidRPr="006945A0" w:rsidRDefault="00065020" w:rsidP="0040116B">
      <w:pPr>
        <w:pStyle w:val="NummerierungStufe1"/>
      </w:pPr>
      <w:r>
        <w:t>art. 1 ust. 6 lit. a), lit. cc) i dd) oraz lit. b), oraz</w:t>
      </w:r>
    </w:p>
    <w:p w14:paraId="1354F279" w14:textId="496FF371" w:rsidR="006945A0" w:rsidRDefault="00065020" w:rsidP="008A1C13">
      <w:pPr>
        <w:pStyle w:val="NummerierungStufe1"/>
      </w:pPr>
      <w:r>
        <w:t>art. 1 ust. 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Prawa Bundesratu wynikające z konstytucji zostają zachowane.</w:t>
      </w:r>
    </w:p>
    <w:p w14:paraId="6630C8D5" w14:textId="21074584" w:rsidR="00524B83" w:rsidRPr="00524B83" w:rsidRDefault="00524B83" w:rsidP="00524B83">
      <w:pPr>
        <w:pStyle w:val="JuristischerAbsatzFolgeabsatz"/>
      </w:pPr>
      <w:r>
        <w:t>Ustawa, o której mowa powyżej, zostaje wykonana. Jest ona publikowana w Federalnym Dzienniku Ustaw.</w:t>
      </w:r>
    </w:p>
    <w:p w14:paraId="789581D2" w14:textId="77777777" w:rsidR="00524B83" w:rsidRPr="00B61AA0" w:rsidRDefault="00524B83" w:rsidP="00524B83">
      <w:pPr>
        <w:pStyle w:val="JuristischerAbsatzFolgeabsatz"/>
      </w:pPr>
      <w:r>
        <w:t>Berlin, 03 czerwca 2021 r.</w:t>
      </w:r>
    </w:p>
    <w:p w14:paraId="1AA24B74" w14:textId="77777777" w:rsidR="00524B83" w:rsidRPr="00FD0887" w:rsidRDefault="00524B83" w:rsidP="00524B83">
      <w:pPr>
        <w:pStyle w:val="JuristischerAbsatzFolgeabsatz"/>
        <w:jc w:val="center"/>
        <w:rPr>
          <w:spacing w:val="50"/>
        </w:rPr>
      </w:pPr>
      <w:r w:rsidRPr="00FD0887">
        <w:rPr>
          <w:spacing w:val="50"/>
        </w:rPr>
        <w:t>Prezydent federalny</w:t>
      </w:r>
    </w:p>
    <w:p w14:paraId="5F3565D9" w14:textId="77777777" w:rsidR="00524B83" w:rsidRPr="00FD0887" w:rsidRDefault="00524B83" w:rsidP="00524B83">
      <w:pPr>
        <w:pStyle w:val="JuristischerAbsatzFolgeabsatz"/>
        <w:jc w:val="center"/>
        <w:rPr>
          <w:spacing w:val="50"/>
        </w:rPr>
      </w:pPr>
      <w:r w:rsidRPr="00FD0887">
        <w:rPr>
          <w:spacing w:val="50"/>
        </w:rPr>
        <w:t>Steinmeier</w:t>
      </w:r>
    </w:p>
    <w:p w14:paraId="1E912554" w14:textId="77777777" w:rsidR="00524B83" w:rsidRPr="00FD0887" w:rsidRDefault="00524B83" w:rsidP="00524B83">
      <w:pPr>
        <w:pStyle w:val="JuristischerAbsatzFolgeabsatz"/>
        <w:jc w:val="center"/>
        <w:rPr>
          <w:spacing w:val="50"/>
        </w:rPr>
      </w:pPr>
      <w:r w:rsidRPr="00FD0887">
        <w:rPr>
          <w:spacing w:val="50"/>
        </w:rPr>
        <w:t>Kanclerz federalny</w:t>
      </w:r>
    </w:p>
    <w:p w14:paraId="4151C5C8" w14:textId="77777777" w:rsidR="00524B83" w:rsidRPr="00FD0887" w:rsidRDefault="00524B83" w:rsidP="00524B83">
      <w:pPr>
        <w:pStyle w:val="JuristischerAbsatzFolgeabsatz"/>
        <w:jc w:val="center"/>
        <w:rPr>
          <w:spacing w:val="50"/>
        </w:rPr>
      </w:pPr>
      <w:r w:rsidRPr="00FD0887">
        <w:rPr>
          <w:spacing w:val="50"/>
        </w:rPr>
        <w:t>Dr Angela Merkel</w:t>
      </w:r>
    </w:p>
    <w:p w14:paraId="791D6152" w14:textId="77777777" w:rsidR="00524B83" w:rsidRPr="00FD0887" w:rsidRDefault="00524B83" w:rsidP="00524B83">
      <w:pPr>
        <w:pStyle w:val="JuristischerAbsatzFolgeabsatz"/>
        <w:jc w:val="center"/>
        <w:rPr>
          <w:spacing w:val="50"/>
        </w:rPr>
      </w:pPr>
      <w:r w:rsidRPr="00FD0887">
        <w:rPr>
          <w:spacing w:val="50"/>
        </w:rPr>
        <w:t>Minister Federalny</w:t>
      </w:r>
    </w:p>
    <w:p w14:paraId="772B748E" w14:textId="77777777" w:rsidR="00524B83" w:rsidRPr="00FD0887" w:rsidRDefault="00524B83" w:rsidP="00524B83">
      <w:pPr>
        <w:pStyle w:val="JuristischerAbsatzFolgeabsatz"/>
        <w:jc w:val="center"/>
        <w:rPr>
          <w:spacing w:val="50"/>
        </w:rPr>
      </w:pPr>
      <w:r w:rsidRPr="00FD0887">
        <w:rPr>
          <w:spacing w:val="50"/>
        </w:rPr>
        <w:t>Sprawiedliwości i Ochrony Konsumentów</w:t>
      </w:r>
    </w:p>
    <w:p w14:paraId="4D3A1799" w14:textId="59236FD5" w:rsidR="00524B83" w:rsidRPr="00FD0887" w:rsidRDefault="00524B83" w:rsidP="00524B83">
      <w:pPr>
        <w:pStyle w:val="JuristischerAbsatzFolgeabsatz"/>
        <w:jc w:val="center"/>
        <w:rPr>
          <w:spacing w:val="50"/>
        </w:rPr>
      </w:pPr>
      <w:r w:rsidRPr="00FD0887">
        <w:rPr>
          <w:spacing w:val="50"/>
        </w:rPr>
        <w:t>Christine Lambrecht</w:t>
      </w:r>
    </w:p>
    <w:sectPr w:rsidR="00524B83" w:rsidRPr="00FD0887"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1E465" w14:textId="77777777" w:rsidR="009D2223" w:rsidRDefault="009D2223" w:rsidP="005D1540">
      <w:pPr>
        <w:spacing w:before="0" w:after="0"/>
      </w:pPr>
      <w:r>
        <w:separator/>
      </w:r>
    </w:p>
  </w:endnote>
  <w:endnote w:type="continuationSeparator" w:id="0">
    <w:p w14:paraId="39FB93B1" w14:textId="77777777" w:rsidR="009D2223" w:rsidRDefault="009D2223"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27EE" w14:textId="77777777" w:rsidR="009D2223" w:rsidRDefault="009D2223" w:rsidP="005D1540">
      <w:pPr>
        <w:spacing w:before="0" w:after="0"/>
      </w:pPr>
      <w:r>
        <w:separator/>
      </w:r>
    </w:p>
  </w:footnote>
  <w:footnote w:type="continuationSeparator" w:id="0">
    <w:p w14:paraId="5D9E777E" w14:textId="77777777" w:rsidR="009D2223" w:rsidRDefault="009D2223"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Ustawa ta służy wdrożeniu dyrektywy Parlamentu Europejskiego i Rady (UE) 2018/1808 z dnia 14 listopada 2018 r. zmieniającej dyrektywę 2010/13/UE w sprawie koordynacji niektórych przepisów ustawowych, wykonawczych i administracyjnych państw członkowskich dotyczących świadczenia audiowizualnych usług medialnych (dyrektywa o audiowizualnych usługach medialnych) ze względu na zmianę sytuacji na rynku (Dz.U. L 303 z 28.11.2018, s. 69).</w:t>
      </w:r>
    </w:p>
  </w:footnote>
  <w:footnote w:id="2">
    <w:p w14:paraId="50BC2B1B" w14:textId="77777777" w:rsidR="00861858" w:rsidRDefault="00861858">
      <w:pPr>
        <w:pStyle w:val="Fotnotstext"/>
      </w:pPr>
      <w:r>
        <w:rPr>
          <w:rStyle w:val="Fotnotsreferens"/>
        </w:rPr>
        <w:footnoteRef/>
      </w:r>
      <w:r>
        <w:tab/>
      </w:r>
      <w:r>
        <w:t xml:space="preserve">Notyfikowano </w:t>
      </w:r>
      <w:r>
        <w:t>zgodnie z dyrektywą (UE) 2015/1535 Parlamentu Europejskiego i Rady z dnia 9 września 2015 r. ustanawiającą procedurę udzielania informacji w dziedzinie przepisów technicznych oraz zasad dotyczących usług społeczeństwa informacyjnego (Dz.U. L 241 z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Ostatnia aktualizacja: 17 czerwca 2021 r. o godz.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Wersja: 17 czerwca 2021 r. o godz.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D2223"/>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0887"/>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4</TotalTime>
  <Pages>14</Pages>
  <Words>5520</Words>
  <Characters>29262</Characters>
  <Application>Microsoft Office Word</Application>
  <DocSecurity>0</DocSecurity>
  <Lines>243</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12</cp:revision>
  <cp:lastPrinted>2021-01-19T16:21:00Z</cp:lastPrinted>
  <dcterms:created xsi:type="dcterms:W3CDTF">2021-06-14T09:43:00Z</dcterms:created>
  <dcterms:modified xsi:type="dcterms:W3CDTF">2022-01-03T20:59:00Z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