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C928F9" w:rsidRDefault="001B58A4" w:rsidP="001B58A4">
      <w:pPr>
        <w:autoSpaceDE w:val="0"/>
        <w:autoSpaceDN w:val="0"/>
        <w:adjustRightInd w:val="0"/>
        <w:spacing w:line="360" w:lineRule="auto"/>
        <w:jc w:val="center"/>
        <w:rPr>
          <w:sz w:val="20"/>
          <w:rFonts w:ascii="Courier New" w:eastAsia="Times New Roman"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0346 F-- SL-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327313" w:rsidTr="00014AE2">
        <w:trPr>
          <w:cantSplit/>
        </w:trPr>
        <w:tc>
          <w:tcPr>
            <w:tcW w:w="3982" w:type="dxa"/>
            <w:gridSpan w:val="3"/>
            <w:hideMark/>
          </w:tcPr>
          <w:p w:rsidR="00014AE2" w:rsidRPr="00327313" w:rsidRDefault="00014AE2">
            <w:pPr>
              <w:pStyle w:val="SNREPUBLIQUE"/>
            </w:pPr>
            <w:r>
              <w:t xml:space="preserve">FRANCOSKA REPUBLIKA</w:t>
            </w:r>
          </w:p>
        </w:tc>
      </w:tr>
      <w:tr w:rsidR="00014AE2" w:rsidRPr="00327313" w:rsidTr="00014AE2">
        <w:trPr>
          <w:cantSplit/>
          <w:trHeight w:hRule="exact" w:val="113"/>
        </w:trPr>
        <w:tc>
          <w:tcPr>
            <w:tcW w:w="1527" w:type="dxa"/>
          </w:tcPr>
          <w:p w:rsidR="00014AE2" w:rsidRPr="00327313" w:rsidRDefault="00014AE2">
            <w:pPr>
              <w:snapToGrid w:val="0"/>
              <w:rPr>
                <w:rFonts w:cs="Tahoma"/>
              </w:rPr>
            </w:pPr>
          </w:p>
        </w:tc>
        <w:tc>
          <w:tcPr>
            <w:tcW w:w="968" w:type="dxa"/>
            <w:tcBorders>
              <w:top w:val="nil"/>
              <w:left w:val="nil"/>
              <w:bottom w:val="single" w:sz="2" w:space="0" w:color="000000"/>
              <w:right w:val="nil"/>
            </w:tcBorders>
          </w:tcPr>
          <w:p w:rsidR="00014AE2" w:rsidRPr="00327313" w:rsidRDefault="00014AE2">
            <w:pPr>
              <w:snapToGrid w:val="0"/>
              <w:rPr>
                <w:rFonts w:cs="Tahoma"/>
              </w:rPr>
            </w:pPr>
          </w:p>
        </w:tc>
        <w:tc>
          <w:tcPr>
            <w:tcW w:w="1487" w:type="dxa"/>
          </w:tcPr>
          <w:p w:rsidR="00014AE2" w:rsidRPr="00327313" w:rsidRDefault="00014AE2">
            <w:pPr>
              <w:snapToGrid w:val="0"/>
              <w:rPr>
                <w:rFonts w:cs="Tahoma"/>
              </w:rPr>
            </w:pPr>
          </w:p>
        </w:tc>
      </w:tr>
      <w:tr w:rsidR="00014AE2" w:rsidRPr="00327313" w:rsidTr="00014AE2">
        <w:trPr>
          <w:cantSplit/>
        </w:trPr>
        <w:tc>
          <w:tcPr>
            <w:tcW w:w="3982" w:type="dxa"/>
            <w:gridSpan w:val="3"/>
            <w:hideMark/>
          </w:tcPr>
          <w:p w:rsidR="00014AE2" w:rsidRPr="00327313" w:rsidRDefault="00014AE2">
            <w:pPr>
              <w:pStyle w:val="SNTimbre"/>
            </w:pPr>
            <w:r>
              <w:t xml:space="preserve">Ministrstvo za ekološko in solidarnostno preoblikovanje</w:t>
            </w: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Borders>
              <w:top w:val="nil"/>
              <w:left w:val="nil"/>
              <w:bottom w:val="single" w:sz="2" w:space="0" w:color="000000"/>
              <w:right w:val="nil"/>
            </w:tcBorders>
          </w:tcPr>
          <w:p w:rsidR="00014AE2" w:rsidRPr="00327313" w:rsidRDefault="00014AE2">
            <w:pPr>
              <w:snapToGrid w:val="0"/>
            </w:pPr>
          </w:p>
        </w:tc>
        <w:tc>
          <w:tcPr>
            <w:tcW w:w="1487" w:type="dxa"/>
          </w:tcPr>
          <w:p w:rsidR="00014AE2" w:rsidRPr="00327313" w:rsidRDefault="00014AE2">
            <w:pPr>
              <w:snapToGrid w:val="0"/>
            </w:pP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Pr>
          <w:p w:rsidR="00014AE2" w:rsidRPr="00327313" w:rsidRDefault="00014AE2">
            <w:pPr>
              <w:snapToGrid w:val="0"/>
            </w:pPr>
          </w:p>
        </w:tc>
        <w:tc>
          <w:tcPr>
            <w:tcW w:w="1487" w:type="dxa"/>
          </w:tcPr>
          <w:p w:rsidR="00014AE2" w:rsidRPr="00327313" w:rsidRDefault="00014AE2">
            <w:pPr>
              <w:snapToGrid w:val="0"/>
            </w:pPr>
          </w:p>
        </w:tc>
      </w:tr>
    </w:tbl>
    <w:p w:rsidR="000908EA" w:rsidRPr="00327313" w:rsidRDefault="000908EA">
      <w:pPr>
        <w:rPr>
          <w:rFonts w:ascii="Liberration sans" w:hAnsi="Liberration sans" w:hint="eastAsia"/>
          <w:sz w:val="24"/>
          <w:szCs w:val="24"/>
        </w:rPr>
      </w:pPr>
    </w:p>
    <w:p w:rsidR="00014AE2" w:rsidRPr="00327313" w:rsidRDefault="00014AE2" w:rsidP="00014AE2">
      <w:pPr>
        <w:pStyle w:val="SNNature"/>
      </w:pPr>
      <w:r>
        <w:t xml:space="preserve">Uredba št. […] z dne […]</w:t>
      </w:r>
    </w:p>
    <w:p w:rsidR="000908EA" w:rsidRPr="00327313" w:rsidRDefault="00014AE2" w:rsidP="000908EA">
      <w:pPr>
        <w:spacing w:after="0" w:line="240" w:lineRule="auto"/>
        <w:jc w:val="center"/>
        <w:rPr>
          <w:b/>
          <w:sz w:val="24"/>
          <w:szCs w:val="24"/>
          <w:rFonts w:ascii="Liberration sans" w:hAnsi="Liberration sans" w:hint="eastAsia"/>
        </w:rPr>
      </w:pPr>
      <w:r>
        <w:rPr>
          <w:b/>
          <w:sz w:val="24"/>
          <w:szCs w:val="24"/>
          <w:rFonts w:ascii="Liberration sans" w:hAnsi="Liberration sans"/>
        </w:rPr>
        <w:t xml:space="preserve">o prepovedi določenih plastičnih proizvodov za enkratno uporabo</w:t>
      </w:r>
    </w:p>
    <w:p w:rsidR="000908EA" w:rsidRPr="00327313" w:rsidRDefault="000908EA" w:rsidP="000908EA">
      <w:pPr>
        <w:spacing w:after="0" w:line="240" w:lineRule="auto"/>
        <w:jc w:val="center"/>
        <w:rPr>
          <w:rFonts w:ascii="Liberration sans" w:hAnsi="Liberration sans" w:hint="eastAsia"/>
          <w:sz w:val="24"/>
          <w:szCs w:val="24"/>
        </w:rPr>
      </w:pPr>
    </w:p>
    <w:p w:rsidR="00014AE2" w:rsidRPr="00327313" w:rsidRDefault="00014AE2" w:rsidP="000908EA">
      <w:pPr>
        <w:spacing w:after="0" w:line="240" w:lineRule="auto"/>
        <w:jc w:val="center"/>
        <w:rPr>
          <w:rFonts w:ascii="Liberration sans" w:hAnsi="Liberration sans" w:hint="eastAsia"/>
          <w:sz w:val="24"/>
          <w:szCs w:val="24"/>
        </w:rPr>
      </w:pPr>
    </w:p>
    <w:p w:rsidR="000908EA" w:rsidRPr="00327313" w:rsidRDefault="000908EA" w:rsidP="000908EA">
      <w:pPr>
        <w:spacing w:after="0" w:line="240" w:lineRule="auto"/>
        <w:jc w:val="center"/>
        <w:rPr>
          <w:sz w:val="24"/>
          <w:szCs w:val="24"/>
          <w:rFonts w:ascii="Liberration sans" w:hAnsi="Liberration sans" w:hint="eastAsia"/>
        </w:rPr>
      </w:pPr>
      <w:r>
        <w:rPr>
          <w:sz w:val="24"/>
          <w:szCs w:val="24"/>
          <w:rFonts w:ascii="Liberration sans" w:hAnsi="Liberration sans"/>
        </w:rPr>
        <w:t xml:space="preserve">NOR:</w:t>
      </w:r>
      <w:r>
        <w:rPr>
          <w:sz w:val="24"/>
          <w:szCs w:val="24"/>
          <w:rFonts w:ascii="Liberration sans" w:hAnsi="Liberration sans"/>
        </w:rPr>
        <w:t xml:space="preserve"> </w:t>
      </w:r>
      <w:r>
        <w:rPr>
          <w:sz w:val="24"/>
          <w:szCs w:val="24"/>
          <w:rFonts w:ascii="Liberration sans" w:hAnsi="Liberration sans"/>
        </w:rPr>
        <w:t xml:space="preserve">[…]</w:t>
      </w:r>
    </w:p>
    <w:p w:rsidR="000908EA" w:rsidRPr="00327313" w:rsidRDefault="000908EA" w:rsidP="000908EA">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i/>
          <w:sz w:val="24"/>
          <w:szCs w:val="24"/>
          <w:rFonts w:ascii="Liberration sans" w:hAnsi="Liberration sans" w:hint="eastAsia"/>
        </w:rPr>
      </w:pPr>
      <w:r>
        <w:rPr>
          <w:i/>
          <w:sz w:val="24"/>
          <w:szCs w:val="24"/>
          <w:b/>
          <w:rFonts w:ascii="Liberration sans" w:hAnsi="Liberration sans"/>
        </w:rPr>
        <w:t xml:space="preserve">Ciljna javnost: </w:t>
      </w:r>
      <w:r>
        <w:rPr>
          <w:i/>
          <w:sz w:val="24"/>
          <w:szCs w:val="24"/>
          <w:rFonts w:ascii="Liberration sans" w:hAnsi="Liberration sans"/>
        </w:rPr>
        <w:t xml:space="preserve">fizične ali pravne osebe, ki v okviru svoje gospodarske dejavnosti dobavljajo, uporabljajo, distribuirajo oziroma odplačno ali brezplačno dajejo na razpolago določene plastične proizvode za enkratno uporabo.</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i/>
          <w:sz w:val="24"/>
          <w:szCs w:val="24"/>
          <w:rFonts w:ascii="Liberration sans" w:hAnsi="Liberration sans" w:hint="eastAsia"/>
        </w:rPr>
      </w:pPr>
      <w:r>
        <w:rPr>
          <w:i/>
          <w:sz w:val="24"/>
          <w:szCs w:val="24"/>
          <w:b/>
          <w:rFonts w:ascii="Liberration sans" w:hAnsi="Liberration sans"/>
        </w:rPr>
        <w:t xml:space="preserve">Predmet:</w:t>
      </w:r>
      <w:r>
        <w:rPr>
          <w:i/>
          <w:sz w:val="24"/>
          <w:szCs w:val="24"/>
          <w:rFonts w:ascii="Liberration sans" w:hAnsi="Liberration sans"/>
        </w:rPr>
        <w:t xml:space="preserve"> pogoji za uporabo prepovedi dajanja določenih plastičnih proizvodov za enkratno uporabo na razpolago.</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i/>
          <w:sz w:val="24"/>
          <w:szCs w:val="24"/>
          <w:b/>
          <w:rFonts w:ascii="Liberration sans" w:hAnsi="Liberration sans"/>
        </w:rPr>
        <w:t xml:space="preserve">Začetek veljavnosti:</w:t>
      </w:r>
      <w:r>
        <w:rPr>
          <w:i/>
          <w:sz w:val="24"/>
          <w:szCs w:val="24"/>
          <w:rFonts w:ascii="Liberration sans" w:hAnsi="Liberration sans"/>
        </w:rPr>
        <w:t xml:space="preserve"> </w:t>
      </w:r>
      <w:r>
        <w:rPr>
          <w:i/>
          <w:sz w:val="24"/>
          <w:szCs w:val="24"/>
          <w:rFonts w:ascii="Liberration sans" w:hAnsi="Liberration sans"/>
        </w:rPr>
        <w:t xml:space="preserve">Določbe te uredbe začnejo veljati 1. januarja 2020, razen določb iz člena 3, ki bodo predvidoma začele veljati 3. julija 2021.</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i/>
          <w:sz w:val="24"/>
          <w:szCs w:val="24"/>
          <w:rFonts w:ascii="Liberration sans" w:hAnsi="Liberration sans" w:hint="eastAsia"/>
        </w:rPr>
      </w:pPr>
      <w:r>
        <w:rPr>
          <w:i/>
          <w:sz w:val="24"/>
          <w:szCs w:val="24"/>
          <w:b/>
          <w:rFonts w:ascii="Liberration sans" w:hAnsi="Liberration sans"/>
        </w:rPr>
        <w:t xml:space="preserve">Obvestilo:</w:t>
      </w:r>
      <w:r>
        <w:rPr>
          <w:i/>
          <w:sz w:val="24"/>
          <w:szCs w:val="24"/>
          <w:rFonts w:ascii="Liberration sans" w:hAnsi="Liberration sans"/>
        </w:rPr>
        <w:t xml:space="preserve"> v uredbi so opredeljeni pogoji za uporabo zakonskih določb Okoljskega zakonika o prepovedi dajanja določenih plastičnih proizvodov za enkratno uporabo na razpolago po 1. januarju 2020.</w:t>
      </w:r>
      <w:r>
        <w:rPr>
          <w:i/>
          <w:sz w:val="24"/>
          <w:szCs w:val="24"/>
          <w:rFonts w:ascii="Liberration sans" w:hAnsi="Liberration sans"/>
        </w:rPr>
        <w:t xml:space="preserve"> </w:t>
      </w:r>
      <w:r>
        <w:rPr>
          <w:i/>
          <w:sz w:val="24"/>
          <w:szCs w:val="24"/>
          <w:rFonts w:ascii="Liberration sans" w:hAnsi="Liberration sans"/>
        </w:rPr>
        <w:t xml:space="preserve">V okviru tega so v uredbi opredeljeni pogoji za uporabo odstavka III člena L. 541-10-5 Okoljskega zakonika.</w:t>
      </w:r>
      <w:r>
        <w:rPr>
          <w:i/>
          <w:sz w:val="24"/>
          <w:szCs w:val="24"/>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i/>
          <w:sz w:val="24"/>
          <w:szCs w:val="24"/>
          <w:b/>
          <w:rFonts w:ascii="Liberration sans" w:hAnsi="Liberration sans"/>
        </w:rPr>
        <w:t xml:space="preserve">Referenčna besedila:</w:t>
      </w:r>
      <w:r>
        <w:rPr>
          <w:i/>
          <w:sz w:val="24"/>
          <w:szCs w:val="24"/>
          <w:rFonts w:ascii="Liberration sans" w:hAnsi="Liberration sans"/>
        </w:rPr>
        <w:t xml:space="preserve"> uredba se sprejme za izvajanje prvega pododstavka odstavka III člena L. 541-10-5 Okoljskega zakonika, ki je bil uveden s členom 73 Zakona št. 2015-992 z dne 17. avgusta 2015 o prehodu na druge vire energije za zeleno rast in spremenjen s členom 28 ZAKONA št. 2018-938 z dne 30. oktobra 2018 o ravnovesju poslovnih odnosov v kmetijskem in živilskem sektorju ter oskrbi z zdravo, trajnostno in vsem dostopno hrano.</w:t>
      </w: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b/>
          <w:sz w:val="24"/>
          <w:szCs w:val="24"/>
          <w:rFonts w:ascii="Liberration sans" w:hAnsi="Liberration sans" w:hint="eastAsia"/>
        </w:rPr>
      </w:pPr>
      <w:r>
        <w:rPr>
          <w:b/>
          <w:sz w:val="24"/>
          <w:szCs w:val="24"/>
          <w:rFonts w:ascii="Liberration sans" w:hAnsi="Liberration sans"/>
        </w:rPr>
        <w:t xml:space="preserve">Predsednik vlade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poročila ministra za ekološko in solidarnostno preoblikovanje ter ministra za gospodarstvo in finance;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Direktive Evropskega parlamenta in Sveta 94/62/ES z dne 20. decembra 1994 o embalaži in odpadni embalaži, kakor je bila spremenjena zlasti z Direktivo 2004/12/ES Evropskega parlamenta in Sveta z dne 11. februarja 2004;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Direktive (EU) 2015/1535 Evropskega parlamenta in Sveta z dne 9. septembra 2015 o določitvi postopka za zbiranje informacij na področju tehničnih predpisov in pravil za storitve informacijske družbe;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Direktive (EU) 2019/904 Evropskega parlamenta in Sveta o zmanjšanju vpliva nekaterih plastičnih proizvodov na okolje;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Direktive Sveta 90/385/EGS o približevanju zakonodaje držav članic o aktivnih medicinskih pripomočkih za vsaditev;</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Direktive Sveta 93/42/EGS o medicinskih pripomočkih;</w:t>
      </w:r>
    </w:p>
    <w:p w:rsidR="00937C42" w:rsidRPr="00327313" w:rsidRDefault="00937C42" w:rsidP="00937C42">
      <w:pPr>
        <w:spacing w:after="0" w:line="240" w:lineRule="auto"/>
        <w:jc w:val="both"/>
        <w:rPr>
          <w:rFonts w:ascii="Liberration sans" w:hAnsi="Liberration sans" w:hint="eastAsia"/>
          <w:sz w:val="24"/>
          <w:szCs w:val="24"/>
        </w:rPr>
      </w:pPr>
    </w:p>
    <w:p w:rsidR="00937C42" w:rsidRPr="001B58A4" w:rsidRDefault="00937C42" w:rsidP="00937C42">
      <w:pPr>
        <w:spacing w:after="0" w:line="240" w:lineRule="auto"/>
        <w:jc w:val="both"/>
        <w:rPr>
          <w:sz w:val="24"/>
          <w:szCs w:val="24"/>
          <w:rFonts w:ascii="Liberration sans" w:hAnsi="Liberration sans"/>
        </w:rPr>
      </w:pPr>
      <w:r>
        <w:rPr>
          <w:sz w:val="24"/>
          <w:szCs w:val="24"/>
          <w:rFonts w:ascii="Liberration sans" w:hAnsi="Liberration sans"/>
        </w:rPr>
        <w:t xml:space="preserve">ob upoštevanju Okoljskega zakonika, zlasti odstavka III člena L. 541-10-5, ki je bil uveden s členom 73 Zakona št. 2015-992 z dne 17. avgusta 2015 o prehodu na druge vire energije za zeleno rast in spremenjen s členom 28 Zakona št. 2018-938 z dne 30. oktobra 2018 o ravnovesju poslovnih odnosov v kmetijskem in živilskem sektorju ter oskrbi z zdravo, trajnostno in vsem dostopno hrano;</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pripomb, podanih med javnim posvetovanjem, ki je potekalo od […] 2019 do […] 2019, na podlagi člena L. 123-19-1 Okoljskega zakonika;</w:t>
      </w:r>
    </w:p>
    <w:p w:rsidR="00327313" w:rsidRPr="00327313" w:rsidRDefault="00327313"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ob upoštevanju uradnega obvestila št. […], naslovljenega dne […] na Evropsko komisijo –</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odreja:</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Člen 1</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sz w:val="24"/>
          <w:szCs w:val="24"/>
          <w:rFonts w:ascii="Liberration sans" w:hAnsi="Liberration sans" w:hint="eastAsia"/>
        </w:rPr>
      </w:pPr>
      <w:r>
        <w:rPr>
          <w:sz w:val="24"/>
          <w:szCs w:val="24"/>
          <w:rFonts w:ascii="Liberration sans" w:hAnsi="Liberration sans"/>
        </w:rPr>
        <w:t xml:space="preserve">Pododdelek 1 oddelka 21 poglavja III naslova IV zvezka V normativnega dela Okoljskega zakonika se nadomesti z naslednjimi določbami:</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„Pododdelek 1:</w:t>
      </w:r>
      <w:r>
        <w:rPr>
          <w:sz w:val="24"/>
          <w:szCs w:val="24"/>
          <w:rFonts w:ascii="Liberration sans" w:hAnsi="Liberration sans"/>
        </w:rPr>
        <w:t xml:space="preserve"> </w:t>
      </w:r>
      <w:r>
        <w:rPr>
          <w:sz w:val="24"/>
          <w:szCs w:val="24"/>
          <w:rFonts w:ascii="Liberration sans" w:hAnsi="Liberration sans"/>
        </w:rPr>
        <w:t xml:space="preserve">Splošne določbe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Člen D. 543-294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Za izvajanje odstavka III člena L. 541-10-5 in tega oddelka se uporabljajo naslednje opredelitve: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1. ‚plastika‘ pomeni material, ki vsebuje polimer, kot je opredeljen v členu 3(5) Uredbe (ES) št. 1907/2006, in so mu bili lahko dodani aditivi ali druge snovi ter se lahko uporabi kot glavna strukturna komponenta končnih proizvodov, razen naravnih polimerov, ki niso kemično modificirani;</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2. ‚plastični proizvod za enkratno uporabo‘ pomeni proizvod, ki je v celoti ali delno izdelan iz plastike ter ni zasnovan, oblikovan ali dan na trg, da bi v svoji življenjski dobi opravil več poti ali kroženj, tako da bi se vrnil proizvajalcu za ponovno polnjenje ali ponovno uporabo za isti namen, za katerega je bil zasnovan;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3. ‚proizvajalec‘ pomeni vsako fizično ali pravno osebo, ki profesionalno proizvaja, polni, prodaja ali uvaža plastične proizvode za enkratno uporabo in polnjene plastične proizvode za enkratno uporabo, in sicer ne glede na način prodaje, vključno s pogodbami na daljavo;</w:t>
      </w:r>
      <w:r>
        <w:rPr>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4. ‚dajanje na razpolago‘ pomeni zagotavljanje določenega proizvoda za distribucijo, potrošnjo ali uporabo na nacionalnem ozemlju v okviru gospodarske dejavnosti, bodisi za plačilo ali brezplačno;</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5. ‚dajanje na trg‘ pomeni prvo dajanje na razpolago na nacionalnem ozemlju;</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6. ‚embalaža‘ pomeni proizvode iz Direktive Evropskega parlamenta in Sveta 94/62/ES z dne 20. decembra 1994 o embalaži in odpadni embalaži;</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7. ‚lončki in kozarci‘ pomenijo lončke in kozarce, v celoti izdelane iz plastike;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8. ‚namizni kuhinjski krožniki za enkratno uporabo‘ pomenijo krožnike, ki so v celoti izdelani iz plastike;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9. ‚jedilni pribor‘ pomeni vilice, nože, žlice in palčke, navedene v delu B Priloge k Direktivi (EU) 2019/904, razen tistih, ki se uporabljajo v zaporih, zdravstvenih ustanovah ter v letalskem, železniškem in pomorskem prometu;</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10. ‚pladnji za hrano, lončki za sladoled, solatni krožniki in posoda‘ pomenijo posodo za živila, opredeljeno v delu A Priloge k Direktivi (EU) 2019/904 in v celoti izdelano iz plastike, ki se uporablja za shranjevanje živil, ki so namenjena za takojšnje zaužitje iz posode na kraju samem ali ki jih potrošniki odnesejo s seboj, se običajno zaužijejo iz posode ter se zaužijejo brez nadaljnje priprave, kot je kuhanje, vrenje ali segrevanje;</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11. ‚slamice‘ pomenijo slamice, ki so na razpolago na kraju samem, ali tiste, ki se končnemu potrošniku prodajajo posamezno ali v serijah, razen če spadajo na področje uporabe Direktive 90/385/EGS ali Direktive 93/42/EGS;</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 xml:space="preserve">12. ‚zamaški za kozarce‘ pomenijo zamaške za kozarce ali lončke, ki spadajo na področje zamaškov za lončke za pijačo v smislu dela A Priloge k Direktivi (EU) 2019/904;</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13. ‚proizvodi, primerni za hišno kompostiranje‘ pomenijo proizvode, ki izpolnjujejo zahteve usklajenega francoskega standarda v zvezi s specifikacijami za plastiko, primerno za hišno kompostiranje, ter proizvode, ki se zakonito proizvajajo ali prodajajo v drugi državi članici Evropske unije ali v Turčiji ali zakonito proizvajajo v državi, ki je podpisnica Sporazuma o Evropskem gospodarskem prostoru, ter zagotavljajo enakovredna jamstva;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14. ‚snov na biološki osnovi‘ pomeni vsako snov biološkega izvora razen snovi, vključenih v geološke ali fosilne formacije;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rPr>
          <w:sz w:val="24"/>
          <w:szCs w:val="24"/>
          <w:rFonts w:ascii="Liberration sans" w:hAnsi="Liberration sans" w:hint="eastAsia"/>
        </w:rPr>
      </w:pPr>
      <w:r>
        <w:rPr>
          <w:sz w:val="24"/>
          <w:szCs w:val="24"/>
          <w:rFonts w:ascii="Liberration sans" w:hAnsi="Liberration sans"/>
        </w:rPr>
        <w:t xml:space="preserve">15. ‚vsebnost na biološki osnovi‘ pomeni odstotek, ki je izražen v deležu skupnega ogljika, snovi na biološki osnovi, vsebovane v lončku, kozarcu ali krožniku, ter se določi v skladu z računsko metodo, opredeljeno v francoskem standardu ali katerem koli drugem standardu, ki daje enakovredna, mednarodna veljavna zagotovila glede določitve vsebnosti ogljika na biološki osnovi v plastiki.“</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Člen 2</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Pododdelek 2 oddelka 21 poglavja III naslova IV zvezka V normativnega dela Okoljskega zakonika se spremeni:</w:t>
      </w:r>
      <w:r>
        <w:rPr>
          <w:sz w:val="24"/>
          <w:szCs w:val="24"/>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1. naslov pododdelka 2 se glasi:</w:t>
      </w:r>
      <w:r>
        <w:rPr>
          <w:sz w:val="24"/>
          <w:szCs w:val="24"/>
          <w:rFonts w:ascii="Liberration sans" w:hAnsi="Liberration sans"/>
        </w:rPr>
        <w:t xml:space="preserve"> </w:t>
      </w:r>
      <w:r>
        <w:rPr>
          <w:sz w:val="24"/>
          <w:szCs w:val="24"/>
          <w:rFonts w:ascii="Liberration sans" w:hAnsi="Liberration sans"/>
        </w:rPr>
        <w:t xml:space="preserve">„Plastični proizvodi za enkratno uporabo“;</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2. člen D. 543-295 se nadomesti z naslednjo določbo:</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sz w:val="24"/>
          <w:szCs w:val="24"/>
          <w:rFonts w:ascii="Liberration sans" w:hAnsi="Liberration sans"/>
        </w:rPr>
        <w:t xml:space="preserve">„Proizvodi iz prvega pododstavka poglavja III člena L. 541-10-5, ki se prenehajo dajati na razpolago, so plastični proizvodi za enkratno uporabo, razen embalaže.</w:t>
      </w:r>
      <w:r>
        <w:rPr>
          <w:sz w:val="24"/>
          <w:szCs w:val="24"/>
          <w:rFonts w:ascii="Liberration sans" w:hAnsi="Liberration sans"/>
        </w:rPr>
        <w:t xml:space="preserve"> </w:t>
      </w:r>
      <w:r>
        <w:rPr>
          <w:sz w:val="24"/>
          <w:szCs w:val="24"/>
          <w:rFonts w:ascii="Liberration sans" w:hAnsi="Liberration sans"/>
        </w:rPr>
        <w:t xml:space="preserv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3. Člen D. 543-296 se nadomesti z naslednjo določbo:</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„Najmanjša vsebnost snovi na biološki osnovi v proizvodih, navedenih v prvem pododstavku poglavja III člena L. 541-10-5, je 50 % od 1. januarja 2020 in 60 % od 1. januarja 2025.“</w:t>
      </w:r>
      <w:r>
        <w:rPr>
          <w:sz w:val="24"/>
          <w:szCs w:val="24"/>
          <w:rFonts w:ascii="Liberration sans" w:hAnsi="Liberration sans"/>
        </w:rPr>
        <w:t xml:space="preserv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Člen 3</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sz w:val="24"/>
          <w:szCs w:val="24"/>
          <w:rFonts w:ascii="Liberration sans" w:hAnsi="Liberration sans" w:hint="eastAsia"/>
        </w:rPr>
      </w:pPr>
      <w:r>
        <w:rPr>
          <w:sz w:val="24"/>
          <w:szCs w:val="24"/>
          <w:rFonts w:ascii="Liberration sans" w:hAnsi="Liberration sans"/>
        </w:rPr>
        <w:t xml:space="preserve">1. Člen D. 543-294 se spremeni:</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a) točka 7 se dopolni z naslednjim besedilom:</w:t>
      </w:r>
      <w:r>
        <w:rPr>
          <w:sz w:val="24"/>
          <w:szCs w:val="24"/>
          <w:rFonts w:ascii="Liberration sans" w:hAnsi="Liberration sans"/>
        </w:rPr>
        <w:t xml:space="preserve"> </w:t>
      </w:r>
      <w:r>
        <w:rPr>
          <w:sz w:val="24"/>
          <w:szCs w:val="24"/>
          <w:rFonts w:ascii="Liberration sans" w:hAnsi="Liberration sans"/>
        </w:rPr>
        <w:t xml:space="preserve">„in deloma sestavljen iz plastike, z vsebnostjo, višjo od največje vsebnosti, določene v odredbi o največji dovoljeni vsebnosti plastike in pogojih, pod katerimi se vsebnost plastike postopoma zmanjša“;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b) v točki 8 se besedilo</w:t>
      </w:r>
      <w:r>
        <w:rPr>
          <w:sz w:val="24"/>
          <w:szCs w:val="24"/>
          <w:rFonts w:ascii="Liberration sans" w:hAnsi="Liberration sans"/>
        </w:rPr>
        <w:t xml:space="preserve"> </w:t>
      </w:r>
      <w:r>
        <w:rPr>
          <w:sz w:val="24"/>
          <w:szCs w:val="24"/>
          <w:rFonts w:ascii="Liberration sans" w:hAnsi="Liberration sans"/>
        </w:rPr>
        <w:t xml:space="preserve">„v celoti izdelani iz plastike“ nadomesti z besedilom</w:t>
      </w:r>
      <w:r>
        <w:rPr>
          <w:sz w:val="24"/>
          <w:szCs w:val="24"/>
          <w:rFonts w:ascii="Liberration sans" w:hAnsi="Liberration sans"/>
        </w:rPr>
        <w:t xml:space="preserve"> </w:t>
      </w:r>
      <w:r>
        <w:rPr>
          <w:sz w:val="24"/>
          <w:szCs w:val="24"/>
          <w:rFonts w:ascii="Liberration sans" w:hAnsi="Liberration sans"/>
        </w:rPr>
        <w:t xml:space="preserve">„, vključno s plastičnim ovitkom, navedenim v delu B Priloge k Direktivi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c) v točki 9° se besedilo</w:t>
      </w:r>
      <w:r>
        <w:rPr>
          <w:sz w:val="24"/>
          <w:szCs w:val="24"/>
          <w:rFonts w:ascii="Liberration sans" w:hAnsi="Liberration sans"/>
        </w:rPr>
        <w:t xml:space="preserve"> </w:t>
      </w:r>
      <w:r>
        <w:rPr>
          <w:sz w:val="24"/>
          <w:szCs w:val="24"/>
          <w:rFonts w:ascii="Liberration sans" w:hAnsi="Liberration sans"/>
        </w:rPr>
        <w:t xml:space="preserve">„razen tistih, ki se uporabljajo v zaporih, zdravstvenih ustanovah ter v letalskem, železniškem in pomorskem prometu“ črta;</w:t>
      </w:r>
    </w:p>
    <w:p w:rsidR="00871194" w:rsidRPr="00327313" w:rsidRDefault="00871194"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d) v točki 11° se besedilo</w:t>
      </w:r>
      <w:r>
        <w:rPr>
          <w:sz w:val="24"/>
          <w:szCs w:val="24"/>
          <w:rFonts w:ascii="Liberration sans" w:hAnsi="Liberration sans"/>
        </w:rPr>
        <w:t xml:space="preserve"> </w:t>
      </w:r>
      <w:r>
        <w:rPr>
          <w:sz w:val="24"/>
          <w:szCs w:val="24"/>
          <w:rFonts w:ascii="Liberration sans" w:hAnsi="Liberration sans"/>
        </w:rPr>
        <w:t xml:space="preserve">„so na razpolago na kraju samem ali tiste, ki se končnemu potrošniku prodajajo posamezno ali v seriji“ nadomesti z besedilom</w:t>
      </w:r>
      <w:r>
        <w:rPr>
          <w:sz w:val="24"/>
          <w:szCs w:val="24"/>
          <w:rFonts w:ascii="Liberration sans" w:hAnsi="Liberration sans"/>
        </w:rPr>
        <w:t xml:space="preserve"> </w:t>
      </w:r>
      <w:r>
        <w:rPr>
          <w:sz w:val="24"/>
          <w:szCs w:val="24"/>
          <w:rFonts w:ascii="Liberration sans" w:hAnsi="Liberration sans"/>
        </w:rPr>
        <w:t xml:space="preserve">„ki so navedene v delu B Priloge k Direktivi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2. v členu D. 543-295 se besedilo</w:t>
      </w:r>
      <w:r>
        <w:rPr>
          <w:sz w:val="24"/>
          <w:szCs w:val="24"/>
          <w:rFonts w:ascii="Liberration sans" w:hAnsi="Liberration sans"/>
        </w:rPr>
        <w:t xml:space="preserve"> </w:t>
      </w:r>
      <w:r>
        <w:rPr>
          <w:sz w:val="24"/>
          <w:szCs w:val="24"/>
          <w:rFonts w:ascii="Liberration sans" w:hAnsi="Liberration sans"/>
        </w:rPr>
        <w:t xml:space="preserve">„razen“ nadomesti z besedilom „vključno z“;</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3. člen D. 543-296 se dopolni s stavkom „Vendar se izjema, navedena v tem pododstavku, ne uporablja za namizne kuhinjske krožnike za enkratno uporabo, slamice, pribor in mešalne palčke za pijače“.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b/>
          <w:sz w:val="24"/>
          <w:szCs w:val="24"/>
          <w:rFonts w:ascii="Liberration sans" w:hAnsi="Liberration sans" w:hint="eastAsia"/>
        </w:rPr>
      </w:pPr>
      <w:r>
        <w:rPr>
          <w:b/>
          <w:sz w:val="24"/>
          <w:szCs w:val="24"/>
          <w:rFonts w:ascii="Liberration sans" w:hAnsi="Liberration sans"/>
        </w:rPr>
        <w:t xml:space="preserve">Člen 4</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sz w:val="24"/>
          <w:szCs w:val="24"/>
          <w:rFonts w:ascii="Liberration sans" w:hAnsi="Liberration sans" w:hint="eastAsia"/>
        </w:rPr>
      </w:pPr>
      <w:r>
        <w:rPr>
          <w:sz w:val="24"/>
          <w:szCs w:val="24"/>
          <w:rFonts w:ascii="Liberration sans" w:hAnsi="Liberration sans"/>
        </w:rPr>
        <w:t xml:space="preserve">Določbe te uredbe začnejo veljati 1. januarja 2020, razen tistih iz člena 3, ki začnejo veljati 3. julija 2021.</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pPr>
      <w:r>
        <w:rPr>
          <w:b/>
          <w:sz w:val="24"/>
          <w:szCs w:val="24"/>
          <w:rFonts w:ascii="Liberration sans" w:hAnsi="Liberration sans"/>
        </w:rPr>
        <w:t xml:space="preserve">Člen 5</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sz w:val="24"/>
          <w:szCs w:val="24"/>
          <w:rFonts w:ascii="Liberration sans" w:hAnsi="Liberration sans"/>
        </w:rPr>
        <w:t xml:space="preserve">Minister za ekološko in solidarnostno preoblikovanje in minister za gospodarstvo sta vsak v skladu s svojimi pristojnostmi odgovorna za izvajanje te uredbe, ki bo objavljena v Uradnem listu Francoske republike.</w:t>
      </w:r>
    </w:p>
    <w:sectPr w:rsidR="00937C42" w:rsidRPr="0032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宋体"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宋体"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1797-D16A-4497-9DB7-82C323C8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1521</Words>
  <Characters>8672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Liu, Lei</cp:lastModifiedBy>
  <cp:revision>4</cp:revision>
  <cp:lastPrinted>2019-07-18T11:34:00Z</cp:lastPrinted>
  <dcterms:created xsi:type="dcterms:W3CDTF">2019-07-18T13:11:00Z</dcterms:created>
  <dcterms:modified xsi:type="dcterms:W3CDTF">2019-07-18T14:28:00Z</dcterms:modified>
</cp:coreProperties>
</file>