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C0" w:rsidRPr="004407C0" w:rsidRDefault="004407C0" w:rsidP="004407C0">
      <w:pPr>
        <w:spacing w:before="100" w:beforeAutospacing="1" w:after="100" w:afterAutospacing="1" w:line="240" w:lineRule="auto"/>
        <w:outlineLvl w:val="1"/>
        <w:rPr>
          <w:b/>
          <w:bCs/>
          <w:color w:val="000000"/>
          <w:sz w:val="36"/>
          <w:szCs w:val="36"/>
          <w:rFonts w:ascii="Times New Roman" w:eastAsia="Times New Roman" w:hAnsi="Times New Roman" w:cs="Times New Roman"/>
        </w:rPr>
      </w:pPr>
      <w:r>
        <w:rPr>
          <w:b/>
          <w:color w:val="000000"/>
          <w:sz w:val="36"/>
          <w:rFonts w:ascii="Times New Roman" w:hAnsi="Times New Roman"/>
        </w:rPr>
        <w:t xml:space="preserve">Uredba št. 2019-1114 z dne 30. oktobra 2019 o izvajanju člena L. 34-9-2 zakonika o poštnih in elektronskih komunikacijah</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Ciljno občinstvo: daljinsko vodeni piloti brezpilotnih zrakoplovov, ki tehtajo več kot 800 gramov, proizvajalci brezpilotnih zrakoplovov.</w:t>
      </w:r>
      <w:r>
        <w:rPr>
          <w:color w:val="000000"/>
          <w:sz w:val="27"/>
          <w:rFonts w:ascii="Times New Roman" w:hAnsi="Times New Roman"/>
        </w:rPr>
        <w:br/>
      </w:r>
      <w:r>
        <w:rPr>
          <w:color w:val="000000"/>
          <w:sz w:val="27"/>
          <w:rFonts w:ascii="Times New Roman" w:hAnsi="Times New Roman"/>
        </w:rPr>
        <w:t xml:space="preserve">Zadeva: cilji elektronskih ali digitalnih signalnih naprav in luči, s katerimi morajo biti opremljeni brezpilotni zrakoplovi.</w:t>
      </w:r>
      <w:r>
        <w:rPr>
          <w:color w:val="000000"/>
          <w:sz w:val="27"/>
          <w:rFonts w:ascii="Times New Roman" w:hAnsi="Times New Roman"/>
        </w:rPr>
        <w:br/>
      </w:r>
      <w:r>
        <w:rPr>
          <w:color w:val="000000"/>
          <w:sz w:val="27"/>
          <w:rFonts w:ascii="Times New Roman" w:hAnsi="Times New Roman"/>
        </w:rPr>
        <w:t xml:space="preserve">Začetek veljavnosti: uredba začne veljati šest mesecev po objavi, razen določb členov R. 20-29-7 in R. 20-29-8 zakonika o poštnih in elektronskih komunikacijah ter točke 14 člena R. 48-1 kazenskega zakonika na eni strani in določb uredbe o brezpilotnih zrakoplovih, registriranih v skladu s členom L. 6111-1 zakonika o prometu pred tem datumom, na drugi strani, ki začnejo veljati 12 mesecev po objavi.</w:t>
      </w:r>
      <w:r>
        <w:rPr>
          <w:color w:val="000000"/>
          <w:sz w:val="27"/>
          <w:rFonts w:ascii="Times New Roman" w:hAnsi="Times New Roman"/>
        </w:rPr>
        <w:br/>
      </w:r>
      <w:r>
        <w:rPr>
          <w:color w:val="000000"/>
          <w:sz w:val="27"/>
          <w:rFonts w:ascii="Times New Roman" w:hAnsi="Times New Roman"/>
        </w:rPr>
        <w:t xml:space="preserve">Obvestilo: v skladu s členom L. 34-9-2 zakonika o poštnih in elektronskih komunikacijah, kakor je bil spremenjen z zakonom št. 2016-1428 z dne 24. oktobra 2016 o krepitvi varnosti uporabe civilnih brezpilotnih letal, morajo biti brezpilotni zrakoplovi (razen državnih zrakoplovov), katerih masa presega zakonsko določeno mejno vrednost, opremljeni z elektronsko ali digitalno signalno napravo in signalnimi lučmi.</w:t>
      </w:r>
      <w:r>
        <w:rPr>
          <w:color w:val="000000"/>
          <w:sz w:val="27"/>
          <w:rFonts w:ascii="Times New Roman" w:hAnsi="Times New Roman"/>
        </w:rPr>
        <w:t xml:space="preserve"> </w:t>
      </w:r>
      <w:r>
        <w:rPr>
          <w:color w:val="000000"/>
          <w:sz w:val="27"/>
          <w:rFonts w:ascii="Times New Roman" w:hAnsi="Times New Roman"/>
        </w:rPr>
        <w:t xml:space="preserve">Uredba določa cilje teh naprav ter pogoje za oprostitev obveznosti poročanja in veljavni režim kazni.</w:t>
      </w:r>
      <w:r>
        <w:rPr>
          <w:color w:val="000000"/>
          <w:sz w:val="27"/>
          <w:rFonts w:ascii="Times New Roman" w:hAnsi="Times New Roman"/>
        </w:rPr>
        <w:t xml:space="preserve"> </w:t>
      </w:r>
      <w:r>
        <w:rPr>
          <w:color w:val="000000"/>
          <w:sz w:val="27"/>
          <w:rFonts w:ascii="Times New Roman" w:hAnsi="Times New Roman"/>
        </w:rPr>
        <w:t xml:space="preserve">Določa mejno vrednost mase, nad katero veljajo za zrakoplove te določbe, na 800 gramov.</w:t>
      </w:r>
      <w:r>
        <w:rPr>
          <w:color w:val="000000"/>
          <w:sz w:val="27"/>
          <w:rFonts w:ascii="Times New Roman" w:hAnsi="Times New Roman"/>
        </w:rPr>
        <w:br/>
      </w:r>
      <w:r>
        <w:rPr>
          <w:color w:val="000000"/>
          <w:sz w:val="27"/>
          <w:rFonts w:ascii="Times New Roman" w:hAnsi="Times New Roman"/>
        </w:rPr>
        <w:t xml:space="preserve">Referenčni podatki: uredbe se izda za izvajanje člena 4(I) Zakona št. 2016-1428 z dne 24. oktobra 2016 o krepitvi varnosti uporabe civilnih brezpilotnih letal.</w:t>
      </w:r>
      <w:r>
        <w:rPr>
          <w:color w:val="000000"/>
          <w:sz w:val="27"/>
          <w:rFonts w:ascii="Times New Roman" w:hAnsi="Times New Roman"/>
        </w:rPr>
        <w:t xml:space="preserve"> </w:t>
      </w:r>
      <w:r>
        <w:rPr>
          <w:color w:val="000000"/>
          <w:sz w:val="27"/>
          <w:rFonts w:ascii="Times New Roman" w:hAnsi="Times New Roman"/>
        </w:rPr>
        <w:t xml:space="preserve">Zakonik o poštnih in elektronskih komunikacijah je na voljo v različici, ki izhaja iz te spremembe, na spletni strani Légifrance (http://www.legifrance.gouv.fr).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Predsednik vlade –</w:t>
      </w:r>
      <w:r>
        <w:rPr>
          <w:color w:val="000000"/>
          <w:sz w:val="27"/>
          <w:rFonts w:ascii="Times New Roman" w:hAnsi="Times New Roman"/>
        </w:rPr>
        <w:br/>
      </w:r>
      <w:r>
        <w:rPr>
          <w:color w:val="000000"/>
          <w:sz w:val="27"/>
          <w:rFonts w:ascii="Times New Roman" w:hAnsi="Times New Roman"/>
        </w:rPr>
        <w:t xml:space="preserve">na podlagi poročila ministra za gospodarstvo in finance;</w:t>
      </w:r>
      <w:r>
        <w:rPr>
          <w:color w:val="000000"/>
          <w:sz w:val="27"/>
          <w:rFonts w:ascii="Times New Roman" w:hAnsi="Times New Roman"/>
        </w:rPr>
        <w:br/>
      </w:r>
      <w:r>
        <w:rPr>
          <w:color w:val="000000"/>
          <w:sz w:val="27"/>
          <w:rFonts w:ascii="Times New Roman" w:hAnsi="Times New Roman"/>
        </w:rPr>
        <w:t xml:space="preserve">ob upoštevanju Direktive (EU) 2015/1535 Evropskega parlamenta in Sveta z dne 9. septembra 2015 o določitvi postopka za zbiranje informacij na področju tehničnih predpisov in pravil za storitve informacijske družbe (kodificirano besedilo), zlasti uradnih obvestil št. 2018/169/F in 2018/168/F;</w:t>
      </w:r>
      <w:r>
        <w:rPr>
          <w:color w:val="000000"/>
          <w:sz w:val="27"/>
          <w:rFonts w:ascii="Times New Roman" w:hAnsi="Times New Roman"/>
        </w:rPr>
        <w:br/>
      </w:r>
      <w:r>
        <w:rPr>
          <w:color w:val="000000"/>
          <w:sz w:val="27"/>
          <w:rFonts w:ascii="Times New Roman" w:hAnsi="Times New Roman"/>
        </w:rPr>
        <w:t xml:space="preserve">ob upoštevanju Uredbe (EU) 2018/1139 Evropskega parlamenta in Sveta z dne 4. julija 2018 o skupnih pravilih na področju civilnega letalstva in ustanovitvi Agencije Evropske unije za varnost v letalstvu in spremembi uredb (ES) št. 2111/2005, (ES) št. 1008/2008, (EU) št. 996/2010, (EU) št. 376/2014 ter direktiv 2014/30/EU in 2014/53/EU Evropskega parlamenta in Sveta ter razveljavitvi uredb (ES) št. 552/2004 in (ES) št. 216/2008 Evropskega parlamenta in Sveta ter Uredbe Sveta (EGS) št. 3922/91;</w:t>
      </w:r>
      <w:r>
        <w:rPr>
          <w:color w:val="000000"/>
          <w:sz w:val="27"/>
          <w:rFonts w:ascii="Times New Roman" w:hAnsi="Times New Roman"/>
        </w:rPr>
        <w:br/>
      </w:r>
      <w:r>
        <w:rPr>
          <w:color w:val="000000"/>
          <w:sz w:val="27"/>
          <w:rFonts w:ascii="Times New Roman" w:hAnsi="Times New Roman"/>
        </w:rPr>
        <w:t xml:space="preserve">ob upoštevanju Delegirane uredbe Komisije (EU) 2019/945 z dne 12. marca 2019 o sistemih brezpilotnega zrakoplova in operatorjih sistemov brezpilotnega zrakoplova iz tretjih držav, zlasti člena 5;</w:t>
      </w:r>
      <w:r>
        <w:rPr>
          <w:color w:val="000000"/>
          <w:sz w:val="27"/>
          <w:rFonts w:ascii="Times New Roman" w:hAnsi="Times New Roman"/>
        </w:rPr>
        <w:br/>
      </w:r>
      <w:r>
        <w:rPr>
          <w:color w:val="000000"/>
          <w:sz w:val="27"/>
          <w:rFonts w:ascii="Times New Roman" w:hAnsi="Times New Roman"/>
        </w:rPr>
        <w:t xml:space="preserve">ob upoštevanju zakonika o civilnem letalstvu, zlasti členov R. 124-2 in D. 510-3;</w:t>
      </w:r>
      <w:r>
        <w:rPr>
          <w:color w:val="000000"/>
          <w:sz w:val="27"/>
          <w:rFonts w:ascii="Times New Roman" w:hAnsi="Times New Roman"/>
        </w:rPr>
        <w:br/>
      </w:r>
      <w:r>
        <w:rPr>
          <w:color w:val="000000"/>
          <w:sz w:val="27"/>
          <w:rFonts w:ascii="Times New Roman" w:hAnsi="Times New Roman"/>
        </w:rPr>
        <w:t xml:space="preserve">ob upoštevanju zakonika o kazenskem postopku, zlasti člena R. 610-1;</w:t>
      </w:r>
      <w:r>
        <w:rPr>
          <w:color w:val="000000"/>
          <w:sz w:val="27"/>
          <w:rFonts w:ascii="Times New Roman" w:hAnsi="Times New Roman"/>
        </w:rPr>
        <w:br/>
      </w:r>
      <w:r>
        <w:rPr>
          <w:color w:val="000000"/>
          <w:sz w:val="27"/>
          <w:rFonts w:ascii="Times New Roman" w:hAnsi="Times New Roman"/>
        </w:rPr>
        <w:t xml:space="preserve">ob upoštevanju kazenskega zakonika, zlasti člena R. 48-1;</w:t>
      </w:r>
      <w:r>
        <w:rPr>
          <w:color w:val="000000"/>
          <w:sz w:val="27"/>
          <w:rFonts w:ascii="Times New Roman" w:hAnsi="Times New Roman"/>
        </w:rPr>
        <w:br/>
      </w:r>
      <w:r>
        <w:rPr>
          <w:color w:val="000000"/>
          <w:sz w:val="27"/>
          <w:rFonts w:ascii="Times New Roman" w:hAnsi="Times New Roman"/>
        </w:rPr>
        <w:t xml:space="preserve">ob upoštevanju zakonika o poštnih in elektronskih komunikacijah, zlasti člena L. 34-9-2;</w:t>
      </w:r>
      <w:r>
        <w:rPr>
          <w:color w:val="000000"/>
          <w:sz w:val="27"/>
          <w:rFonts w:ascii="Times New Roman" w:hAnsi="Times New Roman"/>
        </w:rPr>
        <w:br/>
      </w:r>
      <w:r>
        <w:rPr>
          <w:color w:val="000000"/>
          <w:sz w:val="27"/>
          <w:rFonts w:ascii="Times New Roman" w:hAnsi="Times New Roman"/>
        </w:rPr>
        <w:t xml:space="preserve">ob upoštevanju zakonika o notranji varnosti, zlasti naslova V knjige VIII;</w:t>
      </w:r>
      <w:r>
        <w:rPr>
          <w:color w:val="000000"/>
          <w:sz w:val="27"/>
          <w:rFonts w:ascii="Times New Roman" w:hAnsi="Times New Roman"/>
        </w:rPr>
        <w:br/>
      </w:r>
      <w:r>
        <w:rPr>
          <w:color w:val="000000"/>
          <w:sz w:val="27"/>
          <w:rFonts w:ascii="Times New Roman" w:hAnsi="Times New Roman"/>
        </w:rPr>
        <w:t xml:space="preserve">ob upoštevanju zakonika o športu, zlasti člena L. 131-8;</w:t>
      </w:r>
      <w:r>
        <w:rPr>
          <w:color w:val="000000"/>
          <w:sz w:val="27"/>
          <w:rFonts w:ascii="Times New Roman" w:hAnsi="Times New Roman"/>
        </w:rPr>
        <w:br/>
      </w:r>
      <w:r>
        <w:rPr>
          <w:color w:val="000000"/>
          <w:sz w:val="27"/>
          <w:rFonts w:ascii="Times New Roman" w:hAnsi="Times New Roman"/>
        </w:rPr>
        <w:t xml:space="preserve">ob upoštevanju zakonika o prevozu, zlasti členov L. 6100-1 in L. 6111-1;</w:t>
      </w:r>
      <w:r>
        <w:rPr>
          <w:color w:val="000000"/>
          <w:sz w:val="27"/>
          <w:rFonts w:ascii="Times New Roman" w:hAnsi="Times New Roman"/>
        </w:rPr>
        <w:br/>
      </w:r>
      <w:r>
        <w:rPr>
          <w:color w:val="000000"/>
          <w:sz w:val="27"/>
          <w:rFonts w:ascii="Times New Roman" w:hAnsi="Times New Roman"/>
        </w:rPr>
        <w:t xml:space="preserve">po seznanitvi z mnenjem državnega sveta (oddelek za javna dela) –</w:t>
      </w:r>
      <w:r>
        <w:rPr>
          <w:color w:val="000000"/>
          <w:sz w:val="27"/>
          <w:rFonts w:ascii="Times New Roman" w:hAnsi="Times New Roman"/>
        </w:rPr>
        <w:br/>
      </w:r>
      <w:r>
        <w:rPr>
          <w:color w:val="000000"/>
          <w:sz w:val="27"/>
          <w:rFonts w:ascii="Times New Roman" w:hAnsi="Times New Roman"/>
        </w:rPr>
        <w:t xml:space="preserve">odreja naslednje:</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1</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Oddelek 5 poglavja II naslova I knjige II regulativnega dela (uredbe državnega sveta) zakonika o poštnih in elektronskih komunikacijah se dopolni s pododdelkom 10, kot sledi: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„Pododdelek 10</w:t>
      </w:r>
      <w:r>
        <w:rPr>
          <w:color w:val="000000"/>
          <w:sz w:val="27"/>
          <w:rFonts w:ascii="Times New Roman" w:hAnsi="Times New Roman"/>
        </w:rPr>
        <w:br/>
      </w:r>
      <w:r>
        <w:rPr>
          <w:color w:val="000000"/>
          <w:sz w:val="27"/>
          <w:rFonts w:ascii="Times New Roman" w:hAnsi="Times New Roman"/>
        </w:rPr>
        <w:t xml:space="preserve">Določbe v zvezi z brezpilotnimi zrakoplovi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20-29-1. Brez poseganja v predpise Evropske unije, ki se uporabljajo za brezpilotne zrakoplove v zvezi z varnostjo v letalstvu, se določbe tega pododdelka uporabljajo za zrakoplove za namene javne varnosti.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20-29-2. Namen elektronske ali digitalne signalne naprave iz prvega odstavka člena L. 34-9-2 je zaznati let brezpilotnih zrakoplovov, katerih masa presega prag iz člena D. 103, in omogočiti odčitavanje njihove identifikacijske številke.</w:t>
      </w:r>
      <w:r>
        <w:rPr>
          <w:color w:val="000000"/>
          <w:sz w:val="27"/>
          <w:rFonts w:ascii="Times New Roman" w:hAnsi="Times New Roman"/>
        </w:rPr>
        <w:br/>
      </w:r>
      <w:r>
        <w:rPr>
          <w:color w:val="000000"/>
          <w:sz w:val="27"/>
          <w:rFonts w:ascii="Times New Roman" w:hAnsi="Times New Roman"/>
        </w:rPr>
        <w:t xml:space="preserve">Izključno za namen preprečevanja napadov na državno varnost, obrambo ali javno varnost ter za preprečevanje, preiskovanje, odkrivanje ali pregon kaznivih dejanj lahko državne službe, ki delujejo na področju notranje varnosti in nacionalne obrambe, uporabijo informacije, ki se prenašajo s to napravo, da se omogoči identifikacija lastnikov brezpilotnih zrakoplovov in njihovih uporabnikov.</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20-29-3. Namen svetlobno-signalne naprave iz prvega odstavka člena L. 34-9-2 je lažje locirati brezpilotne zrakoplove, katerih masa presega mejno vrednost iz člena D. 103, kadar letijo ponoči, in razlikovanje zrakoplova od drugih zrakoplovov.</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20-29-4. Skupna odredba ministra za notranje zadeve in ministra za elektronske komunikacije določa tehnične značilnosti elektronske ali digitalne signalne naprave, vrsto in obliko posredovanih informacij ter tehnične značilnosti signalne naprave.</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20-29-5. Brezpilotni zrakoplovi so izvzeti iz zahteve, da morajo biti opremljeni z elektronsko ali digitalno signalno napravo, kadar:</w:t>
      </w:r>
      <w:r>
        <w:rPr>
          <w:color w:val="000000"/>
          <w:sz w:val="27"/>
          <w:rFonts w:ascii="Times New Roman" w:hAnsi="Times New Roman"/>
        </w:rPr>
        <w:br/>
      </w:r>
      <w:r>
        <w:rPr>
          <w:color w:val="000000"/>
          <w:sz w:val="27"/>
          <w:rFonts w:ascii="Times New Roman" w:hAnsi="Times New Roman"/>
        </w:rPr>
        <w:t xml:space="preserve">1) se uporabljajo za prosti čas in se upravljajo s prostim očesom pilota, ki upravlja zrakoplov na daljavo, ki je član združenja, pridruženega zvezi, priznani na nacionalni ravni za letalsko modeliranje iz člena D. 510-3 zakonika o civilnem letalstvu, ali športni zvezi, ki vključuje letalsko modeliranje, odobreni s strani ministra, pristojnega za šport, v skladu s členom L. 131–8 zakonika o športu, na področju dejavnosti, ki ji je z uredbo dana pravica do te izjeme in je sporočena prek letalskega informacijskega kanala;</w:t>
      </w:r>
      <w:r>
        <w:rPr>
          <w:color w:val="000000"/>
          <w:sz w:val="27"/>
          <w:rFonts w:ascii="Times New Roman" w:hAnsi="Times New Roman"/>
        </w:rPr>
        <w:br/>
      </w:r>
      <w:r>
        <w:rPr>
          <w:color w:val="000000"/>
          <w:sz w:val="27"/>
          <w:rFonts w:ascii="Times New Roman" w:hAnsi="Times New Roman"/>
        </w:rPr>
        <w:t xml:space="preserve">2) se uporabljajo v zaprtih in pokritih prostorih;</w:t>
      </w:r>
      <w:r>
        <w:rPr>
          <w:color w:val="000000"/>
          <w:sz w:val="27"/>
          <w:rFonts w:ascii="Times New Roman" w:hAnsi="Times New Roman"/>
        </w:rPr>
        <w:br/>
      </w:r>
      <w:r>
        <w:rPr>
          <w:color w:val="000000"/>
          <w:sz w:val="27"/>
          <w:rFonts w:ascii="Times New Roman" w:hAnsi="Times New Roman"/>
        </w:rPr>
        <w:t xml:space="preserve">3) spadajo v kategorije zrakoplovov iz drugega odstavka člena L. 6100-1 zakonika o prevozu, brez poseganja v določbe, ki se uporabljajo za vojaške in vladne zrakoplove ter za zrakoplove, ki jih uporabljajo carinske ali javne varnostne službe in službe civilne varnosti;</w:t>
      </w:r>
      <w:r>
        <w:rPr>
          <w:color w:val="000000"/>
          <w:sz w:val="27"/>
          <w:rFonts w:ascii="Times New Roman" w:hAnsi="Times New Roman"/>
        </w:rPr>
        <w:br/>
      </w:r>
      <w:r>
        <w:rPr>
          <w:color w:val="000000"/>
          <w:sz w:val="27"/>
          <w:rFonts w:ascii="Times New Roman" w:hAnsi="Times New Roman"/>
        </w:rPr>
        <w:t xml:space="preserve">4) ne spadajo v kategorije zrakoplovov iz drugega odstavka člena L. 6100-1 zakonika o prevozu, ampak se uporabljajo med carinskimi, policijskimi ali civilnovarnostnimi misijami ali za uporabo tehnike iz naslova V knjige VIII zakonika o notranji varnosti;</w:t>
      </w:r>
      <w:r>
        <w:rPr>
          <w:color w:val="000000"/>
          <w:sz w:val="27"/>
          <w:rFonts w:ascii="Times New Roman" w:hAnsi="Times New Roman"/>
        </w:rPr>
        <w:br/>
      </w:r>
      <w:r>
        <w:rPr>
          <w:color w:val="000000"/>
          <w:sz w:val="27"/>
          <w:rFonts w:ascii="Times New Roman" w:hAnsi="Times New Roman"/>
        </w:rPr>
        <w:t xml:space="preserve">5) se prenašajo ali vlečejo s površine tal ali vode.</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20-29-6. Brezpilotni zrakoplovi so izvzeti iz zahteve, da morajo biti opremljeni s svetlobno-signalno napravo:</w:t>
      </w:r>
      <w:r>
        <w:rPr>
          <w:color w:val="000000"/>
          <w:sz w:val="27"/>
          <w:rFonts w:ascii="Times New Roman" w:hAnsi="Times New Roman"/>
        </w:rPr>
        <w:br/>
      </w:r>
      <w:r>
        <w:rPr>
          <w:color w:val="000000"/>
          <w:sz w:val="27"/>
          <w:rFonts w:ascii="Times New Roman" w:hAnsi="Times New Roman"/>
        </w:rPr>
        <w:t xml:space="preserve">1) v primerih iz točk 1 do 5 člena R. 20-29-5;</w:t>
      </w:r>
      <w:r>
        <w:rPr>
          <w:color w:val="000000"/>
          <w:sz w:val="27"/>
          <w:rFonts w:ascii="Times New Roman" w:hAnsi="Times New Roman"/>
        </w:rPr>
        <w:br/>
      </w:r>
      <w:r>
        <w:rPr>
          <w:color w:val="000000"/>
          <w:sz w:val="27"/>
          <w:rFonts w:ascii="Times New Roman" w:hAnsi="Times New Roman"/>
        </w:rPr>
        <w:t xml:space="preserve">2) pri letenju v času med sončnim vzhodom in sončnim zahodom;</w:t>
      </w:r>
      <w:r>
        <w:rPr>
          <w:color w:val="000000"/>
          <w:sz w:val="27"/>
          <w:rFonts w:ascii="Times New Roman" w:hAnsi="Times New Roman"/>
        </w:rPr>
        <w:br/>
      </w:r>
      <w:r>
        <w:rPr>
          <w:color w:val="000000"/>
          <w:sz w:val="27"/>
          <w:rFonts w:ascii="Times New Roman" w:hAnsi="Times New Roman"/>
        </w:rPr>
        <w:t xml:space="preserve">3) pri izvajanju poskusnih letov za namene testiranja ali pregleda pod pogoji, ki jih določi minister, pristojen za civilno letalstvo.</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20-29-7. Z globo, navedeno za kršitve razreda 4, se kaznuje:</w:t>
      </w:r>
      <w:r>
        <w:rPr>
          <w:color w:val="000000"/>
          <w:sz w:val="27"/>
          <w:rFonts w:ascii="Times New Roman" w:hAnsi="Times New Roman"/>
        </w:rPr>
        <w:br/>
      </w:r>
      <w:r>
        <w:rPr>
          <w:color w:val="000000"/>
          <w:sz w:val="27"/>
          <w:rFonts w:ascii="Times New Roman" w:hAnsi="Times New Roman"/>
        </w:rPr>
        <w:t xml:space="preserve">1) upravljanje brezpilotnih zrakoplovov v odsotnosti elektronske ali digitalne signalne naprave iz prvega odstavka člena L. 34-9-2 ali delujoče elektronske ali digitalne signalne naprave;</w:t>
      </w:r>
      <w:r>
        <w:rPr>
          <w:color w:val="000000"/>
          <w:sz w:val="27"/>
          <w:rFonts w:ascii="Times New Roman" w:hAnsi="Times New Roman"/>
        </w:rPr>
        <w:br/>
      </w:r>
      <w:r>
        <w:rPr>
          <w:color w:val="000000"/>
          <w:sz w:val="27"/>
          <w:rFonts w:ascii="Times New Roman" w:hAnsi="Times New Roman"/>
        </w:rPr>
        <w:t xml:space="preserve">2) upravljanje brezpilotnih zrakoplovov v odsotnosti svetlobno-signalne naprave iz prvega odstavka člena L. 34-9-2 ali delujoče svetlobno-signalne naprave.</w:t>
      </w:r>
      <w:r>
        <w:rPr>
          <w:color w:val="000000"/>
          <w:sz w:val="27"/>
          <w:rFonts w:ascii="Times New Roman" w:hAnsi="Times New Roman"/>
        </w:rPr>
        <w:br/>
      </w:r>
      <w:r>
        <w:rPr>
          <w:color w:val="000000"/>
          <w:sz w:val="27"/>
          <w:rFonts w:ascii="Times New Roman" w:hAnsi="Times New Roman"/>
        </w:rPr>
        <w:t xml:space="preserve">Lastnik brezpilotnega zrakoplova je dolžan plačati globo za kazniva dejanja iz točk 1 in 2, razen če se ugotovi, da je let posledica prisilnega leta ali katerega koli drugega dogodka višje sile, ali predloži vse dokaze, da ni pravi storilec kaznivega dejanja.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20-29-8. Posredovanje elektronskega ali digitalnega signala iz prvega odstavka člena L. 34-9-2, ki ne izvira iz brezpilotnega zrakoplova, vpisanega v register iz člena R. 124-2 zakonika o civilnem letalstvu, ali ne ustreza dejanskemu letu v teku ob izdaji elektronskega ali digitalnega signala se kaznuje z globo, določeno za kršitve razreda 5.</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20-29-9. Vsaka oseba, ki je zagrešila kazniva dejanja iz členov R. 20-29-7 in R. 20-29-8, se prav tako kaznuje z dodatno kaznijo zaplembe predmeta, uporabljenega za storitev kaznivega dejanja.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20-29-10. Členi R. 20-29-1 do R. 20-29-9 se uporabljajo v Francoski Polineziji, na otokih Wallis in Futuna ter Francoskih južnih in antarktičnih ozemljih.“</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2</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R. 48-1 kazenskega zakonika se dopolni z odstavkom, ki se glasi:</w:t>
      </w:r>
      <w:r>
        <w:rPr>
          <w:color w:val="000000"/>
          <w:sz w:val="27"/>
          <w:rFonts w:ascii="Times New Roman" w:hAnsi="Times New Roman"/>
        </w:rPr>
        <w:br/>
      </w:r>
      <w:r>
        <w:rPr>
          <w:color w:val="000000"/>
          <w:sz w:val="27"/>
          <w:rFonts w:ascii="Times New Roman" w:hAnsi="Times New Roman"/>
        </w:rPr>
        <w:t xml:space="preserve">„14) Kršitve, ki se kaznujejo na podlagi člena R. 20-29-7 zakonika o poštnih in elektronskih komunikacijah“.</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3</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Poglavje II naslova I knjige II normativnega dela (enostavne uredbe) zakonika o pošti in elektronskih komunikacijah se dopolni z oddelkom 6, ki se glasi:</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„Oddelek 6</w:t>
      </w:r>
      <w:r>
        <w:rPr>
          <w:color w:val="000000"/>
          <w:sz w:val="27"/>
          <w:rFonts w:ascii="Times New Roman" w:hAnsi="Times New Roman"/>
        </w:rPr>
        <w:br/>
      </w:r>
      <w:r>
        <w:rPr>
          <w:color w:val="000000"/>
          <w:sz w:val="27"/>
          <w:rFonts w:ascii="Times New Roman" w:hAnsi="Times New Roman"/>
        </w:rPr>
        <w:t xml:space="preserve">Terminalska oprema za elektronske komunikacije in radijska oprema</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D. 103. Mejna vrednost mase iz členov L. 34-9-2, R. 20-29-2 in R. 20-29-3 znaša 800 gramov.</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Člen D. 103-1. Določbe člena D. 103 se uporabljajo v Francoski Polineziji, na otokih Wallis in Futuna ter Francoskih južnih in antarktičnih ozemljih.“</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4</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Ta uredba začne veljati šest mesecev po objavi.</w:t>
      </w:r>
      <w:r>
        <w:rPr>
          <w:color w:val="000000"/>
          <w:sz w:val="27"/>
          <w:rFonts w:ascii="Times New Roman" w:hAnsi="Times New Roman"/>
        </w:rPr>
        <w:br/>
      </w:r>
      <w:r>
        <w:rPr>
          <w:color w:val="000000"/>
          <w:sz w:val="27"/>
          <w:rFonts w:ascii="Times New Roman" w:hAnsi="Times New Roman"/>
        </w:rPr>
        <w:t xml:space="preserve">Dvanajst mesecev po objavi te uredbe pa začnejo veljati:</w:t>
      </w:r>
      <w:r>
        <w:rPr>
          <w:color w:val="000000"/>
          <w:sz w:val="27"/>
          <w:rFonts w:ascii="Times New Roman" w:hAnsi="Times New Roman"/>
        </w:rPr>
        <w:br/>
      </w:r>
      <w:r>
        <w:rPr>
          <w:color w:val="000000"/>
          <w:sz w:val="27"/>
          <w:rFonts w:ascii="Times New Roman" w:hAnsi="Times New Roman"/>
        </w:rPr>
        <w:t xml:space="preserve">1) določbe te uredbe za brezpilotne zrakoplove, registrirane v skladu z oddelkom L. 6111-1 zakonika o prevozu pred datumom začetka veljavnosti iz prvega odstavka;</w:t>
      </w:r>
      <w:r>
        <w:rPr>
          <w:color w:val="000000"/>
          <w:sz w:val="27"/>
          <w:rFonts w:ascii="Times New Roman" w:hAnsi="Times New Roman"/>
        </w:rPr>
        <w:br/>
      </w:r>
      <w:r>
        <w:rPr>
          <w:color w:val="000000"/>
          <w:sz w:val="27"/>
          <w:rFonts w:ascii="Times New Roman" w:hAnsi="Times New Roman"/>
        </w:rPr>
        <w:t xml:space="preserve">2) določbe členov R. 20-29-7 in R. 20-29-8 zakonika o poštnih in elektronskih komunikacijah ter točke 14 člena R. 48-1 kazenskega zakonika.</w:t>
      </w:r>
      <w:r>
        <w:rPr>
          <w:color w:val="000000"/>
          <w:sz w:val="27"/>
          <w:rFonts w:ascii="Times New Roman" w:hAnsi="Times New Roman"/>
        </w:rPr>
        <w:br/>
      </w:r>
      <w:r>
        <w:rPr>
          <w:color w:val="000000"/>
          <w:sz w:val="27"/>
          <w:rFonts w:ascii="Times New Roman" w:hAnsi="Times New Roman"/>
        </w:rPr>
        <w:t xml:space="preserve">Določbe te uredbe se uporabljajo v Francoski Polineziji, na otokih Wallis in Futuna ter Francoskih južnih in antarktičnih ozemljih.</w:t>
      </w:r>
    </w:p>
    <w:p w:rsidR="004407C0" w:rsidRPr="004407C0" w:rsidRDefault="004407C0" w:rsidP="004407C0">
      <w:pPr>
        <w:spacing w:before="100" w:beforeAutospacing="1" w:after="100" w:afterAutospacing="1" w:line="240" w:lineRule="auto"/>
        <w:ind w:left="450"/>
        <w:outlineLvl w:val="3"/>
        <w:rPr>
          <w:b/>
          <w:bCs/>
          <w:color w:val="000000"/>
          <w:sz w:val="27"/>
          <w:szCs w:val="27"/>
          <w:rFonts w:ascii="Times New Roman" w:eastAsia="Times New Roman" w:hAnsi="Times New Roman" w:cs="Times New Roman"/>
        </w:rPr>
      </w:pPr>
      <w:r>
        <w:rPr>
          <w:b/>
          <w:color w:val="000000"/>
          <w:sz w:val="27"/>
          <w:rFonts w:ascii="Times New Roman" w:hAnsi="Times New Roman"/>
        </w:rPr>
        <w:t xml:space="preserve">Člen 5</w:t>
      </w:r>
    </w:p>
    <w:p w:rsidR="004407C0" w:rsidRPr="004407C0" w:rsidRDefault="004407C0" w:rsidP="004407C0">
      <w:pPr>
        <w:spacing w:before="100" w:beforeAutospacing="1" w:after="100" w:afterAutospacing="1" w:line="240" w:lineRule="auto"/>
        <w:ind w:left="450"/>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Hranitelj pečatov, minister za pravosodje, minister za ekološki in vključujoč prehod, minister za gospodarstvo in finance, minister za notranje zadeve, minister za čezmorske zadeve in državni sekretar pri ministru za ekološki in vključujoč prehod, pristojen za promet, so odgovorni za izvajanje te uredbe, ki bo objavljena v Uradnem listu Francoske republike.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Sestavljeno dne 30. oktobra 2019.</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Edouard Philippe</w:t>
      </w:r>
      <w:r>
        <w:rPr>
          <w:color w:val="000000"/>
          <w:sz w:val="27"/>
          <w:rFonts w:ascii="Times New Roman" w:hAnsi="Times New Roman"/>
        </w:rPr>
        <w:br/>
      </w:r>
      <w:r>
        <w:rPr>
          <w:color w:val="000000"/>
          <w:sz w:val="27"/>
          <w:rFonts w:ascii="Times New Roman" w:hAnsi="Times New Roman"/>
        </w:rPr>
        <w:t xml:space="preserve">V imenu predsednika vlade: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gospodarstvo in finance</w:t>
      </w:r>
      <w:r>
        <w:rPr>
          <w:color w:val="000000"/>
          <w:sz w:val="27"/>
          <w:rFonts w:ascii="Times New Roman" w:hAnsi="Times New Roman"/>
        </w:rPr>
        <w:br/>
      </w:r>
      <w:r>
        <w:rPr>
          <w:color w:val="000000"/>
          <w:sz w:val="27"/>
          <w:rFonts w:ascii="Times New Roman" w:hAnsi="Times New Roman"/>
        </w:rPr>
        <w:t xml:space="preserve">Bruno Le Maire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Varuhinja pečatov, ministrica za pravosodje</w:t>
      </w:r>
      <w:r>
        <w:rPr>
          <w:color w:val="000000"/>
          <w:sz w:val="27"/>
          <w:rFonts w:ascii="Times New Roman" w:hAnsi="Times New Roman"/>
        </w:rPr>
        <w:br/>
      </w:r>
      <w:r>
        <w:rPr>
          <w:color w:val="000000"/>
          <w:sz w:val="27"/>
          <w:rFonts w:ascii="Times New Roman" w:hAnsi="Times New Roman"/>
        </w:rPr>
        <w:t xml:space="preserve">Nicole Belloubet</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Ministrica za ekološki in vključujoč prehod</w:t>
      </w:r>
      <w:r>
        <w:rPr>
          <w:color w:val="000000"/>
          <w:sz w:val="27"/>
          <w:rFonts w:ascii="Times New Roman" w:hAnsi="Times New Roman"/>
        </w:rPr>
        <w:br/>
      </w:r>
      <w:r>
        <w:rPr>
          <w:color w:val="000000"/>
          <w:sz w:val="27"/>
          <w:rFonts w:ascii="Times New Roman" w:hAnsi="Times New Roman"/>
        </w:rPr>
        <w:t xml:space="preserve">Elisabeth Borne</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notranje zadeve</w:t>
      </w:r>
      <w:r>
        <w:rPr>
          <w:color w:val="000000"/>
          <w:sz w:val="27"/>
          <w:rFonts w:ascii="Times New Roman" w:hAnsi="Times New Roman"/>
        </w:rPr>
        <w:br/>
      </w:r>
      <w:r>
        <w:rPr>
          <w:color w:val="000000"/>
          <w:sz w:val="27"/>
          <w:rFonts w:ascii="Times New Roman" w:hAnsi="Times New Roman"/>
        </w:rPr>
        <w:t xml:space="preserve">Christophe Castaner</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Minister za čezmorske zadeve</w:t>
      </w:r>
      <w:r>
        <w:rPr>
          <w:color w:val="000000"/>
          <w:sz w:val="27"/>
          <w:rFonts w:ascii="Times New Roman" w:hAnsi="Times New Roman"/>
        </w:rPr>
        <w:br/>
      </w:r>
      <w:r>
        <w:rPr>
          <w:color w:val="000000"/>
          <w:sz w:val="27"/>
          <w:rFonts w:ascii="Times New Roman" w:hAnsi="Times New Roman"/>
        </w:rPr>
        <w:t xml:space="preserve">Annick Girardin</w:t>
      </w:r>
    </w:p>
    <w:p w:rsidR="004407C0" w:rsidRPr="004407C0" w:rsidRDefault="004407C0" w:rsidP="004407C0">
      <w:pPr>
        <w:spacing w:before="100" w:beforeAutospacing="1" w:after="100" w:afterAutospacing="1" w:line="240" w:lineRule="auto"/>
        <w:rPr>
          <w:color w:val="000000"/>
          <w:sz w:val="27"/>
          <w:szCs w:val="27"/>
          <w:rFonts w:ascii="Times New Roman" w:eastAsia="Times New Roman" w:hAnsi="Times New Roman" w:cs="Times New Roman"/>
        </w:rPr>
      </w:pPr>
      <w:r>
        <w:rPr>
          <w:color w:val="000000"/>
          <w:sz w:val="27"/>
          <w:rFonts w:ascii="Times New Roman" w:hAnsi="Times New Roman"/>
        </w:rPr>
        <w:br/>
      </w:r>
      <w:r>
        <w:rPr>
          <w:color w:val="000000"/>
          <w:sz w:val="27"/>
          <w:rFonts w:ascii="Times New Roman" w:hAnsi="Times New Roman"/>
        </w:rPr>
        <w:t xml:space="preserve">Državni sekretar pri ministru za ekološki in vključujoč prehod, pristojen za promet</w:t>
      </w:r>
      <w:r>
        <w:rPr>
          <w:color w:val="000000"/>
          <w:sz w:val="27"/>
          <w:rFonts w:ascii="Times New Roman" w:hAnsi="Times New Roman"/>
        </w:rPr>
        <w:br/>
      </w:r>
      <w:r>
        <w:rPr>
          <w:color w:val="000000"/>
          <w:sz w:val="27"/>
          <w:rFonts w:ascii="Times New Roman" w:hAnsi="Times New Roman"/>
        </w:rPr>
        <w:t xml:space="preserve">Jean-Baptiste Djebbari</w:t>
      </w:r>
    </w:p>
    <w:p w:rsidR="004044CB" w:rsidRDefault="004044CB"/>
    <w:sectPr w:rsidR="00404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C0"/>
    <w:rsid w:val="004044CB"/>
    <w:rsid w:val="00440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74BE-4F42-4E19-A716-D3957FFF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2021-08-20T12:39:00Z</dcterms:created>
  <dcterms:modified xsi:type="dcterms:W3CDTF">2021-08-20T12:40:00Z</dcterms:modified>
</cp:coreProperties>
</file>