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61F7" w14:textId="77777777" w:rsidR="00B767EF" w:rsidRPr="00B767EF" w:rsidRDefault="00B767EF" w:rsidP="00B767E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Decretul din 10 mai 2019 de modificare a Decretului din 25 iunie 1980 privind aprobarea dispozițiilor generale ale regulamentului de securitate împotriva riscurilor de incendiu și de panică în instituțiile publice</w:t>
      </w:r>
    </w:p>
    <w:p w14:paraId="07833EEA" w14:textId="77777777" w:rsidR="00B767EF" w:rsidRPr="00B767EF" w:rsidRDefault="00B767EF" w:rsidP="00B767E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Public interesat: operatorii și proprietarii instituțiilor publice, dezvoltatorii, antreprenorii, arhitecții, membrii comisiilor de securitate, inspectorii pentru revizia tehnică, producătorii și instalatorii de echipamente care utilizează agenți frigorifici. </w:t>
      </w:r>
      <w:r>
        <w:rPr>
          <w:rFonts w:ascii="Times New Roman" w:hAnsi="Times New Roman"/>
          <w:sz w:val="24"/>
        </w:rPr>
        <w:br/>
        <w:t xml:space="preserve">Subiect: modificarea unei dispoziții privind utilizarea agenților frigorifici în spațiile publice. </w:t>
      </w:r>
      <w:r>
        <w:rPr>
          <w:rFonts w:ascii="Times New Roman" w:hAnsi="Times New Roman"/>
          <w:sz w:val="24"/>
        </w:rPr>
        <w:br/>
        <w:t xml:space="preserve">Intrare în vigoare: ziua următoare publicării în Jurnalul Oficial al Republicii Franceze. </w:t>
      </w:r>
      <w:r>
        <w:rPr>
          <w:rFonts w:ascii="Times New Roman" w:hAnsi="Times New Roman"/>
          <w:sz w:val="24"/>
        </w:rPr>
        <w:br/>
        <w:t xml:space="preserve">Notificare: Regulamentul (UE) nr. 517/2014 al Parlamentului European și al Consiliului din 16 aprilie 2014 privind gazele fluorurate cu efect de seră prevede o reducere a emisiilor de astfel de gaze și în special a hidrofluorcarburilor (HFC). Unele HFC sunt utilizate la echipamentele sau instalațiile de încălzire, de condiționare a aerului, de climatizare și de producere a apei calde menajere în instituțiile publice. Alternativele la HFC utilizate pentru aparatele de climatizare/refrigerare din instituțiile publice sunt de cele mai multe ori inflamabile. Scopul prezentului decret este de a autoriza utilizarea acestor alternative în instituțiile publice cu condiția punerii în aplicare a anumitor măsuri de gestionare a riscurilor. Modalitățile de gestionare a riscurilor incluse în prezentul decret se bazează pe avizul Direcției Generale pentru Prevenirea Riscurilor (DGPR) din cadrul Ministerului Tranziției Ecologice și Solidare (MTES) și pe analiza riscurilor realizată de INERIS (Institutul Național pentru Mediul Industrial și Riscuri). </w:t>
      </w:r>
      <w:r>
        <w:rPr>
          <w:rFonts w:ascii="Times New Roman" w:hAnsi="Times New Roman"/>
          <w:sz w:val="24"/>
        </w:rPr>
        <w:br/>
        <w:t xml:space="preserve">Referințe: textul modificat prin prezentul decret poate fi consultat în versiunea rezultată ca urmare a acestei modificări pe pagina de internet Légifrance (http://www.legifrance.gouv.fr). </w:t>
      </w:r>
    </w:p>
    <w:p w14:paraId="511145FD" w14:textId="77777777" w:rsidR="00B767EF" w:rsidRPr="00B767EF" w:rsidRDefault="00B767EF" w:rsidP="00B767E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Internelor,</w:t>
      </w:r>
      <w:r>
        <w:rPr>
          <w:rFonts w:ascii="Times New Roman" w:hAnsi="Times New Roman"/>
          <w:sz w:val="24"/>
        </w:rPr>
        <w:br/>
        <w:t>având în vedere Directiva (UE) 2015/1535 a Parlamentului European și a Consiliului din 9 septembrie 2015 referitoare la procedura de furnizare de informații în domeniul reglementărilor tehnice și al normelor privind serviciile societății informaționale, în special, notificarea nr. 2018/467/F;</w:t>
      </w:r>
      <w:r>
        <w:rPr>
          <w:rFonts w:ascii="Times New Roman" w:hAnsi="Times New Roman"/>
          <w:sz w:val="24"/>
        </w:rPr>
        <w:br/>
        <w:t>având în vedere Codul construcțiilor și locuințelor, în special articolul R. 123-12,</w:t>
      </w:r>
      <w:r>
        <w:rPr>
          <w:rFonts w:ascii="Times New Roman" w:hAnsi="Times New Roman"/>
          <w:sz w:val="24"/>
        </w:rPr>
        <w:br/>
        <w:t>având în vedere Decretul din 25 iunie 1980 de modificare a dispozițiilor regulamentului de securitate împotriva riscurilor de incendiu și de panică în instituțiile publice;</w:t>
      </w:r>
      <w:r>
        <w:rPr>
          <w:rFonts w:ascii="Times New Roman" w:hAnsi="Times New Roman"/>
          <w:sz w:val="24"/>
        </w:rPr>
        <w:br/>
        <w:t>având în vedere avizul Consiliului superior al construcțiilor și eficienței energetice din data de 16 octombrie 2018;</w:t>
      </w:r>
      <w:r>
        <w:rPr>
          <w:rFonts w:ascii="Times New Roman" w:hAnsi="Times New Roman"/>
          <w:sz w:val="24"/>
        </w:rPr>
        <w:br/>
        <w:t>având în vedere avizul Consiliului Național de Evaluare a Standardelor din data de 11 octombrie 2018;</w:t>
      </w:r>
      <w:r>
        <w:rPr>
          <w:rFonts w:ascii="Times New Roman" w:hAnsi="Times New Roman"/>
          <w:sz w:val="24"/>
        </w:rPr>
        <w:br/>
        <w:t>Dispune:</w:t>
      </w:r>
    </w:p>
    <w:p w14:paraId="1EB6D07B" w14:textId="77777777" w:rsidR="00B767EF" w:rsidRPr="00B767EF" w:rsidRDefault="00B767EF" w:rsidP="00B767E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1</w:t>
      </w:r>
    </w:p>
    <w:p w14:paraId="6668C2CB"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Cartea II titlul I capitolul V din regulamentul de securitate împotriva riscurilor de incendiu și de panică în instituțiile publice, aprobat prin Decretul din 25 iunie 1980 sus-menționat se modifică conform articolelor 2-3.</w:t>
      </w:r>
    </w:p>
    <w:p w14:paraId="5C05C3DB" w14:textId="77777777" w:rsidR="00B767EF" w:rsidRPr="00B767EF" w:rsidRDefault="00B767EF" w:rsidP="00B767E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Articolul 2</w:t>
      </w:r>
    </w:p>
    <w:p w14:paraId="643787CA" w14:textId="05BD872A"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Articolul CH 35 se înlocuiește cu următoarele dispoziții: </w:t>
      </w:r>
      <w:r>
        <w:rPr>
          <w:rFonts w:ascii="Times New Roman" w:hAnsi="Times New Roman"/>
          <w:sz w:val="24"/>
        </w:rPr>
        <w:br/>
        <w:t xml:space="preserve">„Echipamentele sau instalațiile care utilizează agenți frigorifici </w:t>
      </w:r>
      <w:r w:rsidR="000E3F5D" w:rsidRPr="00B767EF">
        <w:rPr>
          <w:rFonts w:ascii="Times New Roman" w:eastAsia="Times New Roman" w:hAnsi="Times New Roman" w:cs="Times New Roman"/>
          <w:sz w:val="24"/>
          <w:szCs w:val="24"/>
          <w:lang w:eastAsia="fr-FR"/>
        </w:rPr>
        <w:br/>
      </w:r>
      <w:r>
        <w:rPr>
          <w:rFonts w:ascii="Times New Roman" w:hAnsi="Times New Roman"/>
          <w:sz w:val="24"/>
        </w:rPr>
        <w:t xml:space="preserve">Articolul 1 În sensul prezentului decret, se înțelege prin: </w:t>
      </w:r>
    </w:p>
    <w:p w14:paraId="41614B6A"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„agenți frigorifici inflamabili”, agenții care prezintă propagarea flăcării la o temperatură de 60° C și o presiune de 101,3 kPa; </w:t>
      </w:r>
      <w:r>
        <w:rPr>
          <w:rFonts w:ascii="Times New Roman" w:hAnsi="Times New Roman"/>
          <w:sz w:val="24"/>
        </w:rPr>
        <w:br/>
        <w:t xml:space="preserve">- „agenți frigorifici toxici”, agenții pentru care există dovezi de toxicitate la concentrații sub 400 ppm. </w:t>
      </w:r>
    </w:p>
    <w:p w14:paraId="4C970516"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Echipamentele și instalațiile termodinamice destinate asigurării încălzirii, condiționării aerului, climatizării și producerii de apă caldă menajeră respectă următoarele dispoziții. </w:t>
      </w:r>
      <w:r>
        <w:rPr>
          <w:rFonts w:ascii="Times New Roman" w:hAnsi="Times New Roman"/>
          <w:sz w:val="24"/>
        </w:rPr>
        <w:br/>
        <w:t xml:space="preserve">Articolul 2 Dispoziții aplicabile indiferent de agentul frigorific utilizat.  </w:t>
      </w:r>
      <w:r>
        <w:rPr>
          <w:rFonts w:ascii="Times New Roman" w:hAnsi="Times New Roman"/>
          <w:sz w:val="24"/>
        </w:rPr>
        <w:br/>
        <w:t xml:space="preserve">Atunci când echipamentele cu compresor încorporat sunt amplasate în spațiile publice, compresorul este ermetic sau semiermetic. </w:t>
      </w:r>
      <w:r>
        <w:rPr>
          <w:rFonts w:ascii="Times New Roman" w:hAnsi="Times New Roman"/>
          <w:sz w:val="24"/>
        </w:rPr>
        <w:br/>
        <w:t xml:space="preserve">Atunci când echipamentele sunt amplasate în sala mașinilor, aceasta este echipată cu cel puțin două orificii de ventilație care dau spre exteriorul clădirii, situate la înălțimi diferite. Aceasta este diferită de sala cazanelor și nu comunică în mod direct cu spațiile publice. </w:t>
      </w:r>
      <w:r>
        <w:rPr>
          <w:rFonts w:ascii="Times New Roman" w:hAnsi="Times New Roman"/>
          <w:sz w:val="24"/>
        </w:rPr>
        <w:br/>
        <w:t xml:space="preserve">Țevile care transportă agenții frigorifici sunt fabricate din metal. </w:t>
      </w:r>
      <w:r>
        <w:rPr>
          <w:rFonts w:ascii="Times New Roman" w:hAnsi="Times New Roman"/>
          <w:sz w:val="24"/>
        </w:rPr>
        <w:br/>
        <w:t xml:space="preserve">Izolația termică utilizată pentru izolarea țevilor este fabricată din material din clasa M1 sau CL-s3, d0 în spațiile și holurile publice și din material din clasa M3 sau DL-s3, d0 în alte părți ale instituției. </w:t>
      </w:r>
      <w:r>
        <w:rPr>
          <w:rFonts w:ascii="Times New Roman" w:hAnsi="Times New Roman"/>
          <w:sz w:val="24"/>
        </w:rPr>
        <w:br/>
        <w:t xml:space="preserve">Conductele și recipientele care conțin agenți utilizați pentru transportul frigului (denumiți „agenți de răcire”) trebuie să respecte dispozițiile de la articolul CH 25 alineatul (3). </w:t>
      </w:r>
      <w:r>
        <w:rPr>
          <w:rFonts w:ascii="Times New Roman" w:hAnsi="Times New Roman"/>
          <w:sz w:val="24"/>
        </w:rPr>
        <w:br/>
        <w:t xml:space="preserve">Izolația termică utilizată pentru recipientele care conțin agenți frigorifici este fabricată din material din clasa M1 sau B-s3, d0 în spațiile și holurile publice și din material din clasa M3 sau D-s3, d0 în alte părți ale instituției. </w:t>
      </w:r>
      <w:r>
        <w:rPr>
          <w:rFonts w:ascii="Times New Roman" w:hAnsi="Times New Roman"/>
          <w:sz w:val="24"/>
        </w:rPr>
        <w:br/>
        <w:t xml:space="preserve">Articolul 3 Dispoziții aplicabile în cazul utilizării agenților frigorifici inflamabili  </w:t>
      </w:r>
      <w:r>
        <w:rPr>
          <w:rFonts w:ascii="Times New Roman" w:hAnsi="Times New Roman"/>
          <w:sz w:val="24"/>
        </w:rPr>
        <w:br/>
        <w:t xml:space="preserve">Dispozițiile de la alineatul (3) nu se aplică echipamentelor închise ermetic care poartă marcajul CE. </w:t>
      </w:r>
      <w:r>
        <w:rPr>
          <w:rFonts w:ascii="Times New Roman" w:hAnsi="Times New Roman"/>
          <w:sz w:val="24"/>
        </w:rPr>
        <w:br/>
        <w:t xml:space="preserve">Instalarea de racorduri demontabile pe țevile care transportă agenții frigorifici inflamabili este interzisă exceptând îmbinările între unități. </w:t>
      </w:r>
      <w:r>
        <w:rPr>
          <w:rFonts w:ascii="Times New Roman" w:hAnsi="Times New Roman"/>
          <w:sz w:val="24"/>
        </w:rPr>
        <w:br/>
        <w:t xml:space="preserve">Țevile care transportă agenți frigorifici inflamabili sunt protejate împotriva oricărui risc de rupere. Țevile sunt amplasate la o înălțime minimă de doi metri față de sol sau aplicarea unei protecții mecanice care îndeplinește această cerință. </w:t>
      </w:r>
      <w:r>
        <w:rPr>
          <w:rFonts w:ascii="Times New Roman" w:hAnsi="Times New Roman"/>
          <w:sz w:val="24"/>
        </w:rPr>
        <w:br/>
        <w:t>Diametrul interior al țevilor care transportă agenți frigorifici inflamabili în stare lichidă este mai mic de 50 mm.</w:t>
      </w:r>
      <w:r>
        <w:rPr>
          <w:rFonts w:ascii="Times New Roman" w:hAnsi="Times New Roman"/>
          <w:sz w:val="24"/>
        </w:rPr>
        <w:br/>
        <w:t xml:space="preserve">În plus față de condițiile prevăzute la alineatul (2), izolația termică utilizată pentru izolarea unităților interioare care conțin agenți frigorifici este realizată din material din clasa M1 sau B-s3, d0. </w:t>
      </w:r>
      <w:r>
        <w:rPr>
          <w:rFonts w:ascii="Times New Roman" w:hAnsi="Times New Roman"/>
          <w:sz w:val="24"/>
        </w:rPr>
        <w:br/>
        <w:t xml:space="preserve">Sălile mașinilor sunt spații cu risc mediu în sensul articolului CO 28 alineatul (2). </w:t>
      </w:r>
      <w:r>
        <w:rPr>
          <w:rFonts w:ascii="Times New Roman" w:hAnsi="Times New Roman"/>
          <w:sz w:val="24"/>
        </w:rPr>
        <w:br/>
        <w:t xml:space="preserve">(a) Zona de excludere. </w:t>
      </w:r>
      <w:r>
        <w:rPr>
          <w:rFonts w:ascii="Times New Roman" w:hAnsi="Times New Roman"/>
          <w:sz w:val="24"/>
        </w:rPr>
        <w:br/>
        <w:t xml:space="preserve">Este stabilită în jurul recordurilor demontabile ale unităților care conțin agenți frigorifici inflamabili într-o zonă în care este interzisă orice sursă de aprindere și, în special, orice flacără sau aparat capabil să producă o scânteie, cu scopul de a evita orice risc de </w:t>
      </w:r>
      <w:r>
        <w:rPr>
          <w:rFonts w:ascii="Times New Roman" w:hAnsi="Times New Roman"/>
          <w:sz w:val="24"/>
        </w:rPr>
        <w:lastRenderedPageBreak/>
        <w:t xml:space="preserve">aprindere în caz de scurgere. </w:t>
      </w:r>
      <w:r>
        <w:rPr>
          <w:rFonts w:ascii="Times New Roman" w:hAnsi="Times New Roman"/>
          <w:sz w:val="24"/>
        </w:rPr>
        <w:br/>
        <w:t xml:space="preserve">În funcție de care instalațiile sunt situate în interiorul sau exteriorul instituției și în funcție de caracteristicile de ardere a agentului, raza acestei zone este definită în tabelul următor: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7"/>
        <w:gridCol w:w="1706"/>
        <w:gridCol w:w="1679"/>
        <w:gridCol w:w="1694"/>
      </w:tblGrid>
      <w:tr w:rsidR="00B767EF" w:rsidRPr="00B767EF" w14:paraId="4C9966B3" w14:textId="77777777" w:rsidTr="00B767E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AB0631" w14:textId="0DD82B3C" w:rsidR="00B767EF" w:rsidRPr="00B767EF" w:rsidRDefault="00B767EF" w:rsidP="00B767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 xml:space="preserve">Diametru interior D al țevii prin care circulă agentul în stare lichidă (mm)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19608A" w14:textId="77777777" w:rsidR="00B767EF" w:rsidRPr="00B767EF" w:rsidRDefault="00B767EF" w:rsidP="00B767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 xml:space="preserve">Rază (m) </w:t>
            </w:r>
          </w:p>
        </w:tc>
      </w:tr>
      <w:tr w:rsidR="00B767EF" w:rsidRPr="00B767EF" w14:paraId="052FA11E" w14:textId="77777777" w:rsidTr="00B767E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05AF54" w14:textId="77777777" w:rsidR="00B767EF" w:rsidRPr="00B767EF" w:rsidRDefault="00B767EF" w:rsidP="00B767EF">
            <w:pPr>
              <w:spacing w:after="0" w:line="240" w:lineRule="auto"/>
              <w:rPr>
                <w:rFonts w:ascii="Times New Roman" w:eastAsia="Times New Roman" w:hAnsi="Times New Roman" w:cs="Times New Roman"/>
                <w:b/>
                <w:bCs/>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23FC3C" w14:textId="32FCCE0D" w:rsidR="00B767EF" w:rsidRPr="00B767EF" w:rsidRDefault="00B767EF" w:rsidP="00B767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Instalații exterioare</w:t>
            </w:r>
            <w:r w:rsidR="00A066D1">
              <w:rPr>
                <w:rFonts w:ascii="Times New Roman" w:hAnsi="Times New Roman"/>
                <w:b/>
                <w:sz w:val="24"/>
              </w:rPr>
              <w:t xml:space="preserve"> </w:t>
            </w:r>
            <w:r>
              <w:rPr>
                <w:rFonts w:ascii="Times New Roman" w:hAnsi="Times New Roman"/>
                <w:b/>
                <w:sz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07804" w14:textId="27798724" w:rsidR="00B767EF" w:rsidRPr="00B767EF" w:rsidRDefault="00B767EF" w:rsidP="00B767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Instalații interioare</w:t>
            </w:r>
            <w:r w:rsidR="00A066D1">
              <w:rPr>
                <w:rFonts w:ascii="Times New Roman" w:hAnsi="Times New Roman"/>
                <w:b/>
                <w:sz w:val="24"/>
              </w:rPr>
              <w:t xml:space="preserve"> </w:t>
            </w:r>
            <w:r>
              <w:rPr>
                <w:rFonts w:ascii="Times New Roman" w:hAnsi="Times New Roman"/>
                <w:b/>
                <w:sz w:val="24"/>
              </w:rPr>
              <w:t>(2)</w:t>
            </w:r>
            <w:r>
              <w:rPr>
                <w:rFonts w:ascii="Times New Roman" w:hAnsi="Times New Roman"/>
                <w:b/>
                <w:sz w:val="24"/>
              </w:rPr>
              <w:br/>
              <w:t xml:space="preserve">LII ≥ 0,10 kg/m3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912B6" w14:textId="7C422F50" w:rsidR="00B767EF" w:rsidRPr="00B767EF" w:rsidRDefault="00B767EF" w:rsidP="00B767EF">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Instalații interioare</w:t>
            </w:r>
            <w:r w:rsidR="00A066D1">
              <w:rPr>
                <w:rFonts w:ascii="Times New Roman" w:hAnsi="Times New Roman"/>
                <w:b/>
                <w:sz w:val="24"/>
              </w:rPr>
              <w:t xml:space="preserve"> </w:t>
            </w:r>
            <w:r>
              <w:rPr>
                <w:rFonts w:ascii="Times New Roman" w:hAnsi="Times New Roman"/>
                <w:b/>
                <w:sz w:val="24"/>
              </w:rPr>
              <w:t>(3)</w:t>
            </w:r>
            <w:r>
              <w:rPr>
                <w:rFonts w:ascii="Times New Roman" w:hAnsi="Times New Roman"/>
                <w:b/>
                <w:sz w:val="24"/>
              </w:rPr>
              <w:br/>
              <w:t xml:space="preserve">LII &lt; 0,10 kg/m3 </w:t>
            </w:r>
          </w:p>
        </w:tc>
      </w:tr>
      <w:tr w:rsidR="00B767EF" w:rsidRPr="00B767EF" w14:paraId="05AF61DD" w14:textId="77777777" w:rsidTr="00B767E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44BCF1"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D ≤ 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11023"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4FD76"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C5D2D"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2 </w:t>
            </w:r>
          </w:p>
        </w:tc>
      </w:tr>
      <w:tr w:rsidR="00B767EF" w:rsidRPr="00B767EF" w14:paraId="3650889A" w14:textId="77777777" w:rsidTr="00B767E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4A1EF2"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10 &lt; D ≤ 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20494"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6735C"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48935"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4 </w:t>
            </w:r>
          </w:p>
        </w:tc>
      </w:tr>
      <w:tr w:rsidR="00B767EF" w:rsidRPr="00B767EF" w14:paraId="1020D8A8" w14:textId="77777777" w:rsidTr="00B767E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4753"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20 &lt; D ≤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E0AA6"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B77CA"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F7965" w14:textId="77777777" w:rsidR="00B767EF" w:rsidRPr="00B767EF" w:rsidRDefault="00B767EF" w:rsidP="00B767EF">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10 </w:t>
            </w:r>
          </w:p>
        </w:tc>
      </w:tr>
    </w:tbl>
    <w:p w14:paraId="57246B03"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(b) Cantitatea maximă permisă de încărcare. </w:t>
      </w:r>
      <w:r>
        <w:rPr>
          <w:rFonts w:ascii="Times New Roman" w:hAnsi="Times New Roman"/>
          <w:sz w:val="24"/>
        </w:rPr>
        <w:br/>
        <w:t xml:space="preserve">Cantitatea totală maximă de agent frigorific inflamabil care circulă în circuitul frigorific este limitată pentru a evita orice risc de atingere a limitei inferioare de inflamabilitate în cazul unei scurgeri în spațiul respectiv. </w:t>
      </w:r>
      <w:r>
        <w:rPr>
          <w:rFonts w:ascii="Times New Roman" w:hAnsi="Times New Roman"/>
          <w:sz w:val="24"/>
        </w:rPr>
        <w:br/>
        <w:t xml:space="preserve">Aceasta este calculată pe baza următoarei formule: </w:t>
      </w:r>
      <w:r>
        <w:rPr>
          <w:rFonts w:ascii="Times New Roman" w:hAnsi="Times New Roman"/>
          <w:sz w:val="24"/>
        </w:rPr>
        <w:br/>
        <w:t>mmax = 2,5 x LII5/4 x h0 x A1/2</w:t>
      </w:r>
      <w:r>
        <w:rPr>
          <w:rFonts w:ascii="Times New Roman" w:hAnsi="Times New Roman"/>
          <w:sz w:val="24"/>
        </w:rPr>
        <w:br/>
        <w:t xml:space="preserve">Unde: </w:t>
      </w:r>
      <w:r>
        <w:rPr>
          <w:rFonts w:ascii="Times New Roman" w:hAnsi="Times New Roman"/>
          <w:sz w:val="24"/>
        </w:rPr>
        <w:br/>
        <w:t xml:space="preserve">mmax (kg): cantitatea totală maximă de agent frigorific inflamabil. </w:t>
      </w:r>
      <w:r>
        <w:rPr>
          <w:rFonts w:ascii="Times New Roman" w:hAnsi="Times New Roman"/>
          <w:sz w:val="24"/>
        </w:rPr>
        <w:br/>
        <w:t xml:space="preserve">LII (kg/m3): limita inferioară de inflamabilitate. </w:t>
      </w:r>
      <w:r>
        <w:rPr>
          <w:rFonts w:ascii="Times New Roman" w:hAnsi="Times New Roman"/>
          <w:sz w:val="24"/>
        </w:rPr>
        <w:br/>
        <w:t xml:space="preserve">h0: coeficientul corespunzător înălțimii echipamentului situat cel mai jos în spațiu, a cărui valoare este egală cu: </w:t>
      </w:r>
      <w:r>
        <w:rPr>
          <w:rFonts w:ascii="Times New Roman" w:hAnsi="Times New Roman"/>
          <w:sz w:val="24"/>
        </w:rPr>
        <w:br/>
        <w:t>0,6 pentru amplasarea pe podea;</w:t>
      </w:r>
      <w:r>
        <w:rPr>
          <w:rFonts w:ascii="Times New Roman" w:hAnsi="Times New Roman"/>
          <w:sz w:val="24"/>
        </w:rPr>
        <w:br/>
        <w:t>1,1 pentru montarea la fereastră;</w:t>
      </w:r>
      <w:r>
        <w:rPr>
          <w:rFonts w:ascii="Times New Roman" w:hAnsi="Times New Roman"/>
          <w:sz w:val="24"/>
        </w:rPr>
        <w:br/>
        <w:t>1,8 pentru amplasarea pe perete;</w:t>
      </w:r>
      <w:r>
        <w:rPr>
          <w:rFonts w:ascii="Times New Roman" w:hAnsi="Times New Roman"/>
          <w:sz w:val="24"/>
        </w:rPr>
        <w:br/>
        <w:t>2,2 pentru montarea pe plafon;</w:t>
      </w:r>
      <w:r>
        <w:rPr>
          <w:rFonts w:ascii="Times New Roman" w:hAnsi="Times New Roman"/>
          <w:sz w:val="24"/>
        </w:rPr>
        <w:br/>
        <w:t>înălțimea racordării celei mai joase din incintă dacă aceasta este mai mare de 2,2 m.</w:t>
      </w:r>
      <w:r>
        <w:rPr>
          <w:rFonts w:ascii="Times New Roman" w:hAnsi="Times New Roman"/>
          <w:sz w:val="24"/>
        </w:rPr>
        <w:br/>
        <w:t xml:space="preserve">A (m²): suprafața incintei. </w:t>
      </w:r>
      <w:r>
        <w:rPr>
          <w:rFonts w:ascii="Times New Roman" w:hAnsi="Times New Roman"/>
          <w:sz w:val="24"/>
        </w:rPr>
        <w:br/>
        <w:t xml:space="preserve">Nu se impune nicio restricție în ceea ce privește încărcarea agentului frigorific inflamabil dacă proiectarea echipamentului include o supapă de închidere a circuitului frigorific și un sistem de ventilație cu detector cu scopul de a preveni atingerea limitei inferioare de inflamabilitate în caz de scurgere. </w:t>
      </w:r>
      <w:r>
        <w:rPr>
          <w:rFonts w:ascii="Times New Roman" w:hAnsi="Times New Roman"/>
          <w:sz w:val="24"/>
        </w:rPr>
        <w:br/>
        <w:t>Nu se impune nicio restricție în ceea ce privește încărcarea agentului frigorific inflamabil dacă echipamentul care utilizează acest agent este situat într-o sală a mașinilor și această sală este echipată cu:</w:t>
      </w:r>
    </w:p>
    <w:p w14:paraId="2B2A44F5"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un sistem de detectare care, în cazul unei scurgeri, declanșează extractorul mecanic de aer și întrerupe circulația agentului pentru a limita durata scurgerii, fie prin oprirea completă a sistemului termodinamic, fie prin activarea unei supape solenoidale. Acest </w:t>
      </w:r>
      <w:r>
        <w:rPr>
          <w:rFonts w:ascii="Times New Roman" w:hAnsi="Times New Roman"/>
          <w:sz w:val="24"/>
        </w:rPr>
        <w:lastRenderedPageBreak/>
        <w:t>sistem de detectare este format dintr-un echipament de înregistrare a incendiilor și doi senzori infiltrați, în funcție de natura agentului utilizat. Un dispozitiv automat de avertizare semnalează orice defecțiune a sistemului și în ceea ce privește extragerea aerului:</w:t>
      </w:r>
      <w:r>
        <w:rPr>
          <w:rFonts w:ascii="Times New Roman" w:hAnsi="Times New Roman"/>
          <w:sz w:val="24"/>
        </w:rPr>
        <w:br/>
        <w:t xml:space="preserve">- un extractor mecanic de aer care asigură o rată de schimbare a aerului suficientă pentru a se situa sub limita inferioară de inflamabilitate la evacuare. Acest dispozitiv este din categoria 3 în sensul Directivei 2014/34/UE privind echipamentele și sistemele de protecție destinate utilizării în atmosfere potențial explozive. </w:t>
      </w:r>
    </w:p>
    <w:p w14:paraId="0FA42FF1"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(c) instalarea echipamentelor și sistemelor termodinamice respectă normele recomandate de producător. </w:t>
      </w:r>
      <w:r>
        <w:rPr>
          <w:rFonts w:ascii="Times New Roman" w:hAnsi="Times New Roman"/>
          <w:sz w:val="24"/>
        </w:rPr>
        <w:br/>
        <w:t>Un document care centralizează elementele descriptive ale instalației este redactat și păstrat la dispoziția autorităților administrative și unităților de intervenție, care trebuie să aibă cunoștință de acesta înainte de orice intervenție. Documentul cuprinde în special elementele următoare:</w:t>
      </w:r>
    </w:p>
    <w:p w14:paraId="28CFE839"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un plan al rețelei de conducte;</w:t>
      </w:r>
      <w:r>
        <w:rPr>
          <w:rFonts w:ascii="Times New Roman" w:hAnsi="Times New Roman"/>
          <w:sz w:val="24"/>
        </w:rPr>
        <w:br/>
        <w:t>- o prezentare sinoptică a instalației;</w:t>
      </w:r>
      <w:r>
        <w:rPr>
          <w:rFonts w:ascii="Times New Roman" w:hAnsi="Times New Roman"/>
          <w:sz w:val="24"/>
        </w:rPr>
        <w:br/>
        <w:t>- un calcul detaliat și justificat al cantității sau cantităților maxime de agenți frigorifici;</w:t>
      </w:r>
      <w:r>
        <w:rPr>
          <w:rFonts w:ascii="Times New Roman" w:hAnsi="Times New Roman"/>
          <w:sz w:val="24"/>
        </w:rPr>
        <w:br/>
        <w:t>- un plan de dispunere a dispozitivelor de siguranță (detectoare, electrovane, sisteme de ventilație…);</w:t>
      </w:r>
      <w:r>
        <w:rPr>
          <w:rFonts w:ascii="Times New Roman" w:hAnsi="Times New Roman"/>
          <w:sz w:val="24"/>
        </w:rPr>
        <w:br/>
        <w:t>- debitele teoretice ale eventualelor sisteme de ventilație în caz de depășire a cantității maxime calculate;</w:t>
      </w:r>
      <w:r>
        <w:rPr>
          <w:rFonts w:ascii="Times New Roman" w:hAnsi="Times New Roman"/>
          <w:sz w:val="24"/>
        </w:rPr>
        <w:br/>
        <w:t>- o demonstrație a calibrării și fiabilității sistemului de detectare, precum și rata de schimbare a aerului din extractorul mecanic de aer;</w:t>
      </w:r>
      <w:r>
        <w:rPr>
          <w:rFonts w:ascii="Times New Roman" w:hAnsi="Times New Roman"/>
          <w:sz w:val="24"/>
        </w:rPr>
        <w:br/>
        <w:t xml:space="preserve">- un tabel de corespondență între diferitele dispozitive de siguranță în caz de depășire a cantității maxime calculate. </w:t>
      </w:r>
    </w:p>
    <w:p w14:paraId="4B0CAAF9"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Acest document este actualizat ca urmare a oricărei modificări a instalațiilor sau spațiilor. </w:t>
      </w:r>
      <w:r>
        <w:rPr>
          <w:rFonts w:ascii="Times New Roman" w:hAnsi="Times New Roman"/>
          <w:sz w:val="24"/>
        </w:rPr>
        <w:br/>
        <w:t xml:space="preserve">Instalația trebuie verificată anual de un tehnician competent care trebuie să întocmească un raport în care menționează în special rezultatul detectărilor de scurgeri directe sau indirecte. Cel puțin 20 % dintre dispozitivele de securitate și servocontroalele corespunzătoare sus-menționate trebuie verificate anual și toate acestea trebuie să fi fost verificate pe o perioadă de 5 ani. Rezultatul acestor teste este inclus în raportul sus-menționat. </w:t>
      </w:r>
      <w:r>
        <w:rPr>
          <w:rFonts w:ascii="Times New Roman" w:hAnsi="Times New Roman"/>
          <w:sz w:val="24"/>
        </w:rPr>
        <w:br/>
        <w:t xml:space="preserve">Articolul 4 Utilizarea agenților frigorifici toxici este autorizată dacă sunt îndeplinite în mod simultan următoarele trei condiții: </w:t>
      </w:r>
    </w:p>
    <w:p w14:paraId="4007EB3F"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instalarea în exterior sau în sala mașinilor, separată de camera cazanelor;</w:t>
      </w:r>
      <w:r>
        <w:rPr>
          <w:rFonts w:ascii="Times New Roman" w:hAnsi="Times New Roman"/>
          <w:sz w:val="24"/>
        </w:rPr>
        <w:br/>
        <w:t>- funcționarea în sistemul de schimb indirect;</w:t>
      </w:r>
      <w:r>
        <w:rPr>
          <w:rFonts w:ascii="Times New Roman" w:hAnsi="Times New Roman"/>
          <w:sz w:val="24"/>
        </w:rPr>
        <w:br/>
        <w:t xml:space="preserve">- cantitatea totală de agenți prezentă în toate echipamentele este limitată la 150 kg. </w:t>
      </w:r>
    </w:p>
    <w:p w14:paraId="0AD8B318" w14:textId="6B18ED14"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Articolul 5 Aparatele sau grupurile de aparate cu combustie pentru producerea frigului sunt instalate în condițiile prevăzute la articolul CH 5 sau CH 6, în funcție de puterea lor.” </w:t>
      </w:r>
    </w:p>
    <w:p w14:paraId="365B6614" w14:textId="364BF674" w:rsidR="00B767EF" w:rsidRPr="00B767EF" w:rsidRDefault="00B767EF" w:rsidP="00B767E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1. O zonă de excludere necesară numai pentru instalațiile exterioare cu agenți frigorifici inflamabili care au o rată de propagare a flăcării de peste 10 cm/s.</w:t>
      </w:r>
      <w:r>
        <w:rPr>
          <w:rFonts w:ascii="Times New Roman" w:hAnsi="Times New Roman"/>
          <w:sz w:val="24"/>
        </w:rPr>
        <w:br/>
        <w:t xml:space="preserve">2. Agenții frigorifici inflamabili care au o limită inferioară de inflamabilitate mai mică sau egală cu 0,10 kg/m³. </w:t>
      </w:r>
      <w:r>
        <w:rPr>
          <w:rFonts w:ascii="Times New Roman" w:hAnsi="Times New Roman"/>
          <w:sz w:val="24"/>
        </w:rPr>
        <w:br/>
        <w:t>3</w:t>
      </w:r>
      <w:r w:rsidR="00A066D1">
        <w:rPr>
          <w:rFonts w:ascii="Times New Roman" w:hAnsi="Times New Roman"/>
          <w:sz w:val="24"/>
        </w:rPr>
        <w:t>.</w:t>
      </w:r>
      <w:r>
        <w:rPr>
          <w:rFonts w:ascii="Times New Roman" w:hAnsi="Times New Roman"/>
          <w:sz w:val="24"/>
        </w:rPr>
        <w:t xml:space="preserve"> Agenții frigorifici inflamabili cu o limită inferioară de inflamabilitate mai mică de 0,10 kg/m³.</w:t>
      </w:r>
    </w:p>
    <w:p w14:paraId="6B67D63E" w14:textId="77777777" w:rsidR="00B767EF" w:rsidRPr="00B767EF" w:rsidRDefault="00B767EF" w:rsidP="00B767E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3</w:t>
      </w:r>
    </w:p>
    <w:p w14:paraId="09930595"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Litera (c) de la articolul CH 45 se elimină.</w:t>
      </w:r>
    </w:p>
    <w:p w14:paraId="6849DEBF" w14:textId="77777777" w:rsidR="00B767EF" w:rsidRPr="00B767EF" w:rsidRDefault="00B767EF" w:rsidP="00B767E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4</w:t>
      </w:r>
    </w:p>
    <w:p w14:paraId="74F3395F"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Cartea II titlul II capitolul II din regulamentul de securitate împotriva riscurilor de incendiu și de panică în instituțiile publice, aprobat prin Decretul din 25 iunie 1980 sus-menționat se modifică după cum urmează: </w:t>
      </w:r>
      <w:r>
        <w:rPr>
          <w:rFonts w:ascii="Times New Roman" w:hAnsi="Times New Roman"/>
          <w:sz w:val="24"/>
        </w:rPr>
        <w:br/>
        <w:t>Alineatul (4) de la articolul M 40 se elimină.</w:t>
      </w:r>
    </w:p>
    <w:p w14:paraId="31ECF89C" w14:textId="77777777" w:rsidR="00B767EF" w:rsidRPr="00B767EF" w:rsidRDefault="00B767EF" w:rsidP="00B767E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5</w:t>
      </w:r>
    </w:p>
    <w:p w14:paraId="6B0A3F54" w14:textId="77777777" w:rsidR="00B767EF" w:rsidRPr="00B767EF" w:rsidRDefault="00B767EF" w:rsidP="00B767E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Prezentul decret intră în vigoare în ziua următoare publicării sale în Jurnalul Oficial al Republicii Franceze.</w:t>
      </w:r>
    </w:p>
    <w:p w14:paraId="032C5E60" w14:textId="77777777" w:rsidR="00B767EF" w:rsidRPr="00B767EF" w:rsidRDefault="00B767EF" w:rsidP="00B767E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Adoptat la 10 mai 2019.</w:t>
      </w:r>
    </w:p>
    <w:p w14:paraId="582D28DE" w14:textId="12FB45E1" w:rsidR="00B767EF" w:rsidRPr="00B767EF" w:rsidRDefault="00B767EF" w:rsidP="00B767E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În numele ministrului de stat și prin delegare:</w:t>
      </w:r>
      <w:r>
        <w:rPr>
          <w:rFonts w:ascii="Times New Roman" w:hAnsi="Times New Roman"/>
          <w:sz w:val="24"/>
        </w:rPr>
        <w:br/>
        <w:t>Șeful serviciului, director general adjunct pentru securitate civilă și gestionarea crizelor, responsabil pentru Direcția pompieri,</w:t>
      </w:r>
      <w:r>
        <w:rPr>
          <w:rFonts w:ascii="Times New Roman" w:hAnsi="Times New Roman"/>
          <w:sz w:val="24"/>
        </w:rPr>
        <w:br/>
      </w:r>
      <w:r w:rsidR="00EC52C6">
        <w:rPr>
          <w:rFonts w:ascii="Times New Roman" w:hAnsi="Times New Roman"/>
          <w:sz w:val="24"/>
        </w:rPr>
        <w:t>M.</w:t>
      </w:r>
      <w:r>
        <w:rPr>
          <w:rFonts w:ascii="Times New Roman" w:hAnsi="Times New Roman"/>
          <w:sz w:val="24"/>
        </w:rPr>
        <w:t xml:space="preserve"> Marquer</w:t>
      </w:r>
    </w:p>
    <w:p w14:paraId="5785BBFE" w14:textId="77777777" w:rsidR="006467BD" w:rsidRDefault="006467BD"/>
    <w:sectPr w:rsidR="0064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EF"/>
    <w:rsid w:val="000E3F5D"/>
    <w:rsid w:val="00500C1C"/>
    <w:rsid w:val="006467BD"/>
    <w:rsid w:val="00A066D1"/>
    <w:rsid w:val="00B767EF"/>
    <w:rsid w:val="00EC52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BCF1"/>
  <w15:chartTrackingRefBased/>
  <w15:docId w15:val="{9718DBF2-DF08-434E-8486-12F8ECF7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6541">
      <w:bodyDiv w:val="1"/>
      <w:marLeft w:val="0"/>
      <w:marRight w:val="0"/>
      <w:marTop w:val="0"/>
      <w:marBottom w:val="0"/>
      <w:divBdr>
        <w:top w:val="none" w:sz="0" w:space="0" w:color="auto"/>
        <w:left w:val="none" w:sz="0" w:space="0" w:color="auto"/>
        <w:bottom w:val="none" w:sz="0" w:space="0" w:color="auto"/>
        <w:right w:val="none" w:sz="0" w:space="0" w:color="auto"/>
      </w:divBdr>
      <w:divsChild>
        <w:div w:id="1240165949">
          <w:marLeft w:val="0"/>
          <w:marRight w:val="0"/>
          <w:marTop w:val="0"/>
          <w:marBottom w:val="0"/>
          <w:divBdr>
            <w:top w:val="none" w:sz="0" w:space="0" w:color="auto"/>
            <w:left w:val="none" w:sz="0" w:space="0" w:color="auto"/>
            <w:bottom w:val="none" w:sz="0" w:space="0" w:color="auto"/>
            <w:right w:val="none" w:sz="0" w:space="0" w:color="auto"/>
          </w:divBdr>
          <w:divsChild>
            <w:div w:id="4390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1791</Words>
  <Characters>10212</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Dimitris Dimitriadis</cp:lastModifiedBy>
  <cp:revision>5</cp:revision>
  <dcterms:created xsi:type="dcterms:W3CDTF">2021-08-25T12:18:00Z</dcterms:created>
  <dcterms:modified xsi:type="dcterms:W3CDTF">2022-01-02T14:11:00Z</dcterms:modified>
</cp:coreProperties>
</file>