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A0965" w14:textId="77777777" w:rsidR="009454A1" w:rsidRPr="009454A1" w:rsidRDefault="009454A1" w:rsidP="006D6452">
      <w:pPr>
        <w:shd w:val="clear" w:color="auto" w:fill="FFFFFF"/>
        <w:spacing w:line="240" w:lineRule="auto"/>
        <w:ind w:firstLine="720"/>
        <w:jc w:val="right"/>
        <w:rPr>
          <w:rFonts w:ascii="Arial" w:eastAsia="Times New Roman" w:hAnsi="Arial" w:cs="Arial"/>
          <w:color w:val="414142"/>
          <w:sz w:val="20"/>
          <w:szCs w:val="20"/>
        </w:rPr>
      </w:pPr>
      <w:r>
        <w:rPr>
          <w:rFonts w:ascii="Arial" w:hAnsi="Arial"/>
          <w:b/>
          <w:color w:val="414142"/>
          <w:sz w:val="20"/>
        </w:rPr>
        <w:t>Cabinet of Ministers Regulation No. 576</w:t>
      </w:r>
      <w:r>
        <w:rPr>
          <w:rFonts w:ascii="Arial" w:hAnsi="Arial"/>
          <w:color w:val="414142"/>
          <w:sz w:val="20"/>
        </w:rPr>
        <w:br/>
      </w:r>
      <w:r>
        <w:rPr>
          <w:rFonts w:ascii="Arial" w:hAnsi="Arial"/>
          <w:color w:val="414142"/>
          <w:sz w:val="20"/>
        </w:rPr>
        <w:br/>
      </w:r>
      <w:r w:rsidRPr="00241289">
        <w:rPr>
          <w:rFonts w:ascii="Arial" w:hAnsi="Arial"/>
          <w:sz w:val="20"/>
        </w:rPr>
        <w:t>Riga, 15 September 2020 (Minutes No. 54, § 41)</w:t>
      </w:r>
    </w:p>
    <w:p w14:paraId="1C774C79" w14:textId="77777777" w:rsidR="009454A1" w:rsidRPr="009454A1" w:rsidRDefault="009454A1" w:rsidP="009454A1">
      <w:pPr>
        <w:shd w:val="clear" w:color="auto" w:fill="FFFFFF"/>
        <w:spacing w:line="240" w:lineRule="auto"/>
        <w:jc w:val="center"/>
        <w:rPr>
          <w:rFonts w:ascii="Arial" w:eastAsia="Times New Roman" w:hAnsi="Arial" w:cs="Arial"/>
          <w:b/>
          <w:bCs/>
          <w:color w:val="414142"/>
          <w:sz w:val="32"/>
          <w:szCs w:val="32"/>
        </w:rPr>
      </w:pPr>
      <w:r>
        <w:rPr>
          <w:rFonts w:ascii="Arial" w:hAnsi="Arial"/>
          <w:b/>
          <w:color w:val="414142"/>
          <w:sz w:val="32"/>
        </w:rPr>
        <w:t>Requirements for protection against ionising radiation from the radionuclide caesium-137 (hereinafter – radionuclide 137Cs) in wood imported into Latvia from another country</w:t>
      </w:r>
    </w:p>
    <w:p w14:paraId="27BD7D33" w14:textId="13728052" w:rsidR="009454A1" w:rsidRPr="00241289" w:rsidRDefault="009454A1" w:rsidP="009454A1">
      <w:pPr>
        <w:shd w:val="clear" w:color="auto" w:fill="FFFFFF"/>
        <w:spacing w:line="240" w:lineRule="auto"/>
        <w:jc w:val="right"/>
        <w:rPr>
          <w:rFonts w:ascii="Arial" w:eastAsia="Times New Roman" w:hAnsi="Arial" w:cs="Arial"/>
          <w:i/>
          <w:iCs/>
          <w:sz w:val="20"/>
          <w:szCs w:val="20"/>
        </w:rPr>
      </w:pPr>
      <w:r w:rsidRPr="00241289">
        <w:rPr>
          <w:rFonts w:ascii="Arial" w:hAnsi="Arial"/>
          <w:i/>
          <w:sz w:val="20"/>
        </w:rPr>
        <w:t>Issued pursuant to the law</w:t>
      </w:r>
      <w:r>
        <w:rPr>
          <w:rFonts w:ascii="Arial" w:hAnsi="Arial"/>
          <w:i/>
          <w:color w:val="414142"/>
          <w:sz w:val="20"/>
        </w:rPr>
        <w:br/>
      </w:r>
      <w:r w:rsidR="003979D5" w:rsidRPr="003979D5">
        <w:rPr>
          <w:rFonts w:ascii="Arial" w:hAnsi="Arial" w:cs="Arial"/>
          <w:sz w:val="20"/>
          <w:szCs w:val="20"/>
        </w:rPr>
        <w:t>„</w:t>
      </w:r>
      <w:hyperlink r:id="rId6" w:tgtFrame="_blank" w:history="1">
        <w:r>
          <w:rPr>
            <w:rFonts w:ascii="Arial" w:hAnsi="Arial"/>
            <w:i/>
            <w:color w:val="16497B"/>
            <w:sz w:val="20"/>
            <w:u w:val="single"/>
          </w:rPr>
          <w:t>On radiation safety and nuclear safety</w:t>
        </w:r>
      </w:hyperlink>
      <w:r w:rsidR="003979D5" w:rsidRPr="003979D5">
        <w:rPr>
          <w:rFonts w:ascii="Arial" w:hAnsi="Arial"/>
          <w:i/>
          <w:sz w:val="20"/>
        </w:rPr>
        <w:t>“</w:t>
      </w:r>
      <w:r>
        <w:rPr>
          <w:rFonts w:ascii="Arial" w:hAnsi="Arial"/>
          <w:i/>
          <w:color w:val="414142"/>
          <w:sz w:val="20"/>
        </w:rPr>
        <w:br/>
      </w:r>
      <w:hyperlink r:id="rId7" w:anchor="p3" w:tgtFrame="_blank" w:history="1">
        <w:r w:rsidRPr="00241289">
          <w:rPr>
            <w:rFonts w:ascii="Arial" w:hAnsi="Arial"/>
            <w:i/>
            <w:sz w:val="20"/>
            <w:u w:val="single"/>
          </w:rPr>
          <w:t>Section 3(3)</w:t>
        </w:r>
      </w:hyperlink>
    </w:p>
    <w:p w14:paraId="2B78CCB2"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0" w:name="p1"/>
      <w:bookmarkStart w:id="1" w:name="p-750743"/>
      <w:bookmarkEnd w:id="0"/>
      <w:bookmarkEnd w:id="1"/>
      <w:r w:rsidRPr="00241289">
        <w:rPr>
          <w:rFonts w:ascii="Arial" w:hAnsi="Arial"/>
          <w:sz w:val="20"/>
        </w:rPr>
        <w:t xml:space="preserve">1. The Regulation lays down the requirements for protection against ionising radiation from the radionuclide caesium-137 (hereinafter, radionuclide </w:t>
      </w:r>
      <w:r w:rsidRPr="00241289">
        <w:rPr>
          <w:rFonts w:ascii="Arial" w:hAnsi="Arial"/>
          <w:sz w:val="20"/>
          <w:vertAlign w:val="superscript"/>
        </w:rPr>
        <w:t>137</w:t>
      </w:r>
      <w:r w:rsidRPr="00241289">
        <w:rPr>
          <w:rFonts w:ascii="Arial" w:hAnsi="Arial"/>
          <w:sz w:val="20"/>
        </w:rPr>
        <w:t>Cs) in wood imported into Latvia from another country.</w:t>
      </w:r>
    </w:p>
    <w:p w14:paraId="545180DC" w14:textId="77777777" w:rsidR="003D4892" w:rsidRPr="009454A1" w:rsidRDefault="003D4892" w:rsidP="009454A1">
      <w:pPr>
        <w:shd w:val="clear" w:color="auto" w:fill="FFFFFF"/>
        <w:spacing w:after="0" w:line="293" w:lineRule="atLeast"/>
        <w:ind w:firstLine="300"/>
        <w:jc w:val="both"/>
        <w:rPr>
          <w:rFonts w:ascii="Arial" w:eastAsia="Times New Roman" w:hAnsi="Arial" w:cs="Arial"/>
          <w:color w:val="414142"/>
          <w:sz w:val="20"/>
          <w:szCs w:val="20"/>
          <w:lang w:eastAsia="lv-LV"/>
        </w:rPr>
      </w:pPr>
    </w:p>
    <w:p w14:paraId="55C95A9A"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2" w:name="p2"/>
      <w:bookmarkStart w:id="3" w:name="p-750744"/>
      <w:bookmarkEnd w:id="2"/>
      <w:bookmarkEnd w:id="3"/>
      <w:r w:rsidRPr="00241289">
        <w:rPr>
          <w:rFonts w:ascii="Arial" w:hAnsi="Arial"/>
          <w:sz w:val="20"/>
        </w:rPr>
        <w:t>2. For the purposes of this Regulation:</w:t>
      </w:r>
    </w:p>
    <w:p w14:paraId="28A5A841"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 xml:space="preserve">2.1. Wood importer — an economic operator who imports wood from another country into Latvia under the combined nomenclature codes mentioned in </w:t>
      </w:r>
      <w:hyperlink r:id="rId8" w:anchor="p3" w:history="1">
        <w:r w:rsidRPr="00241289">
          <w:rPr>
            <w:rFonts w:ascii="Arial" w:hAnsi="Arial"/>
            <w:color w:val="2F5496" w:themeColor="accent1" w:themeShade="BF"/>
            <w:sz w:val="20"/>
            <w:u w:val="single"/>
          </w:rPr>
          <w:t>paragraph 3</w:t>
        </w:r>
      </w:hyperlink>
      <w:r w:rsidRPr="00241289">
        <w:rPr>
          <w:rFonts w:ascii="Arial" w:hAnsi="Arial"/>
          <w:sz w:val="20"/>
        </w:rPr>
        <w:t xml:space="preserve"> of this Regulation pursuant to Council Regulation No </w:t>
      </w:r>
      <w:hyperlink r:id="rId9" w:tgtFrame="_blank" w:history="1">
        <w:r w:rsidRPr="00241289">
          <w:rPr>
            <w:rFonts w:ascii="Arial" w:hAnsi="Arial"/>
            <w:color w:val="2F5496" w:themeColor="accent1" w:themeShade="BF"/>
            <w:sz w:val="20"/>
            <w:u w:val="single"/>
          </w:rPr>
          <w:t>2658/87</w:t>
        </w:r>
      </w:hyperlink>
      <w:r w:rsidRPr="00241289">
        <w:rPr>
          <w:rFonts w:ascii="Arial" w:hAnsi="Arial"/>
          <w:color w:val="2F5496" w:themeColor="accent1" w:themeShade="BF"/>
          <w:sz w:val="20"/>
        </w:rPr>
        <w:t xml:space="preserve"> </w:t>
      </w:r>
      <w:r w:rsidRPr="00241289">
        <w:rPr>
          <w:rFonts w:ascii="Arial" w:hAnsi="Arial"/>
          <w:sz w:val="20"/>
        </w:rPr>
        <w:t>of 23 July 1987 on the tariff and statistical nomenclature and on the Common Customs Tariff, and the value of the said wood exceeds EUR 300 as shown in the accompanying documents;</w:t>
      </w:r>
    </w:p>
    <w:p w14:paraId="76348513"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2.2. Wood buyer – a person who buys wood imported from another country for the purpose of conducting business in Latvia (including combustion plant operators and wood processors);</w:t>
      </w:r>
    </w:p>
    <w:p w14:paraId="57E22456"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 xml:space="preserve">2.3. Radiation test report — a document showing the specific radioactivity level of the radionuclide </w:t>
      </w:r>
      <w:r w:rsidRPr="00241289">
        <w:rPr>
          <w:rFonts w:ascii="Arial" w:hAnsi="Arial"/>
          <w:sz w:val="20"/>
          <w:vertAlign w:val="superscript"/>
        </w:rPr>
        <w:t>137</w:t>
      </w:r>
      <w:r w:rsidRPr="00241289">
        <w:rPr>
          <w:rFonts w:ascii="Arial" w:hAnsi="Arial"/>
          <w:sz w:val="20"/>
        </w:rPr>
        <w:t xml:space="preserve">Cs in cargo, for example, a radiation passport issued by an accredited </w:t>
      </w:r>
      <w:proofErr w:type="gramStart"/>
      <w:r w:rsidRPr="00241289">
        <w:rPr>
          <w:rFonts w:ascii="Arial" w:hAnsi="Arial"/>
          <w:sz w:val="20"/>
        </w:rPr>
        <w:t>laboratory</w:t>
      </w:r>
      <w:proofErr w:type="gramEnd"/>
      <w:r w:rsidRPr="00241289">
        <w:rPr>
          <w:rFonts w:ascii="Arial" w:hAnsi="Arial"/>
          <w:sz w:val="20"/>
        </w:rPr>
        <w:t xml:space="preserve"> or a document issued by the forestry authority of the country of dispatch with a reference to the relevant accredited laboratory report, or another document showing the specific radioactivity level of the cargo;</w:t>
      </w:r>
    </w:p>
    <w:p w14:paraId="1998C997"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2.4. dry ash – wood ash heated to a constant sample weight;</w:t>
      </w:r>
    </w:p>
    <w:p w14:paraId="157A713C"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2.5. dry wood – wood heated to a constant sample weight;</w:t>
      </w:r>
    </w:p>
    <w:p w14:paraId="1556DA4C"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2.6. heavy ash – ash that is accumulated in the furnace of a combustion plant;</w:t>
      </w:r>
    </w:p>
    <w:p w14:paraId="400164BC"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2.7. fly ash – ash that is accumulated in the flue gas filters of a combustion plant.</w:t>
      </w:r>
    </w:p>
    <w:p w14:paraId="108252F2" w14:textId="77777777" w:rsidR="003D4892" w:rsidRPr="00241289" w:rsidRDefault="003D4892" w:rsidP="009454A1">
      <w:pPr>
        <w:shd w:val="clear" w:color="auto" w:fill="FFFFFF"/>
        <w:spacing w:after="0" w:line="293" w:lineRule="atLeast"/>
        <w:ind w:left="600" w:firstLine="300"/>
        <w:jc w:val="both"/>
        <w:rPr>
          <w:rFonts w:ascii="Arial" w:eastAsia="Times New Roman" w:hAnsi="Arial" w:cs="Arial"/>
          <w:sz w:val="20"/>
          <w:szCs w:val="20"/>
          <w:lang w:eastAsia="lv-LV"/>
        </w:rPr>
      </w:pPr>
    </w:p>
    <w:p w14:paraId="72B4CECD"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4" w:name="p3"/>
      <w:bookmarkStart w:id="5" w:name="p-750745"/>
      <w:bookmarkEnd w:id="4"/>
      <w:bookmarkEnd w:id="5"/>
      <w:r w:rsidRPr="00241289">
        <w:rPr>
          <w:rFonts w:ascii="Arial" w:hAnsi="Arial"/>
          <w:sz w:val="20"/>
        </w:rPr>
        <w:t>3. For the purposes of this Regulation, the following is considered as wood:</w:t>
      </w:r>
    </w:p>
    <w:p w14:paraId="1D6E73DA"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3.1. Fuel wood in logs, in billets, in twigs, in faggots or in similar forms classified under the following codes of the combined nomenclature:</w:t>
      </w:r>
    </w:p>
    <w:p w14:paraId="315F42E5" w14:textId="77777777" w:rsidR="009454A1" w:rsidRPr="00241289" w:rsidRDefault="009454A1" w:rsidP="009454A1">
      <w:pPr>
        <w:shd w:val="clear" w:color="auto" w:fill="FFFFFF"/>
        <w:spacing w:after="0" w:line="293" w:lineRule="atLeast"/>
        <w:ind w:left="900" w:firstLine="300"/>
        <w:jc w:val="both"/>
        <w:rPr>
          <w:rFonts w:ascii="Arial" w:eastAsia="Times New Roman" w:hAnsi="Arial" w:cs="Arial"/>
          <w:sz w:val="20"/>
          <w:szCs w:val="20"/>
        </w:rPr>
      </w:pPr>
      <w:r w:rsidRPr="00241289">
        <w:rPr>
          <w:rFonts w:ascii="Arial" w:hAnsi="Arial"/>
          <w:sz w:val="20"/>
        </w:rPr>
        <w:t>3.1.1. 4401 11 00 (coniferous);</w:t>
      </w:r>
    </w:p>
    <w:p w14:paraId="2E9616B8" w14:textId="77777777" w:rsidR="009454A1" w:rsidRPr="00241289" w:rsidRDefault="009454A1" w:rsidP="009454A1">
      <w:pPr>
        <w:shd w:val="clear" w:color="auto" w:fill="FFFFFF"/>
        <w:spacing w:after="0" w:line="293" w:lineRule="atLeast"/>
        <w:ind w:left="900" w:firstLine="300"/>
        <w:jc w:val="both"/>
        <w:rPr>
          <w:rFonts w:ascii="Arial" w:eastAsia="Times New Roman" w:hAnsi="Arial" w:cs="Arial"/>
          <w:sz w:val="20"/>
          <w:szCs w:val="20"/>
        </w:rPr>
      </w:pPr>
      <w:r w:rsidRPr="00241289">
        <w:rPr>
          <w:rFonts w:ascii="Arial" w:hAnsi="Arial"/>
          <w:sz w:val="20"/>
        </w:rPr>
        <w:t>3.1.2. 4401 12 00 (non-coniferous);</w:t>
      </w:r>
    </w:p>
    <w:p w14:paraId="4EF26E47"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3.2. wood in chips or particles under the following codes of the combined nomenclature:</w:t>
      </w:r>
    </w:p>
    <w:p w14:paraId="457D870A" w14:textId="77777777" w:rsidR="009454A1" w:rsidRPr="00241289" w:rsidRDefault="009454A1" w:rsidP="009454A1">
      <w:pPr>
        <w:shd w:val="clear" w:color="auto" w:fill="FFFFFF"/>
        <w:spacing w:after="0" w:line="293" w:lineRule="atLeast"/>
        <w:ind w:left="900" w:firstLine="300"/>
        <w:jc w:val="both"/>
        <w:rPr>
          <w:rFonts w:ascii="Arial" w:eastAsia="Times New Roman" w:hAnsi="Arial" w:cs="Arial"/>
          <w:sz w:val="20"/>
          <w:szCs w:val="20"/>
        </w:rPr>
      </w:pPr>
      <w:r w:rsidRPr="00241289">
        <w:rPr>
          <w:rFonts w:ascii="Arial" w:hAnsi="Arial"/>
          <w:sz w:val="20"/>
        </w:rPr>
        <w:t>3.2.1. 4401 21 00 (coniferous);</w:t>
      </w:r>
    </w:p>
    <w:p w14:paraId="7BB25E06" w14:textId="77777777" w:rsidR="009454A1" w:rsidRPr="00241289" w:rsidRDefault="009454A1" w:rsidP="009454A1">
      <w:pPr>
        <w:shd w:val="clear" w:color="auto" w:fill="FFFFFF"/>
        <w:spacing w:after="0" w:line="293" w:lineRule="atLeast"/>
        <w:ind w:left="900" w:firstLine="300"/>
        <w:jc w:val="both"/>
        <w:rPr>
          <w:rFonts w:ascii="Arial" w:eastAsia="Times New Roman" w:hAnsi="Arial" w:cs="Arial"/>
          <w:sz w:val="20"/>
          <w:szCs w:val="20"/>
        </w:rPr>
      </w:pPr>
      <w:r w:rsidRPr="00241289">
        <w:rPr>
          <w:rFonts w:ascii="Arial" w:hAnsi="Arial"/>
          <w:sz w:val="20"/>
        </w:rPr>
        <w:t>3.2.2. 4401 22 00 (non-coniferous);</w:t>
      </w:r>
    </w:p>
    <w:p w14:paraId="04CE12C1"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3.3. Sawdust and wood waste and scrap, agglomerated in logs, briquettes, pellets or similar forms under the following codes of the combined nomenclature:</w:t>
      </w:r>
    </w:p>
    <w:p w14:paraId="70B23247" w14:textId="77777777" w:rsidR="009454A1" w:rsidRPr="00241289" w:rsidRDefault="009454A1" w:rsidP="009454A1">
      <w:pPr>
        <w:shd w:val="clear" w:color="auto" w:fill="FFFFFF"/>
        <w:spacing w:after="0" w:line="293" w:lineRule="atLeast"/>
        <w:ind w:left="900" w:firstLine="300"/>
        <w:jc w:val="both"/>
        <w:rPr>
          <w:rFonts w:ascii="Arial" w:eastAsia="Times New Roman" w:hAnsi="Arial" w:cs="Arial"/>
          <w:sz w:val="20"/>
          <w:szCs w:val="20"/>
        </w:rPr>
      </w:pPr>
      <w:r w:rsidRPr="00241289">
        <w:rPr>
          <w:rFonts w:ascii="Arial" w:hAnsi="Arial"/>
          <w:sz w:val="20"/>
        </w:rPr>
        <w:t>3.3.1. 4401 31 00 (wood pellets);</w:t>
      </w:r>
    </w:p>
    <w:p w14:paraId="7F3FC886" w14:textId="77777777" w:rsidR="009454A1" w:rsidRPr="00241289" w:rsidRDefault="009454A1" w:rsidP="009454A1">
      <w:pPr>
        <w:shd w:val="clear" w:color="auto" w:fill="FFFFFF"/>
        <w:spacing w:after="0" w:line="293" w:lineRule="atLeast"/>
        <w:ind w:left="900" w:firstLine="300"/>
        <w:jc w:val="both"/>
        <w:rPr>
          <w:rFonts w:ascii="Arial" w:eastAsia="Times New Roman" w:hAnsi="Arial" w:cs="Arial"/>
          <w:sz w:val="20"/>
          <w:szCs w:val="20"/>
        </w:rPr>
      </w:pPr>
      <w:r w:rsidRPr="00241289">
        <w:rPr>
          <w:rFonts w:ascii="Arial" w:hAnsi="Arial"/>
          <w:sz w:val="20"/>
        </w:rPr>
        <w:t>3.3.2. 4401 39 00 (other);</w:t>
      </w:r>
    </w:p>
    <w:p w14:paraId="4CFCAAE6"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lastRenderedPageBreak/>
        <w:t>3.4. sawdust and wood waste and scrap, not agglomerated, under the following codes of the combined nomenclature:</w:t>
      </w:r>
    </w:p>
    <w:p w14:paraId="14351AE4" w14:textId="77777777" w:rsidR="009454A1" w:rsidRPr="00241289" w:rsidRDefault="009454A1" w:rsidP="009454A1">
      <w:pPr>
        <w:shd w:val="clear" w:color="auto" w:fill="FFFFFF"/>
        <w:spacing w:after="0" w:line="293" w:lineRule="atLeast"/>
        <w:ind w:left="900" w:firstLine="300"/>
        <w:jc w:val="both"/>
        <w:rPr>
          <w:rFonts w:ascii="Arial" w:eastAsia="Times New Roman" w:hAnsi="Arial" w:cs="Arial"/>
          <w:sz w:val="20"/>
          <w:szCs w:val="20"/>
        </w:rPr>
      </w:pPr>
      <w:r w:rsidRPr="00241289">
        <w:rPr>
          <w:rFonts w:ascii="Arial" w:hAnsi="Arial"/>
          <w:sz w:val="20"/>
        </w:rPr>
        <w:t>3.4.1. 4401 40 10 (saw dust);</w:t>
      </w:r>
    </w:p>
    <w:p w14:paraId="54554E6E" w14:textId="77777777" w:rsidR="009454A1" w:rsidRPr="00241289" w:rsidRDefault="009454A1" w:rsidP="009454A1">
      <w:pPr>
        <w:shd w:val="clear" w:color="auto" w:fill="FFFFFF"/>
        <w:spacing w:after="0" w:line="293" w:lineRule="atLeast"/>
        <w:ind w:left="900" w:firstLine="300"/>
        <w:jc w:val="both"/>
        <w:rPr>
          <w:rFonts w:ascii="Arial" w:eastAsia="Times New Roman" w:hAnsi="Arial" w:cs="Arial"/>
          <w:sz w:val="20"/>
          <w:szCs w:val="20"/>
        </w:rPr>
      </w:pPr>
      <w:r w:rsidRPr="00241289">
        <w:rPr>
          <w:rFonts w:ascii="Arial" w:hAnsi="Arial"/>
          <w:sz w:val="20"/>
        </w:rPr>
        <w:t>3.4.2. 4401 40 90 (other).</w:t>
      </w:r>
    </w:p>
    <w:p w14:paraId="67AEB53D" w14:textId="77777777" w:rsidR="003D4892" w:rsidRPr="00241289" w:rsidRDefault="003D4892" w:rsidP="009454A1">
      <w:pPr>
        <w:shd w:val="clear" w:color="auto" w:fill="FFFFFF"/>
        <w:spacing w:after="0" w:line="293" w:lineRule="atLeast"/>
        <w:ind w:left="900" w:firstLine="300"/>
        <w:jc w:val="both"/>
        <w:rPr>
          <w:rFonts w:ascii="Arial" w:eastAsia="Times New Roman" w:hAnsi="Arial" w:cs="Arial"/>
          <w:sz w:val="20"/>
          <w:szCs w:val="20"/>
          <w:lang w:eastAsia="lv-LV"/>
        </w:rPr>
      </w:pPr>
    </w:p>
    <w:p w14:paraId="346BD8DA"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6" w:name="p4"/>
      <w:bookmarkStart w:id="7" w:name="p-750746"/>
      <w:bookmarkEnd w:id="6"/>
      <w:bookmarkEnd w:id="7"/>
      <w:r w:rsidRPr="00241289">
        <w:rPr>
          <w:rFonts w:ascii="Arial" w:hAnsi="Arial"/>
          <w:sz w:val="20"/>
        </w:rPr>
        <w:t>4. If wood is imported into Latvia for use as biomass fuel, the wood importer shall ensure that at the time of importation the original or a certified copy (hard copy) of the radiation test report is attached to the accompanying documents of each consignment, showing that the specific radioactivity level of the radionuclide </w:t>
      </w:r>
      <w:r w:rsidRPr="00241289">
        <w:rPr>
          <w:rFonts w:ascii="Arial" w:hAnsi="Arial"/>
          <w:sz w:val="20"/>
          <w:vertAlign w:val="superscript"/>
        </w:rPr>
        <w:t>137</w:t>
      </w:r>
      <w:r w:rsidRPr="00241289">
        <w:rPr>
          <w:rFonts w:ascii="Arial" w:hAnsi="Arial"/>
          <w:sz w:val="20"/>
        </w:rPr>
        <w:t>Cs in the wood cargo does not exceed 10 </w:t>
      </w:r>
      <w:proofErr w:type="spellStart"/>
      <w:r w:rsidRPr="00241289">
        <w:rPr>
          <w:rFonts w:ascii="Arial" w:hAnsi="Arial"/>
          <w:sz w:val="20"/>
        </w:rPr>
        <w:t>Bq</w:t>
      </w:r>
      <w:proofErr w:type="spellEnd"/>
      <w:r w:rsidRPr="00241289">
        <w:rPr>
          <w:rFonts w:ascii="Arial" w:hAnsi="Arial"/>
          <w:sz w:val="20"/>
        </w:rPr>
        <w:t>/kg in dry wood. The copy of the radiation test report shall be certified by the organisation that issued the document or the wood importer.</w:t>
      </w:r>
    </w:p>
    <w:p w14:paraId="286AE80E"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28553828"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8" w:name="p5"/>
      <w:bookmarkStart w:id="9" w:name="p-750747"/>
      <w:bookmarkEnd w:id="8"/>
      <w:bookmarkEnd w:id="9"/>
      <w:r w:rsidRPr="00241289">
        <w:rPr>
          <w:rFonts w:ascii="Arial" w:hAnsi="Arial"/>
          <w:sz w:val="20"/>
        </w:rPr>
        <w:t>5. The State Environmental Service (hereinafter, the Service) shall have the right to carry out a specific radioactivity test of the wood to make sure the specific radioactivity level of the radionuclide </w:t>
      </w:r>
      <w:r w:rsidRPr="00241289">
        <w:rPr>
          <w:rFonts w:ascii="Arial" w:hAnsi="Arial"/>
          <w:sz w:val="20"/>
          <w:vertAlign w:val="superscript"/>
        </w:rPr>
        <w:t>137</w:t>
      </w:r>
      <w:r w:rsidRPr="00241289">
        <w:rPr>
          <w:rFonts w:ascii="Arial" w:hAnsi="Arial"/>
          <w:sz w:val="20"/>
        </w:rPr>
        <w:t>Cs in the wood cargo complies with the requirements of this Regulation.</w:t>
      </w:r>
    </w:p>
    <w:p w14:paraId="68580C8D"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14E67C01" w14:textId="340851A2"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10" w:name="p6"/>
      <w:bookmarkStart w:id="11" w:name="p-750748"/>
      <w:bookmarkEnd w:id="10"/>
      <w:bookmarkEnd w:id="11"/>
      <w:r w:rsidRPr="00241289">
        <w:rPr>
          <w:rFonts w:ascii="Arial" w:hAnsi="Arial"/>
          <w:sz w:val="20"/>
        </w:rPr>
        <w:t>6. The radiation test referred to in</w:t>
      </w:r>
      <w:r w:rsidR="006D6452" w:rsidRPr="00241289">
        <w:rPr>
          <w:rFonts w:ascii="Arial" w:hAnsi="Arial"/>
          <w:sz w:val="20"/>
        </w:rPr>
        <w:t xml:space="preserve"> </w:t>
      </w:r>
      <w:hyperlink r:id="rId10" w:anchor="p4" w:history="1">
        <w:r w:rsidRPr="00241289">
          <w:rPr>
            <w:rFonts w:ascii="Arial" w:hAnsi="Arial"/>
            <w:color w:val="2F5496" w:themeColor="accent1" w:themeShade="BF"/>
            <w:sz w:val="20"/>
            <w:u w:val="single"/>
          </w:rPr>
          <w:t>paragraph 4</w:t>
        </w:r>
      </w:hyperlink>
      <w:r w:rsidRPr="00241289">
        <w:rPr>
          <w:rFonts w:ascii="Arial" w:hAnsi="Arial"/>
          <w:sz w:val="20"/>
        </w:rPr>
        <w:t xml:space="preserve"> of this Regulation shall be performed in one of the following laboratories:</w:t>
      </w:r>
    </w:p>
    <w:p w14:paraId="692FF2B9"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6.1. in a laboratory accredited by the country of dispatch;</w:t>
      </w:r>
    </w:p>
    <w:p w14:paraId="6F7FA488"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 xml:space="preserve">6.2. in a laboratory accredited by the Latvian national accreditation body in accordance with the rules and regulations on the assessment, accreditation and supervision of conformity assessment </w:t>
      </w:r>
      <w:proofErr w:type="gramStart"/>
      <w:r w:rsidRPr="00241289">
        <w:rPr>
          <w:rFonts w:ascii="Arial" w:hAnsi="Arial"/>
          <w:sz w:val="20"/>
        </w:rPr>
        <w:t>bodies;</w:t>
      </w:r>
      <w:proofErr w:type="gramEnd"/>
    </w:p>
    <w:p w14:paraId="0ED7E2E1"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6.3. in a laboratory accredited in another European Economic Area country.</w:t>
      </w:r>
    </w:p>
    <w:p w14:paraId="0B2793C1" w14:textId="77777777" w:rsidR="003D4892" w:rsidRPr="00241289" w:rsidRDefault="003D4892" w:rsidP="009454A1">
      <w:pPr>
        <w:shd w:val="clear" w:color="auto" w:fill="FFFFFF"/>
        <w:spacing w:after="0" w:line="293" w:lineRule="atLeast"/>
        <w:ind w:left="600" w:firstLine="300"/>
        <w:jc w:val="both"/>
        <w:rPr>
          <w:rFonts w:ascii="Arial" w:eastAsia="Times New Roman" w:hAnsi="Arial" w:cs="Arial"/>
          <w:sz w:val="20"/>
          <w:szCs w:val="20"/>
          <w:lang w:eastAsia="lv-LV"/>
        </w:rPr>
      </w:pPr>
    </w:p>
    <w:p w14:paraId="085C0791"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12" w:name="p7"/>
      <w:bookmarkStart w:id="13" w:name="p-750749"/>
      <w:bookmarkEnd w:id="12"/>
      <w:bookmarkEnd w:id="13"/>
      <w:r w:rsidRPr="00241289">
        <w:rPr>
          <w:rFonts w:ascii="Arial" w:hAnsi="Arial"/>
          <w:sz w:val="20"/>
        </w:rPr>
        <w:t xml:space="preserve">7. It is prohibited to import wood for use as biomass fuel if its specific radioactivity level of the radionuclide </w:t>
      </w:r>
      <w:r w:rsidRPr="00241289">
        <w:rPr>
          <w:rFonts w:ascii="Arial" w:hAnsi="Arial"/>
          <w:sz w:val="20"/>
          <w:vertAlign w:val="superscript"/>
        </w:rPr>
        <w:t>137</w:t>
      </w:r>
      <w:r w:rsidRPr="00241289">
        <w:rPr>
          <w:rFonts w:ascii="Arial" w:hAnsi="Arial"/>
          <w:sz w:val="20"/>
        </w:rPr>
        <w:t>Cs exceeds 10 </w:t>
      </w:r>
      <w:proofErr w:type="spellStart"/>
      <w:r w:rsidRPr="00241289">
        <w:rPr>
          <w:rFonts w:ascii="Arial" w:hAnsi="Arial"/>
          <w:sz w:val="20"/>
        </w:rPr>
        <w:t>Bq</w:t>
      </w:r>
      <w:proofErr w:type="spellEnd"/>
      <w:r w:rsidRPr="00241289">
        <w:rPr>
          <w:rFonts w:ascii="Arial" w:hAnsi="Arial"/>
          <w:sz w:val="20"/>
        </w:rPr>
        <w:t>/kg in dry wood.</w:t>
      </w:r>
    </w:p>
    <w:p w14:paraId="4D9AFED8"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4E2F9503"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14" w:name="p8"/>
      <w:bookmarkStart w:id="15" w:name="p-750750"/>
      <w:bookmarkEnd w:id="14"/>
      <w:bookmarkEnd w:id="15"/>
      <w:r w:rsidRPr="00241289">
        <w:rPr>
          <w:rFonts w:ascii="Arial" w:hAnsi="Arial"/>
          <w:sz w:val="20"/>
        </w:rPr>
        <w:t>8. If wood is imported for use other than biomass fuel, the wood importer shall ensure that the original or a certified copy of the certificate (hard copy in Latvian or English) (hereinafter – certificate) is attached to the documents accompanying each item of cargo. The copy of the certificate shall be certified by the organisation that issued the document or by the wood importer. The certificate shall show the following:</w:t>
      </w:r>
    </w:p>
    <w:p w14:paraId="12746730"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8.1. the wood buyer (if known at the time of importation of the wood) or the importer of the wood certifies that the wood (also wood processing products obtained from this wood if the wood is to be processed after importation, for example, into pellets) is not intended for use as biomass fuel in Latvia;</w:t>
      </w:r>
    </w:p>
    <w:p w14:paraId="16A760C6"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8.2. details of the wood buyer (if known at the time of wood importation) and the wood importer – company name, registration number in the commercial register, contact information.</w:t>
      </w:r>
    </w:p>
    <w:p w14:paraId="2E385895" w14:textId="77777777" w:rsidR="003D4892" w:rsidRPr="00241289" w:rsidRDefault="003D4892" w:rsidP="009454A1">
      <w:pPr>
        <w:shd w:val="clear" w:color="auto" w:fill="FFFFFF"/>
        <w:spacing w:after="0" w:line="293" w:lineRule="atLeast"/>
        <w:ind w:left="600" w:firstLine="300"/>
        <w:jc w:val="both"/>
        <w:rPr>
          <w:rFonts w:ascii="Arial" w:eastAsia="Times New Roman" w:hAnsi="Arial" w:cs="Arial"/>
          <w:sz w:val="20"/>
          <w:szCs w:val="20"/>
          <w:lang w:eastAsia="lv-LV"/>
        </w:rPr>
      </w:pPr>
    </w:p>
    <w:p w14:paraId="42AB1F00"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16" w:name="p9"/>
      <w:bookmarkStart w:id="17" w:name="p-750751"/>
      <w:bookmarkEnd w:id="16"/>
      <w:bookmarkEnd w:id="17"/>
      <w:r w:rsidRPr="00241289">
        <w:rPr>
          <w:rFonts w:ascii="Arial" w:hAnsi="Arial"/>
          <w:sz w:val="20"/>
        </w:rPr>
        <w:t>9. The radiation test report and the certificate shall be prepared as hard copies or as electronic documents in accordance with the rules and regulations on the execution of electronic documents.</w:t>
      </w:r>
    </w:p>
    <w:p w14:paraId="39D118CB"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25B0FCC3"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18" w:name="p10"/>
      <w:bookmarkStart w:id="19" w:name="p-750752"/>
      <w:bookmarkEnd w:id="18"/>
      <w:bookmarkEnd w:id="19"/>
      <w:r w:rsidRPr="00241289">
        <w:rPr>
          <w:rFonts w:ascii="Arial" w:hAnsi="Arial"/>
          <w:sz w:val="20"/>
        </w:rPr>
        <w:t>10. If wood is imported from a country which is not a country of the European Economic Area and is released for free circulation, the wood importer shall attach a radiation test report or certificate to the customs declaration.</w:t>
      </w:r>
    </w:p>
    <w:p w14:paraId="11DD9697"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7CE6D8D9"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20" w:name="p11"/>
      <w:bookmarkStart w:id="21" w:name="p-750753"/>
      <w:bookmarkEnd w:id="20"/>
      <w:bookmarkEnd w:id="21"/>
      <w:r w:rsidRPr="00241289">
        <w:rPr>
          <w:rFonts w:ascii="Arial" w:hAnsi="Arial"/>
          <w:sz w:val="20"/>
        </w:rPr>
        <w:t>11. The release of timber cargo for free circulation in Latvia is not permitted if the customs official establishes that:</w:t>
      </w:r>
    </w:p>
    <w:p w14:paraId="3F19ED4D"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11.1. the radiation test report shows that the specific radioactivity level of the radionuclide </w:t>
      </w:r>
      <w:r w:rsidRPr="00241289">
        <w:rPr>
          <w:rFonts w:ascii="Arial" w:hAnsi="Arial"/>
          <w:sz w:val="20"/>
          <w:vertAlign w:val="superscript"/>
        </w:rPr>
        <w:t>137</w:t>
      </w:r>
      <w:r w:rsidRPr="00241289">
        <w:rPr>
          <w:rFonts w:ascii="Arial" w:hAnsi="Arial"/>
          <w:sz w:val="20"/>
        </w:rPr>
        <w:t>Cs in the wood cargo exceeds 10 </w:t>
      </w:r>
      <w:proofErr w:type="spellStart"/>
      <w:r w:rsidRPr="00241289">
        <w:rPr>
          <w:rFonts w:ascii="Arial" w:hAnsi="Arial"/>
          <w:sz w:val="20"/>
        </w:rPr>
        <w:t>Bq</w:t>
      </w:r>
      <w:proofErr w:type="spellEnd"/>
      <w:r w:rsidRPr="00241289">
        <w:rPr>
          <w:rFonts w:ascii="Arial" w:hAnsi="Arial"/>
          <w:sz w:val="20"/>
        </w:rPr>
        <w:t>/kg in dry wood, and the wood importer cannot produce the certificate;</w:t>
      </w:r>
    </w:p>
    <w:p w14:paraId="60B16F2C"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11.2. the wood importer cannot produce the radiation test report and the certificate;</w:t>
      </w:r>
    </w:p>
    <w:p w14:paraId="1202E0C6" w14:textId="77777777" w:rsidR="009454A1" w:rsidRPr="00241289" w:rsidRDefault="009454A1" w:rsidP="009454A1">
      <w:pPr>
        <w:shd w:val="clear" w:color="auto" w:fill="FFFFFF"/>
        <w:spacing w:after="0" w:line="293" w:lineRule="atLeast"/>
        <w:ind w:left="600" w:firstLine="300"/>
        <w:jc w:val="both"/>
        <w:rPr>
          <w:rFonts w:ascii="Arial" w:eastAsia="Times New Roman" w:hAnsi="Arial" w:cs="Arial"/>
          <w:sz w:val="20"/>
          <w:szCs w:val="20"/>
        </w:rPr>
      </w:pPr>
      <w:r w:rsidRPr="00241289">
        <w:rPr>
          <w:rFonts w:ascii="Arial" w:hAnsi="Arial"/>
          <w:sz w:val="20"/>
        </w:rPr>
        <w:t>11.3. the quality of the documents produced by the wood importer makes it impossible to read the information provided.</w:t>
      </w:r>
    </w:p>
    <w:p w14:paraId="1375D417" w14:textId="77777777" w:rsidR="003D4892" w:rsidRPr="00241289" w:rsidRDefault="003D4892" w:rsidP="009454A1">
      <w:pPr>
        <w:shd w:val="clear" w:color="auto" w:fill="FFFFFF"/>
        <w:spacing w:after="0" w:line="293" w:lineRule="atLeast"/>
        <w:ind w:left="600" w:firstLine="300"/>
        <w:jc w:val="both"/>
        <w:rPr>
          <w:rFonts w:ascii="Arial" w:eastAsia="Times New Roman" w:hAnsi="Arial" w:cs="Arial"/>
          <w:sz w:val="20"/>
          <w:szCs w:val="20"/>
          <w:lang w:eastAsia="lv-LV"/>
        </w:rPr>
      </w:pPr>
    </w:p>
    <w:p w14:paraId="2A5626C3"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22" w:name="p12"/>
      <w:bookmarkStart w:id="23" w:name="p-750754"/>
      <w:bookmarkEnd w:id="22"/>
      <w:bookmarkEnd w:id="23"/>
      <w:r w:rsidRPr="00241289">
        <w:rPr>
          <w:rFonts w:ascii="Arial" w:hAnsi="Arial"/>
          <w:sz w:val="20"/>
        </w:rPr>
        <w:t>12. Upon transferring the cargo to the wood buyer, the economic operator shall hand over the radiation test report and the certificate. The wood buyer shall keep the radiation test report and the certificate for five years from the date of receipt of the wood cargo and shall produce it to the Service upon request.</w:t>
      </w:r>
    </w:p>
    <w:p w14:paraId="4619C75A"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6601B098"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24" w:name="p13"/>
      <w:bookmarkStart w:id="25" w:name="p-750755"/>
      <w:bookmarkEnd w:id="24"/>
      <w:bookmarkEnd w:id="25"/>
      <w:r w:rsidRPr="00241289">
        <w:rPr>
          <w:rFonts w:ascii="Arial" w:hAnsi="Arial"/>
          <w:sz w:val="20"/>
        </w:rPr>
        <w:t xml:space="preserve">13. Wood imported into Latvia from another country may be used as biomass fuel if the wood has undergone a radiological test in one of the laboratories referred to in </w:t>
      </w:r>
      <w:hyperlink r:id="rId11" w:anchor="p6" w:history="1">
        <w:r w:rsidRPr="00241289">
          <w:rPr>
            <w:rFonts w:ascii="Arial" w:hAnsi="Arial"/>
            <w:color w:val="2F5496" w:themeColor="accent1" w:themeShade="BF"/>
            <w:sz w:val="20"/>
            <w:u w:val="single"/>
          </w:rPr>
          <w:t>paragraph 6</w:t>
        </w:r>
      </w:hyperlink>
      <w:r w:rsidRPr="00241289">
        <w:rPr>
          <w:rFonts w:ascii="Arial" w:hAnsi="Arial"/>
          <w:sz w:val="20"/>
        </w:rPr>
        <w:t xml:space="preserve"> of this Regulation and the test has confirmed that the specific radioactivity level of the radionuclide </w:t>
      </w:r>
      <w:r w:rsidRPr="00241289">
        <w:rPr>
          <w:rFonts w:ascii="Arial" w:hAnsi="Arial"/>
          <w:sz w:val="20"/>
          <w:vertAlign w:val="superscript"/>
        </w:rPr>
        <w:t>137</w:t>
      </w:r>
      <w:r w:rsidRPr="00241289">
        <w:rPr>
          <w:rFonts w:ascii="Arial" w:hAnsi="Arial"/>
          <w:sz w:val="20"/>
        </w:rPr>
        <w:t>Cs does not exceed 10 </w:t>
      </w:r>
      <w:proofErr w:type="spellStart"/>
      <w:r w:rsidRPr="00241289">
        <w:rPr>
          <w:rFonts w:ascii="Arial" w:hAnsi="Arial"/>
          <w:sz w:val="20"/>
        </w:rPr>
        <w:t>Bq</w:t>
      </w:r>
      <w:proofErr w:type="spellEnd"/>
      <w:r w:rsidRPr="00241289">
        <w:rPr>
          <w:rFonts w:ascii="Arial" w:hAnsi="Arial"/>
          <w:sz w:val="20"/>
        </w:rPr>
        <w:t>/kg in dry wood.</w:t>
      </w:r>
    </w:p>
    <w:p w14:paraId="69E09C72"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68DEAA76"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26" w:name="p14"/>
      <w:bookmarkStart w:id="27" w:name="p-750756"/>
      <w:bookmarkEnd w:id="26"/>
      <w:bookmarkEnd w:id="27"/>
      <w:r w:rsidRPr="00241289">
        <w:rPr>
          <w:rFonts w:ascii="Arial" w:hAnsi="Arial"/>
          <w:sz w:val="20"/>
        </w:rPr>
        <w:t xml:space="preserve">14. If it is found that the specific radioactivity level of the radionuclide </w:t>
      </w:r>
      <w:r w:rsidRPr="00241289">
        <w:rPr>
          <w:rFonts w:ascii="Arial" w:hAnsi="Arial"/>
          <w:sz w:val="20"/>
          <w:vertAlign w:val="superscript"/>
        </w:rPr>
        <w:t>137</w:t>
      </w:r>
      <w:r w:rsidRPr="00241289">
        <w:rPr>
          <w:rFonts w:ascii="Arial" w:hAnsi="Arial"/>
          <w:sz w:val="20"/>
        </w:rPr>
        <w:t>Cs exceeds 10 </w:t>
      </w:r>
      <w:proofErr w:type="spellStart"/>
      <w:r w:rsidRPr="00241289">
        <w:rPr>
          <w:rFonts w:ascii="Arial" w:hAnsi="Arial"/>
          <w:sz w:val="20"/>
        </w:rPr>
        <w:t>Bq</w:t>
      </w:r>
      <w:proofErr w:type="spellEnd"/>
      <w:r w:rsidRPr="00241289">
        <w:rPr>
          <w:rFonts w:ascii="Arial" w:hAnsi="Arial"/>
          <w:sz w:val="20"/>
        </w:rPr>
        <w:t>/kg in wood, which is imported from another country for use as biomass fuel, the wood importer shall return such wood to the consignor immediately, but no later than within one month.</w:t>
      </w:r>
    </w:p>
    <w:p w14:paraId="413E6408"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119067B7"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28" w:name="p15"/>
      <w:bookmarkStart w:id="29" w:name="p-750757"/>
      <w:bookmarkEnd w:id="28"/>
      <w:bookmarkEnd w:id="29"/>
      <w:r w:rsidRPr="00241289">
        <w:rPr>
          <w:rFonts w:ascii="Arial" w:hAnsi="Arial"/>
          <w:sz w:val="20"/>
        </w:rPr>
        <w:t>15. In combustion plants with a rated thermal input exceeding 5 MW, the combustion plant operator using wood which is imported into Latvia from another country as a biomass fuel shall, during the heating season (from October to April) perform monthly specific radioactivity tests for fly ash resulting from the combustion of wood or, if the relevant combustion plant does not have separate flue gas filters for fly ash installed – specific radioactivity tests for heavy ash.</w:t>
      </w:r>
    </w:p>
    <w:p w14:paraId="6BE7A507"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30B2FDAC"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30" w:name="p16"/>
      <w:bookmarkStart w:id="31" w:name="p-750758"/>
      <w:bookmarkEnd w:id="30"/>
      <w:bookmarkEnd w:id="31"/>
      <w:r w:rsidRPr="00241289">
        <w:rPr>
          <w:rFonts w:ascii="Arial" w:hAnsi="Arial"/>
          <w:sz w:val="20"/>
        </w:rPr>
        <w:t>16. Wood ash in which the specific radioactivity of the radionuclide </w:t>
      </w:r>
      <w:r w:rsidRPr="00241289">
        <w:rPr>
          <w:rFonts w:ascii="Arial" w:hAnsi="Arial"/>
          <w:sz w:val="20"/>
          <w:vertAlign w:val="superscript"/>
        </w:rPr>
        <w:t>137</w:t>
      </w:r>
      <w:r w:rsidRPr="00241289">
        <w:rPr>
          <w:rFonts w:ascii="Arial" w:hAnsi="Arial"/>
          <w:sz w:val="20"/>
        </w:rPr>
        <w:t>Cs is 1,000 </w:t>
      </w:r>
      <w:proofErr w:type="spellStart"/>
      <w:r w:rsidRPr="00241289">
        <w:rPr>
          <w:rFonts w:ascii="Arial" w:hAnsi="Arial"/>
          <w:sz w:val="20"/>
        </w:rPr>
        <w:t>Bq</w:t>
      </w:r>
      <w:proofErr w:type="spellEnd"/>
      <w:r w:rsidRPr="00241289">
        <w:rPr>
          <w:rFonts w:ascii="Arial" w:hAnsi="Arial"/>
          <w:sz w:val="20"/>
        </w:rPr>
        <w:t>/kg in dry ash or less may be used in agriculture and forestry, subject to the rules and regulations applicable to the relevant sector.</w:t>
      </w:r>
    </w:p>
    <w:p w14:paraId="5DBA7A56"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55F420B0"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32" w:name="p17"/>
      <w:bookmarkStart w:id="33" w:name="p-750759"/>
      <w:bookmarkEnd w:id="32"/>
      <w:bookmarkEnd w:id="33"/>
      <w:r w:rsidRPr="00241289">
        <w:rPr>
          <w:rFonts w:ascii="Arial" w:hAnsi="Arial"/>
          <w:sz w:val="20"/>
        </w:rPr>
        <w:t>17. Wood ash in which the specific radioactivity of the radionuclide </w:t>
      </w:r>
      <w:r w:rsidRPr="00241289">
        <w:rPr>
          <w:rFonts w:ascii="Arial" w:hAnsi="Arial"/>
          <w:sz w:val="20"/>
          <w:vertAlign w:val="superscript"/>
        </w:rPr>
        <w:t>137</w:t>
      </w:r>
      <w:r w:rsidRPr="00241289">
        <w:rPr>
          <w:rFonts w:ascii="Arial" w:hAnsi="Arial"/>
          <w:sz w:val="20"/>
        </w:rPr>
        <w:t>Cs is between 1,000 and 10,000 </w:t>
      </w:r>
      <w:proofErr w:type="spellStart"/>
      <w:r w:rsidRPr="00241289">
        <w:rPr>
          <w:rFonts w:ascii="Arial" w:hAnsi="Arial"/>
          <w:sz w:val="20"/>
        </w:rPr>
        <w:t>Bq</w:t>
      </w:r>
      <w:proofErr w:type="spellEnd"/>
      <w:r w:rsidRPr="00241289">
        <w:rPr>
          <w:rFonts w:ascii="Arial" w:hAnsi="Arial"/>
          <w:sz w:val="20"/>
        </w:rPr>
        <w:t>/kg in dry ash may be dumped in municipal landfills or used as cover material in municipal or hazardous waste landfills.</w:t>
      </w:r>
    </w:p>
    <w:p w14:paraId="1196EBEA"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65E519AA"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34" w:name="p18"/>
      <w:bookmarkStart w:id="35" w:name="p-750760"/>
      <w:bookmarkEnd w:id="34"/>
      <w:bookmarkEnd w:id="35"/>
      <w:r w:rsidRPr="00241289">
        <w:rPr>
          <w:rFonts w:ascii="Arial" w:hAnsi="Arial"/>
          <w:sz w:val="20"/>
        </w:rPr>
        <w:t>18. If the specific radioactivity of the radionuclide </w:t>
      </w:r>
      <w:r w:rsidRPr="00241289">
        <w:rPr>
          <w:rFonts w:ascii="Arial" w:hAnsi="Arial"/>
          <w:sz w:val="20"/>
          <w:vertAlign w:val="superscript"/>
        </w:rPr>
        <w:t>137</w:t>
      </w:r>
      <w:r w:rsidRPr="00241289">
        <w:rPr>
          <w:rFonts w:ascii="Arial" w:hAnsi="Arial"/>
          <w:sz w:val="20"/>
        </w:rPr>
        <w:t>Cs in wood ash is 10,000 </w:t>
      </w:r>
      <w:proofErr w:type="spellStart"/>
      <w:r w:rsidRPr="00241289">
        <w:rPr>
          <w:rFonts w:ascii="Arial" w:hAnsi="Arial"/>
          <w:sz w:val="20"/>
        </w:rPr>
        <w:t>Bq</w:t>
      </w:r>
      <w:proofErr w:type="spellEnd"/>
      <w:r w:rsidRPr="00241289">
        <w:rPr>
          <w:rFonts w:ascii="Arial" w:hAnsi="Arial"/>
          <w:sz w:val="20"/>
        </w:rPr>
        <w:t>/kg or more in dry ash, the combustion plant operator shall immediately notify the Service. In this case the combustion plant operator shall ensure that the ash is managed in accordance with the rules and regulations for the handling of radioactive waste and related materials.</w:t>
      </w:r>
    </w:p>
    <w:p w14:paraId="21168EAA"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796BC58E"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36" w:name="p19"/>
      <w:bookmarkStart w:id="37" w:name="p-750761"/>
      <w:bookmarkEnd w:id="36"/>
      <w:bookmarkEnd w:id="37"/>
      <w:r w:rsidRPr="00241289">
        <w:rPr>
          <w:rFonts w:ascii="Arial" w:hAnsi="Arial"/>
          <w:sz w:val="20"/>
        </w:rPr>
        <w:t xml:space="preserve">19. </w:t>
      </w:r>
      <w:proofErr w:type="gramStart"/>
      <w:r w:rsidRPr="00241289">
        <w:rPr>
          <w:rFonts w:ascii="Arial" w:hAnsi="Arial"/>
          <w:sz w:val="20"/>
        </w:rPr>
        <w:t>With regard to</w:t>
      </w:r>
      <w:proofErr w:type="gramEnd"/>
      <w:r w:rsidRPr="00241289">
        <w:rPr>
          <w:rFonts w:ascii="Arial" w:hAnsi="Arial"/>
          <w:sz w:val="20"/>
        </w:rPr>
        <w:t xml:space="preserve"> combustion plants with a rated thermal input of 5 MW or more, the Service has the right to carry out specific ash radioactivity tests for fly ash or, if separate flue gas filters for fly ash are not installed – specific ash radioactivity tests for heavy ash.</w:t>
      </w:r>
    </w:p>
    <w:p w14:paraId="3686C276"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6ADEF5AB" w14:textId="07B1CE3D"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38" w:name="p20"/>
      <w:bookmarkStart w:id="39" w:name="p-750762"/>
      <w:bookmarkEnd w:id="38"/>
      <w:bookmarkEnd w:id="39"/>
      <w:r w:rsidRPr="00241289">
        <w:rPr>
          <w:rFonts w:ascii="Arial" w:hAnsi="Arial"/>
          <w:sz w:val="20"/>
        </w:rPr>
        <w:t xml:space="preserve">20. In each test for specific radioactivity of ash referred to in </w:t>
      </w:r>
      <w:hyperlink r:id="rId12" w:anchor="p15" w:history="1">
        <w:r w:rsidRPr="00241289">
          <w:rPr>
            <w:rFonts w:ascii="Arial" w:hAnsi="Arial"/>
            <w:color w:val="2F5496" w:themeColor="accent1" w:themeShade="BF"/>
            <w:sz w:val="20"/>
            <w:u w:val="single"/>
          </w:rPr>
          <w:t>paragraph 15</w:t>
        </w:r>
      </w:hyperlink>
      <w:r w:rsidR="003979D5" w:rsidRPr="00241289">
        <w:rPr>
          <w:rFonts w:ascii="Arial" w:hAnsi="Arial"/>
          <w:sz w:val="20"/>
        </w:rPr>
        <w:t xml:space="preserve"> </w:t>
      </w:r>
      <w:r w:rsidRPr="00241289">
        <w:rPr>
          <w:rFonts w:ascii="Arial" w:hAnsi="Arial"/>
          <w:sz w:val="20"/>
        </w:rPr>
        <w:t xml:space="preserve">and </w:t>
      </w:r>
      <w:hyperlink r:id="rId13" w:anchor="p19" w:history="1">
        <w:r w:rsidRPr="00241289">
          <w:rPr>
            <w:rFonts w:ascii="Arial" w:hAnsi="Arial"/>
            <w:color w:val="2F5496" w:themeColor="accent1" w:themeShade="BF"/>
            <w:sz w:val="20"/>
            <w:u w:val="single"/>
          </w:rPr>
          <w:t>paragraph</w:t>
        </w:r>
        <w:r w:rsidRPr="00241289">
          <w:rPr>
            <w:rFonts w:ascii="Arial" w:hAnsi="Arial"/>
            <w:sz w:val="20"/>
            <w:u w:val="single"/>
          </w:rPr>
          <w:t xml:space="preserve"> </w:t>
        </w:r>
        <w:r w:rsidRPr="00241289">
          <w:rPr>
            <w:rFonts w:ascii="Arial" w:hAnsi="Arial"/>
            <w:color w:val="2F5496" w:themeColor="accent1" w:themeShade="BF"/>
            <w:sz w:val="20"/>
            <w:u w:val="single"/>
          </w:rPr>
          <w:t>19</w:t>
        </w:r>
      </w:hyperlink>
      <w:r w:rsidRPr="00241289">
        <w:rPr>
          <w:rFonts w:ascii="Arial" w:hAnsi="Arial"/>
          <w:sz w:val="20"/>
        </w:rPr>
        <w:t xml:space="preserve"> of this Regulation, one sample of ash shall be tested using the volume necessary for the relevant laboratory to perform the test.</w:t>
      </w:r>
    </w:p>
    <w:p w14:paraId="068381EF"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7E1C5502" w14:textId="3EDEC270"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40" w:name="p21"/>
      <w:bookmarkStart w:id="41" w:name="p-750763"/>
      <w:bookmarkEnd w:id="40"/>
      <w:bookmarkEnd w:id="41"/>
      <w:r w:rsidRPr="00241289">
        <w:rPr>
          <w:rFonts w:ascii="Arial" w:hAnsi="Arial"/>
          <w:sz w:val="20"/>
        </w:rPr>
        <w:t xml:space="preserve">21. The specific radioactivity tests for ash referred to in </w:t>
      </w:r>
      <w:hyperlink r:id="rId14" w:anchor="p15" w:history="1">
        <w:r w:rsidRPr="00241289">
          <w:rPr>
            <w:rFonts w:ascii="Arial" w:hAnsi="Arial"/>
            <w:color w:val="2F5496" w:themeColor="accent1" w:themeShade="BF"/>
            <w:sz w:val="20"/>
            <w:u w:val="single"/>
          </w:rPr>
          <w:t>paragraph 15</w:t>
        </w:r>
      </w:hyperlink>
      <w:r w:rsidR="003979D5" w:rsidRPr="00241289">
        <w:rPr>
          <w:rFonts w:ascii="Arial" w:hAnsi="Arial"/>
          <w:sz w:val="20"/>
        </w:rPr>
        <w:t xml:space="preserve"> </w:t>
      </w:r>
      <w:r w:rsidRPr="00241289">
        <w:rPr>
          <w:rFonts w:ascii="Arial" w:hAnsi="Arial"/>
          <w:sz w:val="20"/>
        </w:rPr>
        <w:t xml:space="preserve">and </w:t>
      </w:r>
      <w:hyperlink r:id="rId15" w:anchor="p19" w:history="1">
        <w:r w:rsidRPr="00241289">
          <w:rPr>
            <w:rFonts w:ascii="Arial" w:hAnsi="Arial"/>
            <w:color w:val="2F5496" w:themeColor="accent1" w:themeShade="BF"/>
            <w:sz w:val="20"/>
            <w:u w:val="single"/>
          </w:rPr>
          <w:t>paragraph 19</w:t>
        </w:r>
      </w:hyperlink>
      <w:r w:rsidRPr="00241289">
        <w:rPr>
          <w:rFonts w:ascii="Arial" w:hAnsi="Arial"/>
          <w:sz w:val="20"/>
        </w:rPr>
        <w:t xml:space="preserve"> of this Regulation shall be performed in a laboratory accredited by the Latvian national accreditation body in accordance with the rules and regulations on the assessment, accreditation and supervision of conformity assessment bodies or in a laboratory accredited in another European Economic Area country.</w:t>
      </w:r>
    </w:p>
    <w:p w14:paraId="1FF62DDB"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4249F56A"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42" w:name="p22"/>
      <w:bookmarkStart w:id="43" w:name="p-750764"/>
      <w:bookmarkEnd w:id="42"/>
      <w:bookmarkEnd w:id="43"/>
      <w:r w:rsidRPr="00241289">
        <w:rPr>
          <w:rFonts w:ascii="Arial" w:hAnsi="Arial"/>
          <w:sz w:val="20"/>
        </w:rPr>
        <w:t>22. The documents related to the tests of the specific radioactivity of ash performed by a combustion plant operator shall be kept by the combustion plant operator for five years from the date of the performance of the specific radioactivity test and shall be produced to the Service upon request.</w:t>
      </w:r>
    </w:p>
    <w:p w14:paraId="2A58A898" w14:textId="77777777" w:rsidR="003D4892" w:rsidRPr="00241289" w:rsidRDefault="003D4892" w:rsidP="009454A1">
      <w:pPr>
        <w:shd w:val="clear" w:color="auto" w:fill="FFFFFF"/>
        <w:spacing w:after="0" w:line="293" w:lineRule="atLeast"/>
        <w:ind w:firstLine="300"/>
        <w:jc w:val="both"/>
        <w:rPr>
          <w:rFonts w:ascii="Arial" w:eastAsia="Times New Roman" w:hAnsi="Arial" w:cs="Arial"/>
          <w:sz w:val="20"/>
          <w:szCs w:val="20"/>
          <w:lang w:eastAsia="lv-LV"/>
        </w:rPr>
      </w:pPr>
    </w:p>
    <w:p w14:paraId="264894D4" w14:textId="77777777" w:rsidR="009454A1" w:rsidRPr="00241289" w:rsidRDefault="009454A1" w:rsidP="009454A1">
      <w:pPr>
        <w:shd w:val="clear" w:color="auto" w:fill="FFFFFF"/>
        <w:spacing w:after="0" w:line="293" w:lineRule="atLeast"/>
        <w:ind w:firstLine="300"/>
        <w:jc w:val="both"/>
        <w:rPr>
          <w:rFonts w:ascii="Arial" w:eastAsia="Times New Roman" w:hAnsi="Arial" w:cs="Arial"/>
          <w:sz w:val="20"/>
          <w:szCs w:val="20"/>
        </w:rPr>
      </w:pPr>
      <w:bookmarkStart w:id="44" w:name="p23"/>
      <w:bookmarkStart w:id="45" w:name="p-750765"/>
      <w:bookmarkEnd w:id="44"/>
      <w:bookmarkEnd w:id="45"/>
      <w:r w:rsidRPr="00241289">
        <w:rPr>
          <w:rFonts w:ascii="Arial" w:hAnsi="Arial"/>
          <w:sz w:val="20"/>
        </w:rPr>
        <w:t>23. This Regulation shall enter into force on 1 April 2021.</w:t>
      </w:r>
    </w:p>
    <w:p w14:paraId="4982590A" w14:textId="77777777" w:rsidR="009454A1" w:rsidRPr="00241289" w:rsidRDefault="009454A1" w:rsidP="009454A1">
      <w:pPr>
        <w:shd w:val="clear" w:color="auto" w:fill="FFFFFF"/>
        <w:spacing w:after="0" w:line="240" w:lineRule="auto"/>
        <w:jc w:val="right"/>
        <w:rPr>
          <w:rFonts w:ascii="Arial" w:eastAsia="Times New Roman" w:hAnsi="Arial" w:cs="Arial"/>
          <w:i/>
          <w:iCs/>
          <w:sz w:val="20"/>
          <w:szCs w:val="20"/>
          <w:lang w:eastAsia="lv-LV"/>
        </w:rPr>
      </w:pPr>
    </w:p>
    <w:p w14:paraId="289EAE2D" w14:textId="77777777" w:rsidR="009454A1" w:rsidRPr="00241289" w:rsidRDefault="009454A1" w:rsidP="009454A1">
      <w:pPr>
        <w:shd w:val="clear" w:color="auto" w:fill="FFFFFF"/>
        <w:spacing w:after="0" w:line="240" w:lineRule="auto"/>
        <w:jc w:val="right"/>
        <w:rPr>
          <w:rFonts w:ascii="Arial" w:eastAsia="Times New Roman" w:hAnsi="Arial" w:cs="Arial"/>
          <w:i/>
          <w:iCs/>
          <w:sz w:val="20"/>
          <w:szCs w:val="20"/>
          <w:lang w:eastAsia="lv-LV"/>
        </w:rPr>
      </w:pPr>
    </w:p>
    <w:p w14:paraId="6A8CAA25" w14:textId="77777777" w:rsidR="009454A1" w:rsidRPr="00241289" w:rsidRDefault="009454A1" w:rsidP="009454A1">
      <w:pPr>
        <w:shd w:val="clear" w:color="auto" w:fill="FFFFFF"/>
        <w:spacing w:after="0" w:line="240" w:lineRule="auto"/>
        <w:jc w:val="right"/>
        <w:rPr>
          <w:rFonts w:ascii="Arial" w:eastAsia="Times New Roman" w:hAnsi="Arial" w:cs="Arial"/>
          <w:i/>
          <w:iCs/>
          <w:sz w:val="20"/>
          <w:szCs w:val="20"/>
          <w:lang w:eastAsia="lv-LV"/>
        </w:rPr>
      </w:pPr>
    </w:p>
    <w:p w14:paraId="31683751" w14:textId="77777777" w:rsidR="009454A1" w:rsidRPr="00241289" w:rsidRDefault="009454A1" w:rsidP="009454A1">
      <w:pPr>
        <w:shd w:val="clear" w:color="auto" w:fill="FFFFFF"/>
        <w:spacing w:after="0" w:line="240" w:lineRule="auto"/>
        <w:jc w:val="right"/>
        <w:rPr>
          <w:rFonts w:ascii="Arial" w:eastAsia="Times New Roman" w:hAnsi="Arial" w:cs="Arial"/>
          <w:i/>
          <w:iCs/>
          <w:sz w:val="20"/>
          <w:szCs w:val="20"/>
          <w:lang w:eastAsia="lv-LV"/>
        </w:rPr>
      </w:pPr>
    </w:p>
    <w:p w14:paraId="01D9B079" w14:textId="77777777" w:rsidR="003979D5" w:rsidRPr="00241289" w:rsidRDefault="009454A1" w:rsidP="009454A1">
      <w:pPr>
        <w:shd w:val="clear" w:color="auto" w:fill="FFFFFF"/>
        <w:spacing w:after="0" w:line="240" w:lineRule="auto"/>
        <w:jc w:val="right"/>
        <w:rPr>
          <w:rFonts w:ascii="Arial" w:hAnsi="Arial"/>
          <w:i/>
          <w:sz w:val="20"/>
        </w:rPr>
      </w:pPr>
      <w:r w:rsidRPr="00241289">
        <w:rPr>
          <w:rFonts w:ascii="Arial" w:hAnsi="Arial"/>
          <w:sz w:val="20"/>
        </w:rPr>
        <w:t>Prime Minister </w:t>
      </w:r>
      <w:r w:rsidRPr="00241289">
        <w:rPr>
          <w:rFonts w:ascii="Arial" w:hAnsi="Arial"/>
          <w:i/>
          <w:sz w:val="20"/>
        </w:rPr>
        <w:t xml:space="preserve">A. K. </w:t>
      </w:r>
      <w:proofErr w:type="spellStart"/>
      <w:r w:rsidRPr="00241289">
        <w:rPr>
          <w:rFonts w:ascii="Arial" w:hAnsi="Arial"/>
          <w:i/>
          <w:sz w:val="20"/>
        </w:rPr>
        <w:t>Kariņš</w:t>
      </w:r>
      <w:proofErr w:type="spellEnd"/>
    </w:p>
    <w:p w14:paraId="061EEB28" w14:textId="43111830" w:rsidR="004A7FAC" w:rsidRPr="00241289" w:rsidRDefault="009454A1" w:rsidP="009454A1">
      <w:pPr>
        <w:shd w:val="clear" w:color="auto" w:fill="FFFFFF"/>
        <w:spacing w:after="0" w:line="240" w:lineRule="auto"/>
        <w:jc w:val="right"/>
        <w:rPr>
          <w:rFonts w:ascii="Arial" w:eastAsia="Times New Roman" w:hAnsi="Arial" w:cs="Arial"/>
          <w:sz w:val="20"/>
          <w:szCs w:val="20"/>
        </w:rPr>
      </w:pPr>
      <w:r w:rsidRPr="00241289">
        <w:rPr>
          <w:rFonts w:ascii="Arial" w:hAnsi="Arial"/>
          <w:sz w:val="20"/>
        </w:rPr>
        <w:br/>
        <w:t>Minister of Environmental</w:t>
      </w:r>
      <w:r w:rsidRPr="00241289">
        <w:rPr>
          <w:rFonts w:ascii="Arial" w:hAnsi="Arial"/>
          <w:sz w:val="20"/>
        </w:rPr>
        <w:br/>
        <w:t>Protection and Regional Development </w:t>
      </w:r>
      <w:r w:rsidRPr="00241289">
        <w:rPr>
          <w:rFonts w:ascii="Arial" w:hAnsi="Arial"/>
          <w:i/>
          <w:sz w:val="20"/>
        </w:rPr>
        <w:t xml:space="preserve">J. </w:t>
      </w:r>
      <w:proofErr w:type="spellStart"/>
      <w:r w:rsidRPr="00241289">
        <w:rPr>
          <w:rFonts w:ascii="Arial" w:hAnsi="Arial"/>
          <w:i/>
          <w:sz w:val="20"/>
        </w:rPr>
        <w:t>Pūce</w:t>
      </w:r>
      <w:proofErr w:type="spellEnd"/>
    </w:p>
    <w:sectPr w:rsidR="004A7FAC" w:rsidRPr="00241289">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AA085" w14:textId="77777777" w:rsidR="00444BC6" w:rsidRDefault="00444BC6" w:rsidP="00241289">
      <w:pPr>
        <w:spacing w:after="0" w:line="240" w:lineRule="auto"/>
      </w:pPr>
      <w:r>
        <w:separator/>
      </w:r>
    </w:p>
  </w:endnote>
  <w:endnote w:type="continuationSeparator" w:id="0">
    <w:p w14:paraId="14CE91B0" w14:textId="77777777" w:rsidR="00444BC6" w:rsidRDefault="00444BC6" w:rsidP="002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BADAB" w14:textId="77777777" w:rsidR="00241289" w:rsidRDefault="002412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54947" w14:textId="77777777" w:rsidR="00241289" w:rsidRDefault="002412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03ED8" w14:textId="77777777" w:rsidR="00241289" w:rsidRDefault="002412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43DF2" w14:textId="77777777" w:rsidR="00444BC6" w:rsidRDefault="00444BC6" w:rsidP="00241289">
      <w:pPr>
        <w:spacing w:after="0" w:line="240" w:lineRule="auto"/>
      </w:pPr>
      <w:r>
        <w:separator/>
      </w:r>
    </w:p>
  </w:footnote>
  <w:footnote w:type="continuationSeparator" w:id="0">
    <w:p w14:paraId="1C4A44AD" w14:textId="77777777" w:rsidR="00444BC6" w:rsidRDefault="00444BC6" w:rsidP="002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22BE3" w14:textId="77777777" w:rsidR="00241289" w:rsidRDefault="002412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D4B64" w14:textId="77777777" w:rsidR="00241289" w:rsidRDefault="002412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D0EA6" w14:textId="77777777" w:rsidR="00241289" w:rsidRDefault="002412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4A1"/>
    <w:rsid w:val="00241289"/>
    <w:rsid w:val="003979D5"/>
    <w:rsid w:val="003D4892"/>
    <w:rsid w:val="00444BC6"/>
    <w:rsid w:val="004A7FAC"/>
    <w:rsid w:val="006D6452"/>
    <w:rsid w:val="009454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2E062"/>
  <w15:chartTrackingRefBased/>
  <w15:docId w15:val="{68374386-0AF3-4EB1-B54A-53CF88B50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54A1"/>
    <w:rPr>
      <w:color w:val="0000FF"/>
      <w:u w:val="single"/>
    </w:rPr>
  </w:style>
  <w:style w:type="paragraph" w:customStyle="1" w:styleId="tv213">
    <w:name w:val="tv213"/>
    <w:basedOn w:val="Normal"/>
    <w:rsid w:val="009454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9454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3D4892"/>
    <w:pPr>
      <w:ind w:left="720"/>
      <w:contextualSpacing/>
    </w:pPr>
  </w:style>
  <w:style w:type="paragraph" w:styleId="Header">
    <w:name w:val="header"/>
    <w:basedOn w:val="Normal"/>
    <w:link w:val="HeaderChar"/>
    <w:uiPriority w:val="99"/>
    <w:unhideWhenUsed/>
    <w:rsid w:val="002412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41289"/>
  </w:style>
  <w:style w:type="paragraph" w:styleId="Footer">
    <w:name w:val="footer"/>
    <w:basedOn w:val="Normal"/>
    <w:link w:val="FooterChar"/>
    <w:uiPriority w:val="99"/>
    <w:unhideWhenUsed/>
    <w:rsid w:val="002412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4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688990">
      <w:bodyDiv w:val="1"/>
      <w:marLeft w:val="0"/>
      <w:marRight w:val="0"/>
      <w:marTop w:val="0"/>
      <w:marBottom w:val="0"/>
      <w:divBdr>
        <w:top w:val="none" w:sz="0" w:space="0" w:color="auto"/>
        <w:left w:val="none" w:sz="0" w:space="0" w:color="auto"/>
        <w:bottom w:val="none" w:sz="0" w:space="0" w:color="auto"/>
        <w:right w:val="none" w:sz="0" w:space="0" w:color="auto"/>
      </w:divBdr>
      <w:divsChild>
        <w:div w:id="636107544">
          <w:marLeft w:val="0"/>
          <w:marRight w:val="0"/>
          <w:marTop w:val="480"/>
          <w:marBottom w:val="240"/>
          <w:divBdr>
            <w:top w:val="none" w:sz="0" w:space="0" w:color="auto"/>
            <w:left w:val="none" w:sz="0" w:space="0" w:color="auto"/>
            <w:bottom w:val="none" w:sz="0" w:space="0" w:color="auto"/>
            <w:right w:val="none" w:sz="0" w:space="0" w:color="auto"/>
          </w:divBdr>
        </w:div>
        <w:div w:id="596983564">
          <w:marLeft w:val="0"/>
          <w:marRight w:val="0"/>
          <w:marTop w:val="0"/>
          <w:marBottom w:val="567"/>
          <w:divBdr>
            <w:top w:val="none" w:sz="0" w:space="0" w:color="auto"/>
            <w:left w:val="none" w:sz="0" w:space="0" w:color="auto"/>
            <w:bottom w:val="none" w:sz="0" w:space="0" w:color="auto"/>
            <w:right w:val="none" w:sz="0" w:space="0" w:color="auto"/>
          </w:divBdr>
        </w:div>
        <w:div w:id="1481310782">
          <w:marLeft w:val="0"/>
          <w:marRight w:val="0"/>
          <w:marTop w:val="0"/>
          <w:marBottom w:val="567"/>
          <w:divBdr>
            <w:top w:val="none" w:sz="0" w:space="0" w:color="auto"/>
            <w:left w:val="none" w:sz="0" w:space="0" w:color="auto"/>
            <w:bottom w:val="none" w:sz="0" w:space="0" w:color="auto"/>
            <w:right w:val="none" w:sz="0" w:space="0" w:color="auto"/>
          </w:divBdr>
        </w:div>
        <w:div w:id="403190055">
          <w:marLeft w:val="0"/>
          <w:marRight w:val="0"/>
          <w:marTop w:val="0"/>
          <w:marBottom w:val="0"/>
          <w:divBdr>
            <w:top w:val="none" w:sz="0" w:space="0" w:color="auto"/>
            <w:left w:val="none" w:sz="0" w:space="0" w:color="auto"/>
            <w:bottom w:val="none" w:sz="0" w:space="0" w:color="auto"/>
            <w:right w:val="none" w:sz="0" w:space="0" w:color="auto"/>
          </w:divBdr>
        </w:div>
        <w:div w:id="1039670786">
          <w:marLeft w:val="0"/>
          <w:marRight w:val="0"/>
          <w:marTop w:val="0"/>
          <w:marBottom w:val="0"/>
          <w:divBdr>
            <w:top w:val="none" w:sz="0" w:space="0" w:color="auto"/>
            <w:left w:val="none" w:sz="0" w:space="0" w:color="auto"/>
            <w:bottom w:val="none" w:sz="0" w:space="0" w:color="auto"/>
            <w:right w:val="none" w:sz="0" w:space="0" w:color="auto"/>
          </w:divBdr>
        </w:div>
        <w:div w:id="907685654">
          <w:marLeft w:val="0"/>
          <w:marRight w:val="0"/>
          <w:marTop w:val="0"/>
          <w:marBottom w:val="0"/>
          <w:divBdr>
            <w:top w:val="none" w:sz="0" w:space="0" w:color="auto"/>
            <w:left w:val="none" w:sz="0" w:space="0" w:color="auto"/>
            <w:bottom w:val="none" w:sz="0" w:space="0" w:color="auto"/>
            <w:right w:val="none" w:sz="0" w:space="0" w:color="auto"/>
          </w:divBdr>
        </w:div>
        <w:div w:id="1805612906">
          <w:marLeft w:val="0"/>
          <w:marRight w:val="0"/>
          <w:marTop w:val="0"/>
          <w:marBottom w:val="0"/>
          <w:divBdr>
            <w:top w:val="none" w:sz="0" w:space="0" w:color="auto"/>
            <w:left w:val="none" w:sz="0" w:space="0" w:color="auto"/>
            <w:bottom w:val="none" w:sz="0" w:space="0" w:color="auto"/>
            <w:right w:val="none" w:sz="0" w:space="0" w:color="auto"/>
          </w:divBdr>
        </w:div>
        <w:div w:id="1184321667">
          <w:marLeft w:val="0"/>
          <w:marRight w:val="0"/>
          <w:marTop w:val="0"/>
          <w:marBottom w:val="0"/>
          <w:divBdr>
            <w:top w:val="none" w:sz="0" w:space="0" w:color="auto"/>
            <w:left w:val="none" w:sz="0" w:space="0" w:color="auto"/>
            <w:bottom w:val="none" w:sz="0" w:space="0" w:color="auto"/>
            <w:right w:val="none" w:sz="0" w:space="0" w:color="auto"/>
          </w:divBdr>
        </w:div>
        <w:div w:id="1350833806">
          <w:marLeft w:val="0"/>
          <w:marRight w:val="0"/>
          <w:marTop w:val="0"/>
          <w:marBottom w:val="0"/>
          <w:divBdr>
            <w:top w:val="none" w:sz="0" w:space="0" w:color="auto"/>
            <w:left w:val="none" w:sz="0" w:space="0" w:color="auto"/>
            <w:bottom w:val="none" w:sz="0" w:space="0" w:color="auto"/>
            <w:right w:val="none" w:sz="0" w:space="0" w:color="auto"/>
          </w:divBdr>
        </w:div>
        <w:div w:id="1589734655">
          <w:marLeft w:val="0"/>
          <w:marRight w:val="0"/>
          <w:marTop w:val="0"/>
          <w:marBottom w:val="0"/>
          <w:divBdr>
            <w:top w:val="none" w:sz="0" w:space="0" w:color="auto"/>
            <w:left w:val="none" w:sz="0" w:space="0" w:color="auto"/>
            <w:bottom w:val="none" w:sz="0" w:space="0" w:color="auto"/>
            <w:right w:val="none" w:sz="0" w:space="0" w:color="auto"/>
          </w:divBdr>
        </w:div>
        <w:div w:id="580800455">
          <w:marLeft w:val="0"/>
          <w:marRight w:val="0"/>
          <w:marTop w:val="0"/>
          <w:marBottom w:val="0"/>
          <w:divBdr>
            <w:top w:val="none" w:sz="0" w:space="0" w:color="auto"/>
            <w:left w:val="none" w:sz="0" w:space="0" w:color="auto"/>
            <w:bottom w:val="none" w:sz="0" w:space="0" w:color="auto"/>
            <w:right w:val="none" w:sz="0" w:space="0" w:color="auto"/>
          </w:divBdr>
        </w:div>
        <w:div w:id="746077572">
          <w:marLeft w:val="0"/>
          <w:marRight w:val="0"/>
          <w:marTop w:val="0"/>
          <w:marBottom w:val="0"/>
          <w:divBdr>
            <w:top w:val="none" w:sz="0" w:space="0" w:color="auto"/>
            <w:left w:val="none" w:sz="0" w:space="0" w:color="auto"/>
            <w:bottom w:val="none" w:sz="0" w:space="0" w:color="auto"/>
            <w:right w:val="none" w:sz="0" w:space="0" w:color="auto"/>
          </w:divBdr>
        </w:div>
        <w:div w:id="407073039">
          <w:marLeft w:val="0"/>
          <w:marRight w:val="0"/>
          <w:marTop w:val="0"/>
          <w:marBottom w:val="0"/>
          <w:divBdr>
            <w:top w:val="none" w:sz="0" w:space="0" w:color="auto"/>
            <w:left w:val="none" w:sz="0" w:space="0" w:color="auto"/>
            <w:bottom w:val="none" w:sz="0" w:space="0" w:color="auto"/>
            <w:right w:val="none" w:sz="0" w:space="0" w:color="auto"/>
          </w:divBdr>
        </w:div>
        <w:div w:id="2012874199">
          <w:marLeft w:val="0"/>
          <w:marRight w:val="0"/>
          <w:marTop w:val="0"/>
          <w:marBottom w:val="0"/>
          <w:divBdr>
            <w:top w:val="none" w:sz="0" w:space="0" w:color="auto"/>
            <w:left w:val="none" w:sz="0" w:space="0" w:color="auto"/>
            <w:bottom w:val="none" w:sz="0" w:space="0" w:color="auto"/>
            <w:right w:val="none" w:sz="0" w:space="0" w:color="auto"/>
          </w:divBdr>
        </w:div>
        <w:div w:id="237978435">
          <w:marLeft w:val="0"/>
          <w:marRight w:val="0"/>
          <w:marTop w:val="0"/>
          <w:marBottom w:val="0"/>
          <w:divBdr>
            <w:top w:val="none" w:sz="0" w:space="0" w:color="auto"/>
            <w:left w:val="none" w:sz="0" w:space="0" w:color="auto"/>
            <w:bottom w:val="none" w:sz="0" w:space="0" w:color="auto"/>
            <w:right w:val="none" w:sz="0" w:space="0" w:color="auto"/>
          </w:divBdr>
        </w:div>
        <w:div w:id="2096784283">
          <w:marLeft w:val="0"/>
          <w:marRight w:val="0"/>
          <w:marTop w:val="0"/>
          <w:marBottom w:val="0"/>
          <w:divBdr>
            <w:top w:val="none" w:sz="0" w:space="0" w:color="auto"/>
            <w:left w:val="none" w:sz="0" w:space="0" w:color="auto"/>
            <w:bottom w:val="none" w:sz="0" w:space="0" w:color="auto"/>
            <w:right w:val="none" w:sz="0" w:space="0" w:color="auto"/>
          </w:divBdr>
        </w:div>
        <w:div w:id="1490975845">
          <w:marLeft w:val="0"/>
          <w:marRight w:val="0"/>
          <w:marTop w:val="0"/>
          <w:marBottom w:val="0"/>
          <w:divBdr>
            <w:top w:val="none" w:sz="0" w:space="0" w:color="auto"/>
            <w:left w:val="none" w:sz="0" w:space="0" w:color="auto"/>
            <w:bottom w:val="none" w:sz="0" w:space="0" w:color="auto"/>
            <w:right w:val="none" w:sz="0" w:space="0" w:color="auto"/>
          </w:divBdr>
        </w:div>
        <w:div w:id="1767996341">
          <w:marLeft w:val="0"/>
          <w:marRight w:val="0"/>
          <w:marTop w:val="0"/>
          <w:marBottom w:val="0"/>
          <w:divBdr>
            <w:top w:val="none" w:sz="0" w:space="0" w:color="auto"/>
            <w:left w:val="none" w:sz="0" w:space="0" w:color="auto"/>
            <w:bottom w:val="none" w:sz="0" w:space="0" w:color="auto"/>
            <w:right w:val="none" w:sz="0" w:space="0" w:color="auto"/>
          </w:divBdr>
        </w:div>
        <w:div w:id="115877267">
          <w:marLeft w:val="0"/>
          <w:marRight w:val="0"/>
          <w:marTop w:val="0"/>
          <w:marBottom w:val="0"/>
          <w:divBdr>
            <w:top w:val="none" w:sz="0" w:space="0" w:color="auto"/>
            <w:left w:val="none" w:sz="0" w:space="0" w:color="auto"/>
            <w:bottom w:val="none" w:sz="0" w:space="0" w:color="auto"/>
            <w:right w:val="none" w:sz="0" w:space="0" w:color="auto"/>
          </w:divBdr>
        </w:div>
        <w:div w:id="475689272">
          <w:marLeft w:val="0"/>
          <w:marRight w:val="0"/>
          <w:marTop w:val="0"/>
          <w:marBottom w:val="0"/>
          <w:divBdr>
            <w:top w:val="none" w:sz="0" w:space="0" w:color="auto"/>
            <w:left w:val="none" w:sz="0" w:space="0" w:color="auto"/>
            <w:bottom w:val="none" w:sz="0" w:space="0" w:color="auto"/>
            <w:right w:val="none" w:sz="0" w:space="0" w:color="auto"/>
          </w:divBdr>
        </w:div>
        <w:div w:id="770783635">
          <w:marLeft w:val="0"/>
          <w:marRight w:val="0"/>
          <w:marTop w:val="0"/>
          <w:marBottom w:val="0"/>
          <w:divBdr>
            <w:top w:val="none" w:sz="0" w:space="0" w:color="auto"/>
            <w:left w:val="none" w:sz="0" w:space="0" w:color="auto"/>
            <w:bottom w:val="none" w:sz="0" w:space="0" w:color="auto"/>
            <w:right w:val="none" w:sz="0" w:space="0" w:color="auto"/>
          </w:divBdr>
        </w:div>
        <w:div w:id="1365323535">
          <w:marLeft w:val="0"/>
          <w:marRight w:val="0"/>
          <w:marTop w:val="0"/>
          <w:marBottom w:val="0"/>
          <w:divBdr>
            <w:top w:val="none" w:sz="0" w:space="0" w:color="auto"/>
            <w:left w:val="none" w:sz="0" w:space="0" w:color="auto"/>
            <w:bottom w:val="none" w:sz="0" w:space="0" w:color="auto"/>
            <w:right w:val="none" w:sz="0" w:space="0" w:color="auto"/>
          </w:divBdr>
        </w:div>
        <w:div w:id="1722047913">
          <w:marLeft w:val="0"/>
          <w:marRight w:val="0"/>
          <w:marTop w:val="0"/>
          <w:marBottom w:val="0"/>
          <w:divBdr>
            <w:top w:val="none" w:sz="0" w:space="0" w:color="auto"/>
            <w:left w:val="none" w:sz="0" w:space="0" w:color="auto"/>
            <w:bottom w:val="none" w:sz="0" w:space="0" w:color="auto"/>
            <w:right w:val="none" w:sz="0" w:space="0" w:color="auto"/>
          </w:divBdr>
        </w:div>
        <w:div w:id="1155075372">
          <w:marLeft w:val="0"/>
          <w:marRight w:val="0"/>
          <w:marTop w:val="0"/>
          <w:marBottom w:val="0"/>
          <w:divBdr>
            <w:top w:val="none" w:sz="0" w:space="0" w:color="auto"/>
            <w:left w:val="none" w:sz="0" w:space="0" w:color="auto"/>
            <w:bottom w:val="none" w:sz="0" w:space="0" w:color="auto"/>
            <w:right w:val="none" w:sz="0" w:space="0" w:color="auto"/>
          </w:divBdr>
        </w:div>
        <w:div w:id="1343043494">
          <w:marLeft w:val="0"/>
          <w:marRight w:val="0"/>
          <w:marTop w:val="0"/>
          <w:marBottom w:val="0"/>
          <w:divBdr>
            <w:top w:val="none" w:sz="0" w:space="0" w:color="auto"/>
            <w:left w:val="none" w:sz="0" w:space="0" w:color="auto"/>
            <w:bottom w:val="none" w:sz="0" w:space="0" w:color="auto"/>
            <w:right w:val="none" w:sz="0" w:space="0" w:color="auto"/>
          </w:divBdr>
        </w:div>
        <w:div w:id="66080751">
          <w:marLeft w:val="0"/>
          <w:marRight w:val="0"/>
          <w:marTop w:val="0"/>
          <w:marBottom w:val="0"/>
          <w:divBdr>
            <w:top w:val="none" w:sz="0" w:space="0" w:color="auto"/>
            <w:left w:val="none" w:sz="0" w:space="0" w:color="auto"/>
            <w:bottom w:val="none" w:sz="0" w:space="0" w:color="auto"/>
            <w:right w:val="none" w:sz="0" w:space="0" w:color="auto"/>
          </w:divBdr>
        </w:div>
        <w:div w:id="65388005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7388" TargetMode="External"/><Relationship Id="rId13" Type="http://schemas.openxmlformats.org/officeDocument/2006/relationships/hyperlink" Target="https://likumi.lv/ta/id/317388"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https://likumi.lv/ta/id/12484-par-radiacijas-drosibu-un-kodoldrosibu" TargetMode="External"/><Relationship Id="rId12" Type="http://schemas.openxmlformats.org/officeDocument/2006/relationships/hyperlink" Target="https://likumi.lv/ta/id/317388"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likumi.lv/ta/id/12484-par-radiacijas-drosibu-un-kodoldrosibu" TargetMode="External"/><Relationship Id="rId11" Type="http://schemas.openxmlformats.org/officeDocument/2006/relationships/hyperlink" Target="https://likumi.lv/ta/id/317388" TargetMode="External"/><Relationship Id="rId5" Type="http://schemas.openxmlformats.org/officeDocument/2006/relationships/endnotes" Target="endnotes.xml"/><Relationship Id="rId15" Type="http://schemas.openxmlformats.org/officeDocument/2006/relationships/hyperlink" Target="https://likumi.lv/ta/id/317388" TargetMode="External"/><Relationship Id="rId23" Type="http://schemas.openxmlformats.org/officeDocument/2006/relationships/theme" Target="theme/theme1.xml"/><Relationship Id="rId10" Type="http://schemas.openxmlformats.org/officeDocument/2006/relationships/hyperlink" Target="https://likumi.lv/ta/id/317388"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eur-lex.europa.eu/eli/reg/1987/2658/oj/?locale=LV" TargetMode="External"/><Relationship Id="rId14" Type="http://schemas.openxmlformats.org/officeDocument/2006/relationships/hyperlink" Target="https://likumi.lv/ta/id/31738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1666</Words>
  <Characters>8549</Characters>
  <Application>Microsoft Office Word</Application>
  <DocSecurity>0</DocSecurity>
  <Lines>178</Lines>
  <Paragraphs>70</Paragraphs>
  <ScaleCrop>false</ScaleCrop>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Normunds Freibergs</dc:creator>
  <cp:keywords/>
  <dc:description/>
  <cp:lastModifiedBy>Ines Varvodic</cp:lastModifiedBy>
  <cp:revision>3</cp:revision>
  <dcterms:created xsi:type="dcterms:W3CDTF">2021-12-28T14:45:00Z</dcterms:created>
  <dcterms:modified xsi:type="dcterms:W3CDTF">2021-12-28T15:06:00Z</dcterms:modified>
</cp:coreProperties>
</file>