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7D36" w14:textId="77777777" w:rsidR="00201C96" w:rsidRDefault="00201C96" w:rsidP="0068520B">
      <w:pPr>
        <w:pStyle w:val="BodyText"/>
      </w:pPr>
      <w:bookmarkStart w:id="0" w:name="Start"/>
      <w:bookmarkEnd w:id="0"/>
    </w:p>
    <w:p w14:paraId="4BBECBBF" w14:textId="77777777" w:rsidR="00646F34" w:rsidRDefault="00646F34" w:rsidP="007F7FC2">
      <w:pPr>
        <w:pStyle w:val="BodyText"/>
        <w:spacing w:after="1120"/>
      </w:pPr>
    </w:p>
    <w:p w14:paraId="719B4569" w14:textId="565FA421" w:rsidR="00646F34" w:rsidRDefault="00646F34" w:rsidP="002576A9">
      <w:pPr>
        <w:pStyle w:val="Heading1"/>
        <w:rPr>
          <w:sz w:val="38"/>
          <w:szCs w:val="38"/>
        </w:rPr>
      </w:pPr>
      <w:r>
        <w:rPr>
          <w:noProof/>
          <w:sz w:val="38"/>
        </w:rPr>
        <w:drawing>
          <wp:anchor distT="0" distB="0" distL="114300" distR="114300" simplePos="0" relativeHeight="251657216" behindDoc="1" locked="0" layoutInCell="1" allowOverlap="0" wp14:anchorId="01797C1F" wp14:editId="5D6C83A0">
            <wp:simplePos x="0" y="0"/>
            <wp:positionH relativeFrom="column">
              <wp:posOffset>-2540</wp:posOffset>
            </wp:positionH>
            <wp:positionV relativeFrom="page">
              <wp:posOffset>431800</wp:posOffset>
            </wp:positionV>
            <wp:extent cx="370205" cy="629920"/>
            <wp:effectExtent l="0" t="0" r="0" b="0"/>
            <wp:wrapNone/>
            <wp:docPr id="9" name="Bildobjekt 9"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r>
        <w:rPr>
          <w:sz w:val="38"/>
        </w:rPr>
        <w:t>Sveriges lovsamling</w:t>
      </w:r>
    </w:p>
    <w:p w14:paraId="6CC2C3FA" w14:textId="1D68BDF9" w:rsidR="00646F34" w:rsidRPr="005F75D2" w:rsidRDefault="00646F34" w:rsidP="005F75D2">
      <w:pPr>
        <w:pStyle w:val="BodyText"/>
        <w:pBdr>
          <w:top w:val="single" w:sz="6" w:space="1" w:color="auto"/>
        </w:pBdr>
        <w:ind w:right="-2411"/>
        <w:rPr>
          <w:sz w:val="4"/>
          <w:szCs w:val="4"/>
        </w:rPr>
      </w:pPr>
    </w:p>
    <w:p w14:paraId="06E55153" w14:textId="564CBCF7" w:rsidR="00646F34" w:rsidRDefault="00B10553" w:rsidP="005F75D2">
      <w:pPr>
        <w:pStyle w:val="Heading2"/>
        <w:spacing w:before="200"/>
      </w:pPr>
      <w:bookmarkStart w:id="1" w:name="Titel"/>
      <w:r>
        <w:rPr>
          <w:noProof/>
        </w:rPr>
        <mc:AlternateContent>
          <mc:Choice Requires="wps">
            <w:drawing>
              <wp:anchor distT="0" distB="0" distL="114300" distR="114300" simplePos="0" relativeHeight="251662336" behindDoc="0" locked="0" layoutInCell="1" allowOverlap="1" wp14:anchorId="5E9FED69" wp14:editId="6DD6EE05">
                <wp:simplePos x="0" y="0"/>
                <wp:positionH relativeFrom="page">
                  <wp:posOffset>5379533</wp:posOffset>
                </wp:positionH>
                <wp:positionV relativeFrom="page">
                  <wp:posOffset>1985480</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Offentliggjort</w:t>
                            </w:r>
                            <w:r>
                              <w:rPr>
                                <w:sz w:val="20"/>
                              </w:rPr>
                              <w:br/>
                              <w:t>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FED69" id="_x0000_t202" coordsize="21600,21600" o:spt="202" path="m,l,21600r21600,l21600,xe">
                <v:stroke joinstyle="miter"/>
                <v:path gradientshapeok="t" o:connecttype="rect"/>
              </v:shapetype>
              <v:shape id="Textruta 7" o:spid="_x0000_s1026" type="#_x0000_t202" alt="Ruta som innehåller SFS-nummer och publiceringsdatum" style="position:absolute;margin-left:423.6pt;margin-top:156.35pt;width:122.15pt;height:5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" fillcolor="white [3201]" stroked="f" strokeweight=".5pt">
                <v:textbo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Offentliggjort</w:t>
                      </w:r>
                      <w:r>
                        <w:rPr>
                          <w:sz w:val="20"/>
                        </w:rPr>
                        <w:br/>
                        <w:t>den</w:t>
                      </w:r>
                    </w:p>
                  </w:txbxContent>
                </v:textbox>
                <w10:wrap anchorx="page" anchory="page"/>
              </v:shape>
            </w:pict>
          </mc:Fallback>
        </mc:AlternateContent>
      </w:r>
      <w:r w:rsidR="00646F34">
        <w:t>Bekendtgørelse om engangsprodukter</w:t>
      </w:r>
    </w:p>
    <w:bookmarkEnd w:id="1"/>
    <w:p w14:paraId="266D883D" w14:textId="77777777" w:rsidR="00646F34" w:rsidRPr="00496B57" w:rsidRDefault="00646F34" w:rsidP="009C4782">
      <w:pPr>
        <w:pStyle w:val="BodyText"/>
      </w:pPr>
      <w:r>
        <w:t xml:space="preserve">Udstedt </w:t>
      </w:r>
      <w:sdt>
        <w:sdtPr>
          <w:alias w:val="Udstedelsesdato"/>
          <w:tag w:val="UtfärdadDatum"/>
          <w:id w:val="-627399020"/>
          <w:placeholder>
            <w:docPart w:val="BA31D46B8C324B76B3CEC46700909471"/>
          </w:placeholder>
          <w:showingPlcHdr/>
          <w:date>
            <w:dateFormat w:val="'den' d MMMM yyyy"/>
            <w:lid w:val="da-DK"/>
            <w:storeMappedDataAs w:val="dateTime"/>
            <w:calendar w:val="gregorian"/>
          </w:date>
        </w:sdtPr>
        <w:sdtEndPr/>
        <w:sdtContent>
          <w:r>
            <w:rPr>
              <w:rStyle w:val="PlaceholderText"/>
            </w:rPr>
            <w:t>Klik her for at indtaste dato.</w:t>
          </w:r>
        </w:sdtContent>
      </w:sdt>
    </w:p>
    <w:p w14:paraId="531050A5" w14:textId="77777777" w:rsidR="00646F34" w:rsidRDefault="00646F34" w:rsidP="009C4782">
      <w:pPr>
        <w:pStyle w:val="BodyText"/>
      </w:pPr>
    </w:p>
    <w:p w14:paraId="33F2A488" w14:textId="1ECAF154" w:rsidR="00646F34" w:rsidRDefault="00646F34" w:rsidP="009C4782">
      <w:pPr>
        <w:pStyle w:val="BodyText"/>
      </w:pPr>
      <w:r>
        <w:t>Den svenske regering fastsætter herved</w:t>
      </w:r>
      <w:r w:rsidR="00211C2C">
        <w:rPr>
          <w:rStyle w:val="FootnoteReference"/>
        </w:rPr>
        <w:footnoteReference w:id="2"/>
      </w:r>
      <w:r>
        <w:t xml:space="preserve"> følgende:</w:t>
      </w:r>
    </w:p>
    <w:p w14:paraId="089CC68B" w14:textId="77777777" w:rsidR="00646F34" w:rsidRDefault="00646F34" w:rsidP="00D001EA">
      <w:pPr>
        <w:pStyle w:val="BodyText"/>
      </w:pPr>
    </w:p>
    <w:p w14:paraId="6E641870" w14:textId="478BFE4B" w:rsidR="0078709D" w:rsidRPr="0078709D" w:rsidRDefault="0078709D" w:rsidP="00615D62">
      <w:pPr>
        <w:pStyle w:val="BodyTextIndent"/>
        <w:ind w:firstLine="0"/>
      </w:pPr>
      <w:r>
        <w:rPr>
          <w:b/>
        </w:rPr>
        <w:t>Afsnit 1</w:t>
      </w:r>
      <w:r>
        <w:tab/>
        <w:t xml:space="preserve">Formålet med denne bekendtgørelse er at reducere </w:t>
      </w:r>
      <w:proofErr w:type="spellStart"/>
      <w:r>
        <w:t>henkastning</w:t>
      </w:r>
      <w:proofErr w:type="spellEnd"/>
      <w:r>
        <w:t xml:space="preserve"> af affald og fremme en cirkulær økonomi. </w:t>
      </w:r>
    </w:p>
    <w:p w14:paraId="40BFA1F6" w14:textId="0E004591" w:rsidR="00211C2C" w:rsidRDefault="00333E47" w:rsidP="004F112E">
      <w:pPr>
        <w:pStyle w:val="BodyTextIndent"/>
      </w:pPr>
      <w:r>
        <w:t xml:space="preserve">Denne bekendtgørelse er udstedt i medfør af </w:t>
      </w:r>
    </w:p>
    <w:p w14:paraId="12B53A34" w14:textId="68D2448E" w:rsidR="00211C2C" w:rsidRPr="001E4FCB" w:rsidRDefault="00211C2C" w:rsidP="00211C2C">
      <w:pPr>
        <w:pStyle w:val="BodyTextIndent"/>
      </w:pPr>
      <w:bookmarkStart w:id="2" w:name="_Hlk83046616"/>
      <w:r>
        <w:t>– Kapitel 15, afsnit 40, i miljøloven for så vidt angår afsnit 12-23 og 25-28</w:t>
      </w:r>
    </w:p>
    <w:p w14:paraId="4D869C94" w14:textId="315A9AF4" w:rsidR="00211C2C" w:rsidRDefault="00211C2C" w:rsidP="00211C2C">
      <w:pPr>
        <w:pStyle w:val="BodyTextIndent"/>
      </w:pPr>
      <w:r>
        <w:t>– Kapitel 8, afsnit 11, i regeringsformen for så vidt angår afsnit 34, og</w:t>
      </w:r>
    </w:p>
    <w:p w14:paraId="4031C2BE" w14:textId="565CD061" w:rsidR="00211C2C" w:rsidRDefault="00211C2C" w:rsidP="00211C2C">
      <w:pPr>
        <w:pStyle w:val="BodyTextIndent"/>
      </w:pPr>
      <w:r>
        <w:t>– Kapitel 8, afsnit 7, i regeringsformen for så vidt angår andre bestemmelser.</w:t>
      </w:r>
    </w:p>
    <w:p w14:paraId="4266EBCF" w14:textId="77777777" w:rsidR="00646F34" w:rsidRDefault="00646F34" w:rsidP="009E6D43">
      <w:pPr>
        <w:pStyle w:val="Heading4"/>
      </w:pPr>
      <w:bookmarkStart w:id="3" w:name="_Hlk48222959"/>
      <w:bookmarkEnd w:id="2"/>
      <w:r>
        <w:t>Supplerende bestemmelser i andre bekendtgørelser</w:t>
      </w:r>
      <w:bookmarkEnd w:id="3"/>
    </w:p>
    <w:p w14:paraId="01712DC8" w14:textId="4271D0B8" w:rsidR="00646F34" w:rsidRDefault="00311E20" w:rsidP="00646F34">
      <w:pPr>
        <w:pStyle w:val="BodyTextIndent"/>
        <w:ind w:firstLine="0"/>
      </w:pPr>
      <w:r>
        <w:rPr>
          <w:b/>
        </w:rPr>
        <w:t>Afsnit 2</w:t>
      </w:r>
      <w:r>
        <w:t xml:space="preserve">    Yderligere bestemmelser om engangsudstyr findes i: </w:t>
      </w:r>
    </w:p>
    <w:p w14:paraId="154B105E" w14:textId="60FF01F1" w:rsidR="003C1B39" w:rsidRDefault="003C1B39" w:rsidP="003C1B39">
      <w:pPr>
        <w:pStyle w:val="BodyTextIndent"/>
      </w:pPr>
      <w:r>
        <w:t xml:space="preserve">– Bekendtgørelsen om forbud mod håndtering, import og eksport af kemiske produkter (1998:944) </w:t>
      </w:r>
    </w:p>
    <w:p w14:paraId="059C6EE1" w14:textId="1A797C64" w:rsidR="003C1B39" w:rsidRDefault="003C1B39" w:rsidP="003C1B39">
      <w:pPr>
        <w:pStyle w:val="BodyTextIndent"/>
      </w:pPr>
      <w:r>
        <w:t xml:space="preserve">– Bekendtgørelse (2005:220) om retursystemer for plastflasker og metaldåser </w:t>
      </w:r>
    </w:p>
    <w:p w14:paraId="2360F5CB" w14:textId="5EE3CD3D" w:rsidR="003C1B39" w:rsidRDefault="003C1B39" w:rsidP="009E6D43">
      <w:pPr>
        <w:pStyle w:val="BodyTextIndent"/>
      </w:pPr>
      <w:r>
        <w:t xml:space="preserve">– Bekendtgørelse (2018:1462) om producentansvar for emballering </w:t>
      </w:r>
    </w:p>
    <w:p w14:paraId="6B638499" w14:textId="18241521" w:rsidR="00615D62" w:rsidRDefault="00646F34" w:rsidP="00646F34">
      <w:pPr>
        <w:pStyle w:val="BodyTextIndent"/>
      </w:pPr>
      <w:r>
        <w:t xml:space="preserve">– Forordning (2021:000) om producentansvar for visse tobaksvarer </w:t>
      </w:r>
    </w:p>
    <w:p w14:paraId="6DF6135E" w14:textId="39B4E289" w:rsidR="00646F34" w:rsidRDefault="00646F34" w:rsidP="00646F34">
      <w:pPr>
        <w:pStyle w:val="BodyTextIndent"/>
      </w:pPr>
      <w:r>
        <w:t xml:space="preserve">og filtre </w:t>
      </w:r>
    </w:p>
    <w:p w14:paraId="1451E275" w14:textId="1C1843A6" w:rsidR="00646F34" w:rsidRDefault="00646F34" w:rsidP="00646F34">
      <w:pPr>
        <w:pStyle w:val="BodyTextIndent"/>
      </w:pPr>
      <w:r>
        <w:t xml:space="preserve">– Bekendtgørelse (2021:000) om producentansvar for balloner </w:t>
      </w:r>
    </w:p>
    <w:p w14:paraId="24695156" w14:textId="0A203132" w:rsidR="00646F34" w:rsidRDefault="00646F34" w:rsidP="00646F34">
      <w:pPr>
        <w:pStyle w:val="BodyTextIndent"/>
      </w:pPr>
      <w:r>
        <w:t>– Bekendtgørelse (2021:000) om producentansvar for vådservietter og</w:t>
      </w:r>
    </w:p>
    <w:p w14:paraId="776217DF" w14:textId="427A9E98" w:rsidR="00646F34" w:rsidRDefault="00646F34" w:rsidP="00646F34">
      <w:pPr>
        <w:pStyle w:val="BodyTextIndent"/>
      </w:pPr>
      <w:r>
        <w:t xml:space="preserve">– </w:t>
      </w:r>
      <w:r>
        <w:rPr>
          <w:shd w:val="clear" w:color="auto" w:fill="FFFFFF"/>
        </w:rPr>
        <w:t>Bekendtgørelse (2021:000) om affaldsafgifter</w:t>
      </w:r>
      <w:r>
        <w:t>.</w:t>
      </w:r>
    </w:p>
    <w:p w14:paraId="7F211810" w14:textId="77777777" w:rsidR="00646F34" w:rsidRPr="008F79D1" w:rsidRDefault="00646F34" w:rsidP="009E6D43">
      <w:pPr>
        <w:pStyle w:val="Heading4"/>
      </w:pPr>
      <w:r>
        <w:t>Definitioner</w:t>
      </w:r>
    </w:p>
    <w:p w14:paraId="772F6552" w14:textId="71C770DF" w:rsidR="00211C2C" w:rsidRDefault="00311E20" w:rsidP="00211C2C">
      <w:pPr>
        <w:pStyle w:val="BodyText"/>
        <w:keepNext/>
      </w:pPr>
      <w:r>
        <w:rPr>
          <w:b/>
        </w:rPr>
        <w:t>Afsnit 3 </w:t>
      </w:r>
      <w:r>
        <w:t xml:space="preserve">   I denne bekendtgørelse har </w:t>
      </w:r>
      <w:r>
        <w:rPr>
          <w:i/>
        </w:rPr>
        <w:t>polymer</w:t>
      </w:r>
      <w:r>
        <w:t xml:space="preserve"> den betydning, der er defineret i artikel 3.5, i 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w:t>
      </w:r>
    </w:p>
    <w:p w14:paraId="6171A621" w14:textId="77777777" w:rsidR="00646F34" w:rsidRDefault="00646F34" w:rsidP="00646F34">
      <w:pPr>
        <w:pStyle w:val="BodyTextIndent"/>
      </w:pPr>
    </w:p>
    <w:p w14:paraId="0085FF47" w14:textId="02293E03" w:rsidR="00211C2C" w:rsidRDefault="00311E20" w:rsidP="00211C2C">
      <w:pPr>
        <w:pStyle w:val="BodyTextIndent"/>
        <w:ind w:firstLine="0"/>
      </w:pPr>
      <w:r>
        <w:rPr>
          <w:b/>
        </w:rPr>
        <w:lastRenderedPageBreak/>
        <w:t>Afsnit 4 </w:t>
      </w:r>
      <w:r>
        <w:t xml:space="preserve">   I denne bekendtgørelse forstås ved </w:t>
      </w:r>
      <w:r>
        <w:rPr>
          <w:i/>
        </w:rPr>
        <w:t xml:space="preserve">plast </w:t>
      </w:r>
      <w:r>
        <w:t>en polymer, der kan fungere som en strukturel hovedbestanddel i slutprodukter</w:t>
      </w:r>
      <w:bookmarkStart w:id="4" w:name="_Hlk49851962"/>
      <w:r>
        <w:t>, uanset om der er tilsat additiver eller andre stoffer til polymeren.</w:t>
      </w:r>
    </w:p>
    <w:bookmarkEnd w:id="4"/>
    <w:p w14:paraId="2F9F098E" w14:textId="77777777" w:rsidR="00211C2C" w:rsidRDefault="00211C2C" w:rsidP="00211C2C">
      <w:pPr>
        <w:pStyle w:val="BodyTextIndent"/>
      </w:pPr>
      <w:r>
        <w:t xml:space="preserve">Plast betyder ikke en polymer, der forekommer naturligt i miljøet, og som ikke er blevet kemisk modificeret. </w:t>
      </w:r>
    </w:p>
    <w:p w14:paraId="0F1CEE55" w14:textId="77777777" w:rsidR="00646F34" w:rsidRDefault="00646F34" w:rsidP="00646F34">
      <w:pPr>
        <w:pStyle w:val="BodyTextIndent"/>
      </w:pPr>
    </w:p>
    <w:p w14:paraId="614D69D0" w14:textId="468D4CB1" w:rsidR="00211C2C" w:rsidRDefault="00311E20" w:rsidP="00211C2C">
      <w:pPr>
        <w:pStyle w:val="BodyText"/>
        <w:keepNext/>
      </w:pPr>
      <w:r>
        <w:rPr>
          <w:b/>
        </w:rPr>
        <w:t>Afsnit 5  </w:t>
      </w:r>
      <w:r>
        <w:t>  I denne bekendtgørelse forstås ved</w:t>
      </w:r>
    </w:p>
    <w:p w14:paraId="71E1411A" w14:textId="77777777" w:rsidR="00211C2C" w:rsidRPr="00B440B8" w:rsidRDefault="00211C2C" w:rsidP="00211C2C">
      <w:pPr>
        <w:pStyle w:val="BodyTextIndent"/>
        <w:rPr>
          <w:iCs/>
        </w:rPr>
      </w:pPr>
      <w:r>
        <w:rPr>
          <w:i/>
        </w:rPr>
        <w:t>tilbyde på det svenske marked</w:t>
      </w:r>
      <w:r>
        <w:t xml:space="preserve"> midler til at stille et produkt til rådighed med henblik på distribution, forbrug eller anvendelse på det svenske marked mod vederlag eller gratis i erhvervsmæssigt øjemed</w:t>
      </w:r>
    </w:p>
    <w:p w14:paraId="698B7BE7" w14:textId="77777777" w:rsidR="00211C2C" w:rsidRDefault="00211C2C" w:rsidP="00211C2C">
      <w:pPr>
        <w:pStyle w:val="BodyTextIndent"/>
        <w:rPr>
          <w:iCs/>
        </w:rPr>
      </w:pPr>
      <w:r>
        <w:rPr>
          <w:i/>
        </w:rPr>
        <w:t>markedsføre på det svenske marked</w:t>
      </w:r>
      <w:r>
        <w:t xml:space="preserve"> at tilbyde et produkt på det svenske marked for første gang.</w:t>
      </w:r>
    </w:p>
    <w:p w14:paraId="3C7251C2" w14:textId="77777777" w:rsidR="00646F34" w:rsidRDefault="00646F34" w:rsidP="00646F34">
      <w:pPr>
        <w:pStyle w:val="BodyTextIndent"/>
        <w:rPr>
          <w:iCs/>
        </w:rPr>
      </w:pPr>
    </w:p>
    <w:p w14:paraId="33DCA43D" w14:textId="395F23BF" w:rsidR="00211C2C" w:rsidRDefault="00311E20" w:rsidP="00211C2C">
      <w:pPr>
        <w:pStyle w:val="BodyTextIndent"/>
        <w:ind w:firstLine="0"/>
        <w:rPr>
          <w:i/>
        </w:rPr>
      </w:pPr>
      <w:r>
        <w:rPr>
          <w:b/>
        </w:rPr>
        <w:t>Afsnit 6  </w:t>
      </w:r>
      <w:r>
        <w:t>  I denne bekendtgørelse forstås ved</w:t>
      </w:r>
      <w:r>
        <w:rPr>
          <w:i/>
        </w:rPr>
        <w:t xml:space="preserve"> </w:t>
      </w:r>
    </w:p>
    <w:p w14:paraId="32959034" w14:textId="77777777" w:rsidR="00211C2C" w:rsidRDefault="00211C2C" w:rsidP="00211C2C">
      <w:pPr>
        <w:pStyle w:val="BodyTextIndent"/>
      </w:pPr>
      <w:r>
        <w:rPr>
          <w:i/>
        </w:rPr>
        <w:t>engangsprodukt</w:t>
      </w:r>
      <w:r>
        <w:t xml:space="preserve"> et produkt, der ikke er udviklet, designet eller markedsført på det svenske marked med henblik på inden for dets levetid at lade det gennemgå flere cyklusser ved at genbruge det til det samme formål, som det blev udviklet til, eller ved at returnere det til en producent med henblik på genopfyldning</w:t>
      </w:r>
    </w:p>
    <w:p w14:paraId="2EC9DEC7" w14:textId="77777777" w:rsidR="00211C2C" w:rsidRDefault="00211C2C" w:rsidP="00211C2C">
      <w:pPr>
        <w:pStyle w:val="BodyTextIndent"/>
      </w:pPr>
      <w:r>
        <w:rPr>
          <w:i/>
        </w:rPr>
        <w:t>engangsplastprodukt</w:t>
      </w:r>
      <w:r>
        <w:t xml:space="preserve"> et engangsprodukt, der helt eller delvis er fremstillet af plast.</w:t>
      </w:r>
    </w:p>
    <w:p w14:paraId="7CB6C08F" w14:textId="77777777" w:rsidR="00646F34" w:rsidRDefault="00646F34" w:rsidP="00646F34">
      <w:pPr>
        <w:pStyle w:val="BodyTextIndent"/>
        <w:rPr>
          <w:iCs/>
        </w:rPr>
      </w:pPr>
    </w:p>
    <w:p w14:paraId="376A036B" w14:textId="0632F7EB" w:rsidR="00211C2C" w:rsidRDefault="00311E20" w:rsidP="00211C2C">
      <w:pPr>
        <w:pStyle w:val="BodyText"/>
        <w:rPr>
          <w:i/>
        </w:rPr>
      </w:pPr>
      <w:r>
        <w:rPr>
          <w:b/>
        </w:rPr>
        <w:t>Afsnit 7  </w:t>
      </w:r>
      <w:r>
        <w:t xml:space="preserve">  I denne bekendtgørelse forstås ved </w:t>
      </w:r>
    </w:p>
    <w:p w14:paraId="7911FBA8" w14:textId="35F7F761" w:rsidR="00211C2C" w:rsidRDefault="00211C2C" w:rsidP="00211C2C">
      <w:pPr>
        <w:pStyle w:val="BodyTextIndent"/>
      </w:pPr>
      <w:r>
        <w:rPr>
          <w:i/>
        </w:rPr>
        <w:t>krus</w:t>
      </w:r>
      <w:r>
        <w:t xml:space="preserve"> et glas, en kop eller et krus med eller uden låg, der er beregnet til kolde eller varme drikkevarer, som normalt drikkes direkte fra beholderen </w:t>
      </w:r>
    </w:p>
    <w:p w14:paraId="41F0496D" w14:textId="77777777" w:rsidR="00211C2C" w:rsidRPr="00FB2596" w:rsidRDefault="00211C2C" w:rsidP="00211C2C">
      <w:pPr>
        <w:pStyle w:val="BodyTextIndent"/>
      </w:pPr>
      <w:r>
        <w:rPr>
          <w:i/>
        </w:rPr>
        <w:t>engangskop</w:t>
      </w:r>
      <w:r>
        <w:t xml:space="preserve"> en kop, der er et engangsprodukt</w:t>
      </w:r>
    </w:p>
    <w:p w14:paraId="3A3DBBEE" w14:textId="77777777" w:rsidR="00211C2C" w:rsidRDefault="00211C2C" w:rsidP="00211C2C">
      <w:pPr>
        <w:pStyle w:val="BodyTextIndent"/>
      </w:pPr>
      <w:r>
        <w:rPr>
          <w:i/>
        </w:rPr>
        <w:t>drikkevarebeholder</w:t>
      </w:r>
      <w:r>
        <w:t xml:space="preserve"> en plastflaske, kompositemballage eller en anden beholder, som </w:t>
      </w:r>
    </w:p>
    <w:p w14:paraId="6D5F716D" w14:textId="04F70FD1" w:rsidR="00211C2C" w:rsidRDefault="00211C2C" w:rsidP="00211C2C">
      <w:pPr>
        <w:pStyle w:val="BodyTextIndent"/>
      </w:pPr>
      <w:r>
        <w:t>1. er et engangsplastprodukt</w:t>
      </w:r>
    </w:p>
    <w:p w14:paraId="018F45E2" w14:textId="0CE437CB" w:rsidR="00211C2C" w:rsidRDefault="00211C2C" w:rsidP="00211C2C">
      <w:pPr>
        <w:pStyle w:val="BodyTextIndent"/>
      </w:pPr>
      <w:r>
        <w:t xml:space="preserve">2. har en kapacitet på op til tre liter </w:t>
      </w:r>
    </w:p>
    <w:p w14:paraId="70789623" w14:textId="1900851D" w:rsidR="00211C2C" w:rsidRDefault="00211C2C" w:rsidP="00211C2C">
      <w:pPr>
        <w:pStyle w:val="BodyTextIndent"/>
      </w:pPr>
      <w:r>
        <w:t>3. er beregnet til drikkevarer</w:t>
      </w:r>
    </w:p>
    <w:p w14:paraId="5D24AEE8" w14:textId="3AE3E09F" w:rsidR="00211C2C" w:rsidRDefault="00211C2C" w:rsidP="00211C2C">
      <w:pPr>
        <w:pStyle w:val="BodyTextIndent"/>
      </w:pPr>
      <w:r>
        <w:t>4. ikke er en kop.</w:t>
      </w:r>
    </w:p>
    <w:p w14:paraId="0B5458BD" w14:textId="77777777" w:rsidR="00646F34" w:rsidRDefault="00646F34" w:rsidP="00646F34">
      <w:pPr>
        <w:pStyle w:val="BodyTextIndent"/>
      </w:pPr>
    </w:p>
    <w:p w14:paraId="2A9DC098" w14:textId="6153F49F" w:rsidR="00211C2C" w:rsidRDefault="00311E20" w:rsidP="00211C2C">
      <w:pPr>
        <w:pStyle w:val="BodyTextIndent"/>
        <w:ind w:firstLine="0"/>
        <w:rPr>
          <w:i/>
        </w:rPr>
      </w:pPr>
      <w:r>
        <w:rPr>
          <w:b/>
        </w:rPr>
        <w:t>Afsnit 8</w:t>
      </w:r>
      <w:r>
        <w:t>    </w:t>
      </w:r>
      <w:bookmarkStart w:id="5" w:name="_Hlk39491428"/>
      <w:r>
        <w:t>I denne bekendtgørelse forstås ved</w:t>
      </w:r>
      <w:r>
        <w:rPr>
          <w:i/>
        </w:rPr>
        <w:t xml:space="preserve"> </w:t>
      </w:r>
    </w:p>
    <w:p w14:paraId="00F25C91" w14:textId="77777777" w:rsidR="00211C2C" w:rsidRDefault="00211C2C" w:rsidP="00211C2C">
      <w:pPr>
        <w:pStyle w:val="BodyTextIndent"/>
        <w:rPr>
          <w:iCs/>
        </w:rPr>
      </w:pPr>
      <w:bookmarkStart w:id="6" w:name="_Hlk37753820"/>
      <w:r>
        <w:rPr>
          <w:i/>
        </w:rPr>
        <w:t xml:space="preserve">fødevarer </w:t>
      </w:r>
      <w:proofErr w:type="spellStart"/>
      <w:r>
        <w:t>fødevarer</w:t>
      </w:r>
      <w:proofErr w:type="spellEnd"/>
      <w:r>
        <w:t>, der ikke er drikkevarer</w:t>
      </w:r>
    </w:p>
    <w:p w14:paraId="6CD5D5E1" w14:textId="77777777" w:rsidR="00211C2C" w:rsidRPr="00154A99" w:rsidRDefault="00211C2C" w:rsidP="00211C2C">
      <w:pPr>
        <w:pStyle w:val="BodyTextIndent"/>
      </w:pPr>
      <w:r>
        <w:rPr>
          <w:i/>
        </w:rPr>
        <w:t>fastfood</w:t>
      </w:r>
      <w:r>
        <w:t xml:space="preserve"> </w:t>
      </w:r>
      <w:bookmarkStart w:id="7" w:name="_Hlk23153179"/>
      <w:r>
        <w:t xml:space="preserve">fødevarer, som </w:t>
      </w:r>
    </w:p>
    <w:p w14:paraId="24371858" w14:textId="04B3961E" w:rsidR="00211C2C" w:rsidRDefault="00211C2C" w:rsidP="00527561">
      <w:pPr>
        <w:pStyle w:val="BodyTextIndent"/>
      </w:pPr>
      <w:r>
        <w:t xml:space="preserve">1. er beregnet til at blive spist direkte på salgsstedet eller taget med til at blive spist kort tid efter et andet sted </w:t>
      </w:r>
    </w:p>
    <w:p w14:paraId="70ADA6C2" w14:textId="16A3AB60" w:rsidR="00211C2C" w:rsidRDefault="00527561" w:rsidP="00211C2C">
      <w:pPr>
        <w:pStyle w:val="BodyTextIndent"/>
      </w:pPr>
      <w:r>
        <w:t xml:space="preserve">2. er beregnet til at blive spist direkte af emballagen </w:t>
      </w:r>
    </w:p>
    <w:p w14:paraId="50E3428F" w14:textId="4B93E499" w:rsidR="00211C2C" w:rsidRDefault="00527561" w:rsidP="00211C2C">
      <w:pPr>
        <w:pStyle w:val="BodyTextIndent"/>
      </w:pPr>
      <w:r>
        <w:t>3. er klar til at blive spist uden yderligere tilberedning, opvarmning eller lignende</w:t>
      </w:r>
      <w:bookmarkEnd w:id="7"/>
      <w:r>
        <w:t xml:space="preserve"> foretaget af forbrugeren </w:t>
      </w:r>
    </w:p>
    <w:p w14:paraId="397D38F3" w14:textId="77777777" w:rsidR="00211C2C" w:rsidRPr="00635A03" w:rsidRDefault="00211C2C" w:rsidP="00211C2C">
      <w:pPr>
        <w:pStyle w:val="BodyTextIndent"/>
      </w:pPr>
      <w:r>
        <w:rPr>
          <w:i/>
        </w:rPr>
        <w:t>fødevareboks</w:t>
      </w:r>
      <w:r>
        <w:t xml:space="preserve"> emballage med eller uden låg, som </w:t>
      </w:r>
    </w:p>
    <w:p w14:paraId="13FE8351" w14:textId="77777777" w:rsidR="00211C2C" w:rsidRPr="00635A03" w:rsidRDefault="00211C2C" w:rsidP="00211C2C">
      <w:pPr>
        <w:pStyle w:val="BodyTextIndent"/>
      </w:pPr>
      <w:r>
        <w:t xml:space="preserve">1. er støbt eller i det væsentlige forbliver uændret i form efter tilsætning eller fjernelse af indholdet </w:t>
      </w:r>
    </w:p>
    <w:p w14:paraId="26008761" w14:textId="69B2DDBB" w:rsidR="00211C2C" w:rsidRDefault="00211C2C" w:rsidP="00211C2C">
      <w:pPr>
        <w:pStyle w:val="BodyTextIndent"/>
      </w:pPr>
      <w:r>
        <w:t>2. anvendes til fastfood</w:t>
      </w:r>
    </w:p>
    <w:p w14:paraId="7D565C9E" w14:textId="77777777" w:rsidR="00211C2C" w:rsidRDefault="00211C2C" w:rsidP="00211C2C">
      <w:pPr>
        <w:pStyle w:val="BodyTextIndent"/>
        <w:rPr>
          <w:i/>
        </w:rPr>
      </w:pPr>
      <w:r>
        <w:rPr>
          <w:i/>
        </w:rPr>
        <w:t>engangsfødevareboks fødevareboks</w:t>
      </w:r>
      <w:r>
        <w:t>, der er et engangsprodukt</w:t>
      </w:r>
      <w:bookmarkEnd w:id="5"/>
      <w:r>
        <w:t>.</w:t>
      </w:r>
    </w:p>
    <w:bookmarkEnd w:id="6"/>
    <w:p w14:paraId="7F5A41D5" w14:textId="752C0511" w:rsidR="00646F34" w:rsidRDefault="00646F34" w:rsidP="00211C2C">
      <w:pPr>
        <w:pStyle w:val="BodyTextIndent"/>
        <w:ind w:firstLine="0"/>
        <w:rPr>
          <w:i/>
          <w:iCs/>
        </w:rPr>
      </w:pPr>
    </w:p>
    <w:p w14:paraId="2D23FD68" w14:textId="2741EADC" w:rsidR="00211C2C" w:rsidRDefault="00311E20" w:rsidP="00211C2C">
      <w:pPr>
        <w:pStyle w:val="BodyTextIndent"/>
        <w:ind w:firstLine="0"/>
      </w:pPr>
      <w:r>
        <w:rPr>
          <w:b/>
        </w:rPr>
        <w:t>Afsnit 9 </w:t>
      </w:r>
      <w:r>
        <w:t xml:space="preserve">   Denne bekendtgørelse forstås ved </w:t>
      </w:r>
      <w:r>
        <w:rPr>
          <w:i/>
        </w:rPr>
        <w:t>genanvendelsescyklus</w:t>
      </w:r>
      <w:r>
        <w:t xml:space="preserve"> den rejse, som en genanvendelig kop eller fødevareboks gennemgår, fra den tilbydes på det svenske marked sammen med den drikke- eller fødevare, den er beregnet til at indeholde, beskytte, levere eller præsentere, og indtil den sendes videre til et system til genbrug af kopper eller fødevarebokse til fastfood med henblik på igen at blive tilbudt på det svenske marked sammen med den drikke- eller fødevare, den er beregnet til.</w:t>
      </w:r>
    </w:p>
    <w:p w14:paraId="458F3E19" w14:textId="58BD4776" w:rsidR="00646F34" w:rsidRDefault="00646F34" w:rsidP="00646F34">
      <w:pPr>
        <w:pStyle w:val="BodyTextIndent"/>
        <w:ind w:firstLine="0"/>
      </w:pPr>
    </w:p>
    <w:p w14:paraId="234E2165" w14:textId="0C76742F" w:rsidR="00646F34" w:rsidRDefault="00646F34" w:rsidP="00646F34">
      <w:pPr>
        <w:pStyle w:val="BodyText"/>
        <w:keepNext/>
      </w:pPr>
      <w:r>
        <w:rPr>
          <w:b/>
        </w:rPr>
        <w:t>Afsnit 10  </w:t>
      </w:r>
      <w:r>
        <w:t xml:space="preserve">  I denne bekendtgørelse forstås ved </w:t>
      </w:r>
    </w:p>
    <w:p w14:paraId="0763F124" w14:textId="05B0CE3A" w:rsidR="00646F34" w:rsidRDefault="00646F34" w:rsidP="00646F34">
      <w:pPr>
        <w:pStyle w:val="BodyTextIndent"/>
      </w:pPr>
      <w:r>
        <w:rPr>
          <w:i/>
        </w:rPr>
        <w:t>bærepose</w:t>
      </w:r>
      <w:r>
        <w:t xml:space="preserve"> en pose, der skal gøre det muligt for forbrugerne at pakke og transportere varer fra det sted, hvor varerne leveres, og som ikke er bestemt til permanent brug</w:t>
      </w:r>
    </w:p>
    <w:p w14:paraId="08368CE8" w14:textId="2EF23F87" w:rsidR="00646F34" w:rsidRDefault="00646F34" w:rsidP="00646F34">
      <w:pPr>
        <w:pStyle w:val="BodyTextIndent"/>
      </w:pPr>
      <w:r>
        <w:rPr>
          <w:i/>
        </w:rPr>
        <w:t>plastbærepose</w:t>
      </w:r>
      <w:r>
        <w:t xml:space="preserve"> en plastbærepose og</w:t>
      </w:r>
    </w:p>
    <w:p w14:paraId="2FC8448C" w14:textId="340B87C5" w:rsidR="00646F34" w:rsidRDefault="00646F34" w:rsidP="00646F34">
      <w:pPr>
        <w:pStyle w:val="BodyTextIndent"/>
      </w:pPr>
      <w:r>
        <w:rPr>
          <w:i/>
        </w:rPr>
        <w:t>letvægtsplastbærepose</w:t>
      </w:r>
      <w:r>
        <w:t xml:space="preserve"> en plastbærepose med en væg tyndere end 50 </w:t>
      </w:r>
      <w:proofErr w:type="spellStart"/>
      <w:r>
        <w:t>mikron</w:t>
      </w:r>
      <w:proofErr w:type="spellEnd"/>
      <w:r>
        <w:t>.</w:t>
      </w:r>
    </w:p>
    <w:p w14:paraId="30FA8567" w14:textId="77777777" w:rsidR="00646F34" w:rsidRDefault="00646F34" w:rsidP="00646F34">
      <w:pPr>
        <w:pStyle w:val="BodyTextIndent"/>
        <w:ind w:firstLine="0"/>
      </w:pPr>
    </w:p>
    <w:p w14:paraId="15DC9264" w14:textId="6DA2970F" w:rsidR="00646F34" w:rsidRDefault="00646F34" w:rsidP="00646F34">
      <w:pPr>
        <w:pStyle w:val="BodyTextIndent"/>
        <w:ind w:firstLine="0"/>
      </w:pPr>
      <w:r>
        <w:rPr>
          <w:b/>
        </w:rPr>
        <w:t>Afsnit 11  </w:t>
      </w:r>
      <w:r>
        <w:t>  Ord og udtryk i denne bekendtgørelse har i øvrigt samme betydning som i kapitel 15 i miljøloven.</w:t>
      </w:r>
    </w:p>
    <w:p w14:paraId="49E8D53A" w14:textId="77777777" w:rsidR="00646F34" w:rsidRPr="006047FF" w:rsidRDefault="00646F34" w:rsidP="009E6D43">
      <w:pPr>
        <w:pStyle w:val="Heading4"/>
      </w:pPr>
      <w:r>
        <w:t>Forbud mod markedsføring af visse engangsplastprodukter på det svenske marked</w:t>
      </w:r>
    </w:p>
    <w:p w14:paraId="0448F62E" w14:textId="118A0B85" w:rsidR="00646F34" w:rsidRDefault="00646F34" w:rsidP="00646F34">
      <w:pPr>
        <w:pStyle w:val="BodyText"/>
      </w:pPr>
      <w:r>
        <w:rPr>
          <w:b/>
        </w:rPr>
        <w:t>Afsnit 12</w:t>
      </w:r>
      <w:r>
        <w:t xml:space="preserve">    Det er forbudt at markedsføre følgende engangsplastprodukter på det svenske marked: </w:t>
      </w:r>
    </w:p>
    <w:p w14:paraId="7E18E998" w14:textId="03D318CD" w:rsidR="00646F34" w:rsidRDefault="00646F34" w:rsidP="00646F34">
      <w:pPr>
        <w:pStyle w:val="BodyTextIndent"/>
      </w:pPr>
      <w:r>
        <w:t>1. vatpinde (tops)</w:t>
      </w:r>
    </w:p>
    <w:p w14:paraId="1CC676D7" w14:textId="1FF93E69" w:rsidR="00646F34" w:rsidRDefault="00646F34" w:rsidP="00646F34">
      <w:pPr>
        <w:pStyle w:val="BodyTextIndent"/>
      </w:pPr>
      <w:r>
        <w:t>2. drikkevarebeholdere, der indeholder ekspanderet polystyren</w:t>
      </w:r>
    </w:p>
    <w:p w14:paraId="04C9CB15" w14:textId="77777777" w:rsidR="00646F34" w:rsidRDefault="00646F34" w:rsidP="00646F34">
      <w:pPr>
        <w:pStyle w:val="BodyTextIndent"/>
      </w:pPr>
      <w:r>
        <w:t>3. engangskopper og engangsfødevarebokse, der indeholder ekspanderet polystyren</w:t>
      </w:r>
    </w:p>
    <w:p w14:paraId="4C80A837" w14:textId="2ACA07CD" w:rsidR="00646F34" w:rsidRDefault="00646F34" w:rsidP="00646F34">
      <w:pPr>
        <w:pStyle w:val="BodyTextIndent"/>
      </w:pPr>
      <w:r>
        <w:t>4. gafler, knive, skeer, spisepinde og andet bestik</w:t>
      </w:r>
    </w:p>
    <w:p w14:paraId="7EC219AC" w14:textId="77777777" w:rsidR="00646F34" w:rsidRDefault="00646F34" w:rsidP="00646F34">
      <w:pPr>
        <w:pStyle w:val="BodyTextIndent"/>
      </w:pPr>
      <w:r>
        <w:t>5. propper og låg, der indeholder ekspanderet polystyren og anvendes til</w:t>
      </w:r>
    </w:p>
    <w:p w14:paraId="775FD790" w14:textId="26E40C73" w:rsidR="00646F34" w:rsidRDefault="00646F34" w:rsidP="00646F34">
      <w:pPr>
        <w:pStyle w:val="BodyTextIndent"/>
      </w:pPr>
      <w:r>
        <w:t>a) engangsfødevarebokse</w:t>
      </w:r>
    </w:p>
    <w:p w14:paraId="32DDA7B9" w14:textId="22F30CF6" w:rsidR="00646F34" w:rsidRDefault="00646F34" w:rsidP="00646F34">
      <w:pPr>
        <w:pStyle w:val="BodyTextIndent"/>
      </w:pPr>
      <w:r>
        <w:t xml:space="preserve">b) drikkevarebeholdere, eller </w:t>
      </w:r>
    </w:p>
    <w:p w14:paraId="7C783A25" w14:textId="03ED3D0F" w:rsidR="00646F34" w:rsidRDefault="00646F34" w:rsidP="00646F34">
      <w:pPr>
        <w:pStyle w:val="BodyTextIndent"/>
      </w:pPr>
      <w:r>
        <w:t>c) engangskopper</w:t>
      </w:r>
    </w:p>
    <w:p w14:paraId="2B5BAAC2" w14:textId="09E2AD98" w:rsidR="00646F34" w:rsidRDefault="00646F34" w:rsidP="00646F34">
      <w:pPr>
        <w:pStyle w:val="BodyTextIndent"/>
      </w:pPr>
      <w:r>
        <w:t xml:space="preserve">6. </w:t>
      </w:r>
      <w:proofErr w:type="spellStart"/>
      <w:r>
        <w:t>omrørere</w:t>
      </w:r>
      <w:proofErr w:type="spellEnd"/>
      <w:r>
        <w:t xml:space="preserve"> til drikkevarer</w:t>
      </w:r>
    </w:p>
    <w:p w14:paraId="76B29E21" w14:textId="70F8D689" w:rsidR="00646F34" w:rsidRDefault="00646F34" w:rsidP="00646F34">
      <w:pPr>
        <w:pStyle w:val="BodyTextIndent"/>
      </w:pPr>
      <w:r>
        <w:t>7. pinde, der skal fastgøres til og støtte balloner</w:t>
      </w:r>
    </w:p>
    <w:p w14:paraId="3D694708" w14:textId="534C4101" w:rsidR="00646F34" w:rsidRDefault="00646F34" w:rsidP="00646F34">
      <w:pPr>
        <w:pStyle w:val="BodyTextIndent"/>
      </w:pPr>
      <w:r>
        <w:t>8. sugerør, og</w:t>
      </w:r>
    </w:p>
    <w:p w14:paraId="0AD6DF3E" w14:textId="162E403C" w:rsidR="00646F34" w:rsidRDefault="00646F34" w:rsidP="00646F34">
      <w:pPr>
        <w:pStyle w:val="BodyTextIndent"/>
      </w:pPr>
      <w:r>
        <w:t>9. tallerkener.</w:t>
      </w:r>
    </w:p>
    <w:p w14:paraId="703EFF20" w14:textId="77777777" w:rsidR="00646F34" w:rsidRDefault="00646F34" w:rsidP="00646F34">
      <w:pPr>
        <w:pStyle w:val="BodyTextIndent"/>
      </w:pPr>
    </w:p>
    <w:p w14:paraId="3BCE51E8" w14:textId="228D1A90" w:rsidR="00646F34" w:rsidRDefault="00646F34" w:rsidP="00646F34">
      <w:pPr>
        <w:pStyle w:val="BodyText"/>
      </w:pPr>
      <w:r>
        <w:rPr>
          <w:b/>
        </w:rPr>
        <w:t>Afsnit 13</w:t>
      </w:r>
      <w:r>
        <w:t>    Forbuddene i afsnit 12, stk. 1 og 8, finder ikke anvendelse på vatpinde og sugerør, der er omfattet af bestemmelserne om medicinsk udstyr i Europa-Parlamentets og Rådets forordning (EU) 2017/745 af 5. april 2017 om medicinsk udstyr, om ændring af direktiv 2001/83/EF, forordning (EF) nr. 178/2002 og forordning (EF) nr. 1223/2009 og om ophævelse af Rådets direktiv 90/385/EØF og 93/42/EØF.</w:t>
      </w:r>
    </w:p>
    <w:p w14:paraId="7528FEAE" w14:textId="326659CB" w:rsidR="00646F34" w:rsidRDefault="00646F34" w:rsidP="00646F34">
      <w:pPr>
        <w:pStyle w:val="BodyTextIndent"/>
      </w:pPr>
      <w:r>
        <w:t>Forbuddet i afsnit 12, stk. 7, gælder ikke for pinde, der er bestemt til industriel eller anden erhvervsmæssig brug, og som ikke distribueres til forbrugerne.</w:t>
      </w:r>
    </w:p>
    <w:p w14:paraId="40BF4B67" w14:textId="77777777" w:rsidR="00646F34" w:rsidRDefault="00646F34" w:rsidP="00646F34">
      <w:pPr>
        <w:pStyle w:val="BodyTextIndent"/>
      </w:pPr>
    </w:p>
    <w:p w14:paraId="2BBBA98C" w14:textId="1B8FA1B5" w:rsidR="00646F34" w:rsidRDefault="00646F34" w:rsidP="00646F34">
      <w:pPr>
        <w:pStyle w:val="BodyTextIndent"/>
        <w:ind w:firstLine="0"/>
      </w:pPr>
      <w:r>
        <w:rPr>
          <w:b/>
        </w:rPr>
        <w:t>Afsnit 14</w:t>
      </w:r>
      <w:r>
        <w:t>    Det er forbudt at markedsføre engangskopper, der indeholder mere end 15 % plast, på det svenske marked.</w:t>
      </w:r>
    </w:p>
    <w:p w14:paraId="635C09F2" w14:textId="77777777" w:rsidR="00211C2C" w:rsidRDefault="00211C2C" w:rsidP="00646F34">
      <w:pPr>
        <w:pStyle w:val="BodyTextIndent"/>
        <w:ind w:firstLine="0"/>
      </w:pPr>
    </w:p>
    <w:p w14:paraId="596434C0" w14:textId="2EC0F643" w:rsidR="00646F34" w:rsidRDefault="00646F34" w:rsidP="00646F34">
      <w:pPr>
        <w:pStyle w:val="BodyTextIndent"/>
        <w:ind w:firstLine="0"/>
      </w:pPr>
      <w:r>
        <w:rPr>
          <w:b/>
        </w:rPr>
        <w:t>Afsnit 15    </w:t>
      </w:r>
      <w:r>
        <w:t>Den svenske miljøstyrelse kan udstede regler om undtagelser fra forbuddet i afsnit 14, hvis der er særlige grunde til at markedsføre engangskopper på det svenske marked.</w:t>
      </w:r>
    </w:p>
    <w:p w14:paraId="7448A23B" w14:textId="77777777" w:rsidR="00646F34" w:rsidRPr="00BB14F4" w:rsidRDefault="00646F34" w:rsidP="009E6D43">
      <w:pPr>
        <w:pStyle w:val="Heading4"/>
      </w:pPr>
      <w:r>
        <w:t xml:space="preserve">Forbud mod brug af konfetti </w:t>
      </w:r>
    </w:p>
    <w:p w14:paraId="01083929" w14:textId="7D04A31D" w:rsidR="00211C2C" w:rsidRDefault="00211C2C" w:rsidP="00211C2C">
      <w:pPr>
        <w:pStyle w:val="BodyText"/>
      </w:pPr>
      <w:r>
        <w:rPr>
          <w:b/>
        </w:rPr>
        <w:t>Afsnit 16</w:t>
      </w:r>
      <w:r>
        <w:t>    Konfetti indeholdende plast må ikke anvendes udendørs.</w:t>
      </w:r>
    </w:p>
    <w:p w14:paraId="32161E4B" w14:textId="77777777" w:rsidR="007A4814" w:rsidRDefault="00646F34" w:rsidP="009E6D43">
      <w:pPr>
        <w:pStyle w:val="Heading4"/>
      </w:pPr>
      <w:r>
        <w:lastRenderedPageBreak/>
        <w:t>Krav om at tilbyde produkter, der serveres, i genanvendelige kopper og fødevarebokse</w:t>
      </w:r>
    </w:p>
    <w:p w14:paraId="67DAC9C3" w14:textId="35F297D5" w:rsidR="00211C2C" w:rsidRDefault="00646F34" w:rsidP="00211C2C">
      <w:pPr>
        <w:pStyle w:val="BodyText"/>
      </w:pPr>
      <w:bookmarkStart w:id="8" w:name="_Hlk57038341"/>
      <w:r>
        <w:rPr>
          <w:b/>
        </w:rPr>
        <w:t>Afsnit 17    </w:t>
      </w:r>
      <w:bookmarkEnd w:id="8"/>
      <w:r>
        <w:t xml:space="preserve">Enhver, der tilbyder drikkevarer på det svenske marked i engangskopper, skal </w:t>
      </w:r>
    </w:p>
    <w:p w14:paraId="4F7B1DE6" w14:textId="77777777" w:rsidR="00211C2C" w:rsidRDefault="00211C2C" w:rsidP="00211C2C">
      <w:pPr>
        <w:pStyle w:val="BodyTextIndent"/>
      </w:pPr>
      <w:r>
        <w:t>1. tilbyde at servere drikkevaren i en genanvendelig kop</w:t>
      </w:r>
    </w:p>
    <w:p w14:paraId="4136D526" w14:textId="77777777" w:rsidR="00211C2C" w:rsidRDefault="00211C2C" w:rsidP="00211C2C">
      <w:pPr>
        <w:pStyle w:val="BodyTextIndent"/>
      </w:pPr>
      <w:r>
        <w:t>2. træffe effektive foranstaltninger til at sikre, at de genanvendelige kopper med tilhørende låg gennemgår flere genanvendelsescyklusser.</w:t>
      </w:r>
    </w:p>
    <w:p w14:paraId="6F9BEF6A" w14:textId="77777777" w:rsidR="00211C2C" w:rsidRDefault="00211C2C" w:rsidP="00211C2C">
      <w:pPr>
        <w:pStyle w:val="BodyTextIndent"/>
      </w:pPr>
      <w:r>
        <w:t>Den genanvendelige kop skal leveres af drikkevareudbyderen, uanset om drikkevaren tages med eller drikkes på salgsstedet.</w:t>
      </w:r>
    </w:p>
    <w:p w14:paraId="7A08BAA7" w14:textId="4C3CA2D4" w:rsidR="00646F34" w:rsidRDefault="00646F34" w:rsidP="00211C2C">
      <w:pPr>
        <w:pStyle w:val="BodyText"/>
      </w:pPr>
    </w:p>
    <w:p w14:paraId="64304C20" w14:textId="4B1B33CF" w:rsidR="00211C2C" w:rsidRDefault="00646F34" w:rsidP="00211C2C">
      <w:pPr>
        <w:pStyle w:val="BodyText"/>
      </w:pPr>
      <w:r>
        <w:rPr>
          <w:b/>
        </w:rPr>
        <w:t>Afsnit 18</w:t>
      </w:r>
      <w:r>
        <w:t xml:space="preserve">    Enhver, der tilbyder fastfood på det svenske marked i engangsfødevarebokse, skal </w:t>
      </w:r>
    </w:p>
    <w:p w14:paraId="2BE54211" w14:textId="77777777" w:rsidR="00211C2C" w:rsidRDefault="00211C2C" w:rsidP="00211C2C">
      <w:pPr>
        <w:pStyle w:val="BodyTextIndent"/>
      </w:pPr>
      <w:r>
        <w:t>1. tilbyde at servere fastfooden i en genanvendelig fødevareboks</w:t>
      </w:r>
    </w:p>
    <w:p w14:paraId="152442DF" w14:textId="77777777" w:rsidR="00211C2C" w:rsidRDefault="00211C2C" w:rsidP="00211C2C">
      <w:pPr>
        <w:pStyle w:val="BodyTextIndent"/>
      </w:pPr>
      <w:r>
        <w:t xml:space="preserve">2. træffe effektive foranstaltninger for at sikre, at de genanvendelige fødevarebokse med tilhørende låg gennemgår flere genanvendelsescyklusser. </w:t>
      </w:r>
    </w:p>
    <w:p w14:paraId="2B261D6F" w14:textId="4D167F28" w:rsidR="00211C2C" w:rsidRDefault="00211C2C" w:rsidP="00211C2C">
      <w:pPr>
        <w:pStyle w:val="BodyTextIndent"/>
      </w:pPr>
      <w:r>
        <w:t>Den genanvendelige fødevareboks skal leveres af fødevareudbyderen, uanset om fødevaren tages med eller spises på salgsstedet.</w:t>
      </w:r>
    </w:p>
    <w:p w14:paraId="7318FBF8" w14:textId="20873C27" w:rsidR="00211C2C" w:rsidRDefault="00211C2C" w:rsidP="00211C2C">
      <w:pPr>
        <w:pStyle w:val="BodyTextIndent"/>
      </w:pPr>
    </w:p>
    <w:p w14:paraId="7F1B5CBC" w14:textId="467A0583" w:rsidR="00211C2C" w:rsidRPr="00870B91" w:rsidRDefault="00311E20" w:rsidP="00211C2C">
      <w:pPr>
        <w:pStyle w:val="BodyTextIndent"/>
        <w:ind w:firstLine="0"/>
      </w:pPr>
      <w:r>
        <w:rPr>
          <w:b/>
        </w:rPr>
        <w:t>Afsnit 19</w:t>
      </w:r>
      <w:r>
        <w:t xml:space="preserve">    Enhver, der tilbyder en genanvendelig kop eller fødevareboks i henhold til afsnit 17 eller 18, skal vælge en kop eller fødevareboks, der har så lidt negativ indvirkning som muligt på menneskers sundhed og miljøet. </w:t>
      </w:r>
    </w:p>
    <w:p w14:paraId="38EB9268" w14:textId="7043FC8B" w:rsidR="00646F34" w:rsidRDefault="00646F34" w:rsidP="00211C2C">
      <w:pPr>
        <w:pStyle w:val="BodyText"/>
      </w:pPr>
    </w:p>
    <w:p w14:paraId="1E3411BA" w14:textId="1059416E" w:rsidR="00211C2C" w:rsidRDefault="00646F34" w:rsidP="00211C2C">
      <w:pPr>
        <w:pStyle w:val="BodyTextIndent"/>
        <w:ind w:firstLine="0"/>
      </w:pPr>
      <w:r>
        <w:rPr>
          <w:b/>
        </w:rPr>
        <w:t>Afsnit 20</w:t>
      </w:r>
      <w:r>
        <w:t>    </w:t>
      </w:r>
      <w:bookmarkStart w:id="9" w:name="_Hlk50550710"/>
      <w:r>
        <w:t>Enhver, der på det svenske marked tilbyder drikkevarer i engangskopper eller fastfood i engangsfødevarebokse, informerer forbrugerne på salgsstedet om</w:t>
      </w:r>
      <w:bookmarkEnd w:id="9"/>
    </w:p>
    <w:p w14:paraId="4E98CC42" w14:textId="77777777" w:rsidR="00211C2C" w:rsidRDefault="00211C2C" w:rsidP="00211C2C">
      <w:pPr>
        <w:pStyle w:val="BodyTextIndent"/>
      </w:pPr>
      <w:r>
        <w:t xml:space="preserve">1. muligheden for at få drikkevaren serveret i en genanvendelig kop eller for at få fastfooden serveret i en genanvendelig fødevareboks </w:t>
      </w:r>
    </w:p>
    <w:p w14:paraId="56E0E8F3" w14:textId="77777777" w:rsidR="00211C2C" w:rsidRPr="00EE3CA1" w:rsidRDefault="00211C2C" w:rsidP="00211C2C">
      <w:pPr>
        <w:pStyle w:val="BodyTextIndent"/>
      </w:pPr>
      <w:r>
        <w:t>2. den miljøpåvirkning, der forårsages af brugen af engangskopper og -fødevarebokse</w:t>
      </w:r>
    </w:p>
    <w:p w14:paraId="0D559E7A" w14:textId="77777777" w:rsidR="00211C2C" w:rsidRPr="00EE3CA1" w:rsidRDefault="00211C2C" w:rsidP="00211C2C">
      <w:pPr>
        <w:pStyle w:val="BodyTextIndent"/>
      </w:pPr>
      <w:r>
        <w:t>3. fordelene ved reduceret forbrug af engangskopper og -fødevarebokse.</w:t>
      </w:r>
    </w:p>
    <w:p w14:paraId="28AD6CE3" w14:textId="77777777" w:rsidR="00211C2C" w:rsidRDefault="00211C2C" w:rsidP="00211C2C">
      <w:pPr>
        <w:pStyle w:val="BodyTextIndent"/>
      </w:pPr>
      <w:r>
        <w:t xml:space="preserve">Oplysningerne skal gøres synlige på salgsstedet og være lettilgængelige for forbrugeren.  </w:t>
      </w:r>
    </w:p>
    <w:p w14:paraId="2D79D1CA" w14:textId="20370DA5" w:rsidR="00646F34" w:rsidRDefault="00646F34" w:rsidP="00211C2C">
      <w:pPr>
        <w:pStyle w:val="BodyTextIndent"/>
        <w:ind w:firstLine="0"/>
      </w:pPr>
    </w:p>
    <w:p w14:paraId="3571F6CB" w14:textId="07D257B5" w:rsidR="00646F34" w:rsidRDefault="00646F34" w:rsidP="00646F34">
      <w:pPr>
        <w:pStyle w:val="BodyTextIndent"/>
        <w:ind w:firstLine="0"/>
      </w:pPr>
      <w:r>
        <w:rPr>
          <w:b/>
        </w:rPr>
        <w:t>Afsnit 21</w:t>
      </w:r>
      <w:r>
        <w:t>    Kravene i afsnit 17-20 gælder ikke for dem, der på det svenske marked tilbyder drikkevarer i engangskopper eller fastfood i engangsfødevarebokse, hvis koppen eller fødevareboksen udelukkende er fremstillet af papir eller pap, der ikke er kemisk modificeret på en måde, der forsinker nedbrydningen.</w:t>
      </w:r>
    </w:p>
    <w:p w14:paraId="70159D5D" w14:textId="77777777" w:rsidR="00646F34" w:rsidRDefault="00646F34" w:rsidP="00646F34">
      <w:pPr>
        <w:pStyle w:val="BodyTextIndent"/>
        <w:ind w:firstLine="0"/>
      </w:pPr>
    </w:p>
    <w:p w14:paraId="6D765FBD" w14:textId="516EB1C2" w:rsidR="00211C2C" w:rsidRPr="004A5119" w:rsidRDefault="00646F34" w:rsidP="00211C2C">
      <w:pPr>
        <w:pStyle w:val="BodyTextIndent"/>
        <w:ind w:firstLine="0"/>
        <w:rPr>
          <w:b/>
        </w:rPr>
      </w:pPr>
      <w:r>
        <w:rPr>
          <w:b/>
        </w:rPr>
        <w:t>Afsnit 22</w:t>
      </w:r>
      <w:r>
        <w:t xml:space="preserve">    Kravene i afsnit 14-17 gælder ikke for dem, der på det svenske marked tilbyder drikkevarer eller fastfood i færre end 150 engangskopper og engangsfødevarebokse pr. dag, </w:t>
      </w:r>
      <w:bookmarkStart w:id="10" w:name="_Hlk53479781"/>
      <w:r>
        <w:t>hvor salgsstedet holder åbent</w:t>
      </w:r>
      <w:bookmarkEnd w:id="10"/>
      <w:r>
        <w:t xml:space="preserve">. </w:t>
      </w:r>
    </w:p>
    <w:p w14:paraId="4F9631E1" w14:textId="42F7C71B" w:rsidR="00211C2C" w:rsidRDefault="00BC1BFA" w:rsidP="00211C2C">
      <w:pPr>
        <w:pStyle w:val="BodyTextIndent"/>
      </w:pPr>
      <w:r>
        <w:t xml:space="preserve">Antallet af engangskopper og engangsfødevarebokse beregnes som et gennemsnit af de engangskopper og engangsfødevarebokse, der tilbydes på de dage, </w:t>
      </w:r>
      <w:bookmarkStart w:id="11" w:name="_Hlk54008522"/>
      <w:r>
        <w:t>hvor salgsstedet holder åbent i løbet af et kalenderår</w:t>
      </w:r>
      <w:bookmarkEnd w:id="11"/>
      <w:r>
        <w:t xml:space="preserve">. </w:t>
      </w:r>
    </w:p>
    <w:p w14:paraId="633C4935" w14:textId="6AAF4527" w:rsidR="009E6722" w:rsidRDefault="009E6722" w:rsidP="00211C2C">
      <w:pPr>
        <w:pStyle w:val="BodyTextIndent"/>
      </w:pPr>
      <w:r>
        <w:t>De erhvervsdrivende, som er omfattet af undtagelsen, og som vælger ikke at tilbyde genanvendelige kopper og fødevarebokse, har procedurer, der sikrer, at der i gennemsnit ikke tilbydes mere end 150 engangskopper og engangsfødevarebokse pr. dag.</w:t>
      </w:r>
    </w:p>
    <w:p w14:paraId="6CB0CC6C" w14:textId="5004701C" w:rsidR="00646F34" w:rsidRDefault="00646F34" w:rsidP="00211C2C">
      <w:pPr>
        <w:pStyle w:val="BodyTextIndent"/>
        <w:ind w:firstLine="0"/>
      </w:pPr>
    </w:p>
    <w:p w14:paraId="2305370B" w14:textId="61F183B4" w:rsidR="009D070E" w:rsidRPr="00156B40" w:rsidRDefault="00646F34" w:rsidP="009D070E">
      <w:pPr>
        <w:pStyle w:val="BodyTextIndent"/>
        <w:ind w:firstLine="0"/>
      </w:pPr>
      <w:r>
        <w:rPr>
          <w:b/>
        </w:rPr>
        <w:t>Afsnit 23 </w:t>
      </w:r>
      <w:r>
        <w:t>   </w:t>
      </w:r>
      <w:bookmarkStart w:id="12" w:name="_Hlk54008598"/>
      <w:r>
        <w:t xml:space="preserve">Den svenske miljøstyrelse kan udstede supplerende regler om undtagelser fra kravene i afsnit 17-20 i tilfælde, hvor det er urimeligt at </w:t>
      </w:r>
      <w:r>
        <w:lastRenderedPageBreak/>
        <w:t>kræve, at den person, der tilbyder drikkevarer i engangskopper eller fastfood i engangsfødevarebokse, skal tilbyde et genanvendeligt alternativ.</w:t>
      </w:r>
    </w:p>
    <w:p w14:paraId="269C50B5" w14:textId="60FCCAF3" w:rsidR="009D070E" w:rsidRPr="0024586A" w:rsidRDefault="009D070E" w:rsidP="009D070E">
      <w:pPr>
        <w:pStyle w:val="BodyTextIndent"/>
      </w:pPr>
      <w:r>
        <w:t xml:space="preserve">Der kan ikke udstedes regler om undtagelser for engangskopper eller engangsfødevarebokse, hvis en undtagelse kan antages at udgøre en risiko for betydelig </w:t>
      </w:r>
      <w:proofErr w:type="spellStart"/>
      <w:r>
        <w:t>henkastning</w:t>
      </w:r>
      <w:proofErr w:type="spellEnd"/>
      <w:r>
        <w:t xml:space="preserve"> af affald eller medføre, at Sverige ikke overholder målet i afsnit 24. </w:t>
      </w:r>
    </w:p>
    <w:bookmarkEnd w:id="12"/>
    <w:p w14:paraId="7C8314FF" w14:textId="77777777" w:rsidR="00646F34" w:rsidRPr="00F533B0" w:rsidRDefault="00646F34" w:rsidP="009E6D43">
      <w:pPr>
        <w:pStyle w:val="Heading4"/>
      </w:pPr>
      <w:r>
        <w:t xml:space="preserve">Mål for reduktion af forbruget </w:t>
      </w:r>
    </w:p>
    <w:p w14:paraId="4BC974B2" w14:textId="2E34F32C" w:rsidR="00646F34" w:rsidRPr="00F533B0" w:rsidRDefault="00732438" w:rsidP="00646F34">
      <w:pPr>
        <w:pStyle w:val="BodyTextIndent"/>
        <w:ind w:firstLine="0"/>
      </w:pPr>
      <w:r>
        <w:rPr>
          <w:b/>
        </w:rPr>
        <w:t>Afsnit 24 </w:t>
      </w:r>
      <w:r>
        <w:t xml:space="preserve">   For engangsplastkopper og fødevarebokse reduceres forbruget med 50 % fra 2026 i forhold til forbruget i 2022. </w:t>
      </w:r>
    </w:p>
    <w:p w14:paraId="0A8EA676" w14:textId="77777777" w:rsidR="00646F34" w:rsidRPr="00F533B0" w:rsidRDefault="00646F34" w:rsidP="00646F34">
      <w:pPr>
        <w:pStyle w:val="BodyTextIndent"/>
        <w:ind w:firstLine="0"/>
      </w:pPr>
    </w:p>
    <w:p w14:paraId="1D94AF85" w14:textId="42A20EAE" w:rsidR="00646F34" w:rsidRPr="0024586A" w:rsidRDefault="00732438" w:rsidP="00646F34">
      <w:pPr>
        <w:pStyle w:val="BodyTextIndent"/>
        <w:ind w:firstLine="0"/>
      </w:pPr>
      <w:r>
        <w:rPr>
          <w:b/>
        </w:rPr>
        <w:t>Afsnit 25</w:t>
      </w:r>
      <w:r>
        <w:t>    </w:t>
      </w:r>
      <w:bookmarkStart w:id="13" w:name="_Hlk84256029"/>
      <w:bookmarkStart w:id="14" w:name="_Hlk54788938"/>
      <w:r>
        <w:t>Tilbud om eller anvendelse af kopper og fødevarebokse, der er engangsplastprodukter i en erhvervsmæssig aktivitet, skal bidrage effektivt til at nå målet</w:t>
      </w:r>
      <w:bookmarkEnd w:id="13"/>
      <w:bookmarkEnd w:id="14"/>
      <w:r>
        <w:t>.</w:t>
      </w:r>
    </w:p>
    <w:p w14:paraId="6C1E5310" w14:textId="77777777" w:rsidR="00646F34" w:rsidRDefault="00646F34" w:rsidP="009E6D43">
      <w:pPr>
        <w:pStyle w:val="Heading4"/>
      </w:pPr>
      <w:r>
        <w:t>Mærkning og andre forbrugeroplysninger</w:t>
      </w:r>
    </w:p>
    <w:p w14:paraId="4D808795" w14:textId="7E8A6C22" w:rsidR="00DE4842" w:rsidRPr="00870B91" w:rsidRDefault="00B92EB6">
      <w:pPr>
        <w:pStyle w:val="BodyText"/>
      </w:pPr>
      <w:r>
        <w:rPr>
          <w:b/>
        </w:rPr>
        <w:t>Afsnit 26</w:t>
      </w:r>
      <w:r>
        <w:t>    Hygiejnebind, tamponer og indføringshylstre, som er engangsplastprodukter, må kun markedsføres i Sverige, hvis de er mærket i overensstemmelse med Kommissionens gennemførelsesforordning (EU) 2020/2151 af 17. december 2020 om fastsættelse af harmoniserede specifikationer for mærkning af engangsplastprodukter opført i del D i bilaget til Europa-Parlamentets og Rådets direktiv (EU) 2019/904 om reduktion af visse plastprodukters miljøpåvirkning.</w:t>
      </w:r>
    </w:p>
    <w:p w14:paraId="41230D35" w14:textId="4E63DF75" w:rsidR="00646F34" w:rsidRDefault="0078709D">
      <w:pPr>
        <w:pStyle w:val="BodyTextIndent"/>
      </w:pPr>
      <w:r>
        <w:t xml:space="preserve">Mærket skal være iøjnefaldende, let læselig og uudslettelig. </w:t>
      </w:r>
    </w:p>
    <w:p w14:paraId="252DADC9" w14:textId="77777777" w:rsidR="00646F34" w:rsidRDefault="00646F34" w:rsidP="00646F34">
      <w:pPr>
        <w:pStyle w:val="BodyTextIndent"/>
        <w:ind w:firstLine="0"/>
      </w:pPr>
    </w:p>
    <w:p w14:paraId="6470C50B" w14:textId="2B1C6519" w:rsidR="00646F34" w:rsidRDefault="00646F34" w:rsidP="00646F34">
      <w:pPr>
        <w:pStyle w:val="BodyTextIndent"/>
        <w:ind w:firstLine="0"/>
      </w:pPr>
      <w:bookmarkStart w:id="15" w:name="_Hlk39499720"/>
      <w:r>
        <w:rPr>
          <w:b/>
        </w:rPr>
        <w:t>Afsnit 27</w:t>
      </w:r>
      <w:r>
        <w:t xml:space="preserve">    De, der markedsfører tyggegummi, snus, hygiejnebind, tamponer eller indføringshylstre, som er engangsplastprodukter, skal informere forbrugerne om: </w:t>
      </w:r>
    </w:p>
    <w:p w14:paraId="55442CB5" w14:textId="7BD389D1" w:rsidR="00646F34" w:rsidRDefault="00646F34" w:rsidP="00646F34">
      <w:pPr>
        <w:pStyle w:val="BodyTextIndent"/>
      </w:pPr>
      <w:r>
        <w:t xml:space="preserve">1. hvordan produktet skal håndteres, når det bliver til affald, </w:t>
      </w:r>
    </w:p>
    <w:p w14:paraId="3374034E" w14:textId="77777777" w:rsidR="00646F34" w:rsidRDefault="00646F34" w:rsidP="00646F34">
      <w:pPr>
        <w:pStyle w:val="BodyTextIndent"/>
      </w:pPr>
      <w:r>
        <w:t xml:space="preserve">2. de miljøskadelige virkninger af </w:t>
      </w:r>
      <w:proofErr w:type="spellStart"/>
      <w:r>
        <w:t>henkastning</w:t>
      </w:r>
      <w:proofErr w:type="spellEnd"/>
      <w:r>
        <w:t xml:space="preserve"> af affald eller anden uhensigtsmæssig bortskaffelse af produktet, og</w:t>
      </w:r>
    </w:p>
    <w:p w14:paraId="04AFA23A" w14:textId="77777777" w:rsidR="00646F34" w:rsidRDefault="00646F34" w:rsidP="00646F34">
      <w:pPr>
        <w:pStyle w:val="BodyTextIndent"/>
      </w:pPr>
      <w:r>
        <w:t>3. de negative virkninger på kloaknettet ved at skylle produktet ned i afløbet.</w:t>
      </w:r>
    </w:p>
    <w:p w14:paraId="60EF4B35" w14:textId="2026A723" w:rsidR="00646F34" w:rsidRDefault="00646F34" w:rsidP="00646F34">
      <w:pPr>
        <w:pStyle w:val="BodyTextIndent"/>
      </w:pPr>
      <w:r>
        <w:t xml:space="preserve">Oplysningerne skal bidrage til at sikre, at affald fra engangsplastprodukter håndteres hensigtsmæssigt, og til at reducere </w:t>
      </w:r>
      <w:proofErr w:type="spellStart"/>
      <w:r>
        <w:t>henkastning</w:t>
      </w:r>
      <w:proofErr w:type="spellEnd"/>
      <w:r>
        <w:t xml:space="preserve"> af affald. </w:t>
      </w:r>
    </w:p>
    <w:p w14:paraId="28D3751E" w14:textId="4061BA52" w:rsidR="00A943CA" w:rsidRDefault="00646F34" w:rsidP="00646F34">
      <w:pPr>
        <w:pStyle w:val="BodyTextIndent"/>
        <w:rPr>
          <w:b/>
        </w:rPr>
      </w:pPr>
      <w:r>
        <w:t xml:space="preserve">Oplysningerne skal være let tilgængelige, tilskynde til ansvarlig forbrugeradfærd og gives regelmæssigt. </w:t>
      </w:r>
      <w:bookmarkEnd w:id="15"/>
    </w:p>
    <w:p w14:paraId="45C9EC51" w14:textId="77777777" w:rsidR="00646F34" w:rsidRDefault="00646F34" w:rsidP="00646F34">
      <w:pPr>
        <w:pStyle w:val="BodyTextIndent"/>
        <w:rPr>
          <w:shd w:val="clear" w:color="auto" w:fill="FFFFFF"/>
        </w:rPr>
      </w:pPr>
    </w:p>
    <w:p w14:paraId="6E7BC699" w14:textId="74873BAA" w:rsidR="00646F34" w:rsidRDefault="00333168" w:rsidP="00646F34">
      <w:pPr>
        <w:pStyle w:val="BodyTextIndent"/>
        <w:ind w:firstLine="0"/>
      </w:pPr>
      <w:bookmarkStart w:id="16" w:name="_Hlk50113133"/>
      <w:r>
        <w:rPr>
          <w:b/>
        </w:rPr>
        <w:t>Afsnit 28</w:t>
      </w:r>
      <w:r>
        <w:t xml:space="preserve">    De, der som led i en erhvervsmæssig aktivitet leverer plastbæreposer til forbrugerne, skal give oplysninger om: </w:t>
      </w:r>
    </w:p>
    <w:p w14:paraId="1D7EE05B" w14:textId="77777777" w:rsidR="00646F34" w:rsidRDefault="00646F34" w:rsidP="00646F34">
      <w:pPr>
        <w:pStyle w:val="BodyTextIndent"/>
      </w:pPr>
      <w:r>
        <w:t xml:space="preserve">1. de miljømæssige virkninger af plastbæreposer og fordelene ved reduceret forbrug af plastbæreposer, og </w:t>
      </w:r>
    </w:p>
    <w:p w14:paraId="2771D7CE" w14:textId="05603BF4" w:rsidR="00646F34" w:rsidRDefault="00646F34" w:rsidP="00646F34">
      <w:pPr>
        <w:pStyle w:val="BodyTextIndent"/>
      </w:pPr>
      <w:r>
        <w:t>2. foranstaltninger, der kan træffes af forbrugeren for at reducere forbruget.</w:t>
      </w:r>
    </w:p>
    <w:p w14:paraId="5570BE05" w14:textId="14D7A4AB" w:rsidR="00646F34" w:rsidRDefault="00646F34" w:rsidP="00646F34">
      <w:pPr>
        <w:pStyle w:val="BodyTextIndent"/>
      </w:pPr>
      <w:r>
        <w:t xml:space="preserve">Oplysningspligten gælder ikke for plastbæreposer </w:t>
      </w:r>
    </w:p>
    <w:p w14:paraId="6136AAE5" w14:textId="21971FCC" w:rsidR="00646F34" w:rsidRDefault="00646F34" w:rsidP="00646F34">
      <w:pPr>
        <w:pStyle w:val="BodyTextIndent"/>
      </w:pPr>
      <w:r>
        <w:t>1. der stilles til rådighed på afstand eller</w:t>
      </w:r>
    </w:p>
    <w:p w14:paraId="0946EE4F" w14:textId="77777777" w:rsidR="00646F34" w:rsidRPr="00F37459" w:rsidDel="00A4255D" w:rsidRDefault="00646F34" w:rsidP="00646F34">
      <w:pPr>
        <w:pStyle w:val="BodyTextIndent"/>
      </w:pPr>
      <w:r>
        <w:t>2. </w:t>
      </w:r>
      <w:bookmarkStart w:id="17" w:name="_Hlk52885097"/>
      <w:r>
        <w:t>med vægge, der er tyndere end 15 mikrometer, og som er nødvendige af hygiejnemæssige årsager eller leveres som primæremballage til fødevarer, der sælges i løs vægt.</w:t>
      </w:r>
    </w:p>
    <w:bookmarkEnd w:id="16"/>
    <w:bookmarkEnd w:id="17"/>
    <w:p w14:paraId="0130FB62" w14:textId="77F6F09F" w:rsidR="00646F34" w:rsidRDefault="00646F34" w:rsidP="00646F34">
      <w:pPr>
        <w:pStyle w:val="BodyTextIndent"/>
      </w:pPr>
      <w:r>
        <w:t xml:space="preserve">Oplysningerne skal være let tilgængelige, tilskynde til ansvarlig forbrugeradfærd og gives regelmæssigt. </w:t>
      </w:r>
    </w:p>
    <w:p w14:paraId="5779F367" w14:textId="77777777" w:rsidR="00D810C9" w:rsidRDefault="00D810C9" w:rsidP="00646F34">
      <w:pPr>
        <w:pStyle w:val="BodyTextIndent"/>
      </w:pPr>
    </w:p>
    <w:p w14:paraId="3A1F25D9" w14:textId="190F79FF" w:rsidR="00333168" w:rsidRDefault="00311E20" w:rsidP="00333168">
      <w:pPr>
        <w:pStyle w:val="BodyTextIndent"/>
        <w:ind w:firstLine="0"/>
      </w:pPr>
      <w:r>
        <w:rPr>
          <w:b/>
        </w:rPr>
        <w:lastRenderedPageBreak/>
        <w:t>Afsnit 29</w:t>
      </w:r>
      <w:r>
        <w:t xml:space="preserve">    For engangsplastprodukter som omhandlet i afsnit 8 i bekendtgørelse (2021:000) om affaldsafgifter skal den svenske miljøstyrelse oplyse forbrugerne om: </w:t>
      </w:r>
    </w:p>
    <w:p w14:paraId="57FBCC86" w14:textId="7D329365" w:rsidR="00333168" w:rsidRDefault="00333168" w:rsidP="00333168">
      <w:pPr>
        <w:pStyle w:val="BodyTextIndent"/>
      </w:pPr>
      <w:r>
        <w:t xml:space="preserve">1. hvordan man håndterer engangsplastprodukter, når de bliver til affald, </w:t>
      </w:r>
    </w:p>
    <w:p w14:paraId="71E21096" w14:textId="0E200B1D" w:rsidR="00333168" w:rsidRDefault="00333168" w:rsidP="00333168">
      <w:pPr>
        <w:pStyle w:val="BodyTextIndent"/>
      </w:pPr>
      <w:r>
        <w:t xml:space="preserve">2. de negative miljøvirkninger af </w:t>
      </w:r>
      <w:proofErr w:type="spellStart"/>
      <w:r>
        <w:t>henkastning</w:t>
      </w:r>
      <w:proofErr w:type="spellEnd"/>
      <w:r>
        <w:t xml:space="preserve"> af affald eller som følge af anden uhensigtsmæssig bortskaffelse af engangsplastprodukter, og</w:t>
      </w:r>
    </w:p>
    <w:p w14:paraId="08A33784" w14:textId="28409F05" w:rsidR="00333168" w:rsidRDefault="00333168" w:rsidP="00333168">
      <w:pPr>
        <w:pStyle w:val="BodyTextIndent"/>
      </w:pPr>
      <w:r>
        <w:t>3. de negative virkninger på kloaknettet ved at skylle engangsplastproduktet ned i afløbet.</w:t>
      </w:r>
    </w:p>
    <w:p w14:paraId="78958184" w14:textId="0761D282" w:rsidR="00333168" w:rsidRDefault="00333168" w:rsidP="00333168">
      <w:pPr>
        <w:pStyle w:val="BodyTextIndent"/>
      </w:pPr>
      <w:bookmarkStart w:id="18" w:name="_Hlk85729959"/>
      <w:r>
        <w:t xml:space="preserve">Oplysningerne skal bidrage til at sikre, at affald fra engangsplastprodukter håndteres hensigtsmæssigt, og til at reducere </w:t>
      </w:r>
      <w:proofErr w:type="spellStart"/>
      <w:r>
        <w:t>henkastning</w:t>
      </w:r>
      <w:proofErr w:type="spellEnd"/>
      <w:r>
        <w:t xml:space="preserve"> af affald. </w:t>
      </w:r>
    </w:p>
    <w:bookmarkEnd w:id="18"/>
    <w:p w14:paraId="2FDE9192" w14:textId="05D60899" w:rsidR="00333168" w:rsidRPr="00F37459" w:rsidRDefault="00333168" w:rsidP="00646F34">
      <w:pPr>
        <w:pStyle w:val="BodyTextIndent"/>
      </w:pPr>
      <w:r>
        <w:t xml:space="preserve">Oplysningerne skal være let tilgængelige, tilskynde til ansvarlig forbrugeradfærd og gives regelmæssigt. </w:t>
      </w:r>
    </w:p>
    <w:p w14:paraId="4F28984C" w14:textId="77777777" w:rsidR="00646F34" w:rsidRPr="004A5FA3" w:rsidRDefault="00646F34" w:rsidP="009E6D43">
      <w:pPr>
        <w:pStyle w:val="Heading4"/>
      </w:pPr>
      <w:r>
        <w:t>Overvågning af faldet i forbruget</w:t>
      </w:r>
    </w:p>
    <w:p w14:paraId="63677034" w14:textId="3A394BD8" w:rsidR="00646F34" w:rsidRDefault="00333168" w:rsidP="00646F34">
      <w:pPr>
        <w:pStyle w:val="BodyText"/>
      </w:pPr>
      <w:r>
        <w:rPr>
          <w:b/>
        </w:rPr>
        <w:t>Afsnit 30</w:t>
      </w:r>
      <w:r>
        <w:t>    </w:t>
      </w:r>
      <w:bookmarkStart w:id="19" w:name="_Hlk39566463"/>
      <w:r>
        <w:t xml:space="preserve">På grundlag af oplysningerne i afsnit 73, litra a), i bekendtgørelse (2018:1462) om producentansvar for emballage skal den svenske miljøstyrelse overvåge, at forbruget af </w:t>
      </w:r>
    </w:p>
    <w:p w14:paraId="124862F8" w14:textId="77777777" w:rsidR="00646F34" w:rsidRDefault="00646F34" w:rsidP="00646F34">
      <w:pPr>
        <w:pStyle w:val="BodyTextIndent"/>
      </w:pPr>
      <w:r>
        <w:t xml:space="preserve">1. plastbæreposer er faldende, og at forbruget af letvægtsplastbæreposer ikke overstiger 90 poser pr. person pr. år fra den 31. december 2019 og 40 poser pr. person pr. år fra den 31. december 2025, og </w:t>
      </w:r>
    </w:p>
    <w:p w14:paraId="7E098308" w14:textId="77777777" w:rsidR="00646F34" w:rsidRDefault="00646F34" w:rsidP="00646F34">
      <w:pPr>
        <w:pStyle w:val="BodyTextIndent"/>
      </w:pPr>
      <w:r>
        <w:t>2. kopper og fødevarebokse, der er engangsplastprodukter, er faldet med 50 % i kalenderåret 2026 i forhold til forbruget i kalenderåret 2022.</w:t>
      </w:r>
    </w:p>
    <w:p w14:paraId="4DF4B9EC" w14:textId="77777777" w:rsidR="00646F34" w:rsidRDefault="00646F34" w:rsidP="00646F34">
      <w:pPr>
        <w:pStyle w:val="BodyTextIndent"/>
      </w:pPr>
      <w:r>
        <w:t xml:space="preserve">Beregningen af forbruget af letvægtsplastbæreposer må ikke omfatte bæreposer med en væg, der er tyndere end 15 mikrometer, og: </w:t>
      </w:r>
    </w:p>
    <w:p w14:paraId="408D81DA" w14:textId="22F58FD7" w:rsidR="00646F34" w:rsidRDefault="00646F34" w:rsidP="00646F34">
      <w:pPr>
        <w:pStyle w:val="BodyTextIndent"/>
      </w:pPr>
      <w:r>
        <w:t xml:space="preserve">1. som er nødvendige af hygiejnemæssige årsager, eller </w:t>
      </w:r>
    </w:p>
    <w:p w14:paraId="0FBB7059" w14:textId="77777777" w:rsidR="00646F34" w:rsidRPr="00E975B9" w:rsidRDefault="00646F34" w:rsidP="00646F34">
      <w:pPr>
        <w:pStyle w:val="BodyTextIndent"/>
      </w:pPr>
      <w:r>
        <w:t xml:space="preserve">2. leveres som primær emballage til fødevarer, der sælges i løs vægt. </w:t>
      </w:r>
    </w:p>
    <w:p w14:paraId="24D1CC3E" w14:textId="55A48E34" w:rsidR="00646F34" w:rsidRDefault="00646F34" w:rsidP="00646F34">
      <w:pPr>
        <w:pStyle w:val="BodyTextIndent"/>
      </w:pPr>
      <w:r>
        <w:t>Hvis den svenske miljøstyrelse vurderer, at forbruget af plastbæreposer og</w:t>
      </w:r>
      <w:r w:rsidRPr="00D7198F">
        <w:t xml:space="preserve"> </w:t>
      </w:r>
      <w:r>
        <w:t>kopper og fødevarebokse, der er engangsplastprodukter, ikke er faldende, eller at forbruget af letvægtsplastbæreposer vil overstige de niveauer, der er fastsat i stk. 1, skal den svenske miljøstyrelse forelægge regeringen forslag til passende foranstaltninger.</w:t>
      </w:r>
      <w:bookmarkEnd w:id="19"/>
    </w:p>
    <w:p w14:paraId="1F952C0F" w14:textId="77777777" w:rsidR="00646F34" w:rsidRPr="006047FF" w:rsidRDefault="00646F34" w:rsidP="009E6D43">
      <w:pPr>
        <w:pStyle w:val="Heading4"/>
      </w:pPr>
      <w:r>
        <w:t>Rapportering</w:t>
      </w:r>
    </w:p>
    <w:p w14:paraId="38C80481" w14:textId="725E6848" w:rsidR="00646F34" w:rsidRDefault="00333168" w:rsidP="00646F34">
      <w:pPr>
        <w:pStyle w:val="BodyText"/>
      </w:pPr>
      <w:r>
        <w:rPr>
          <w:b/>
        </w:rPr>
        <w:t>Afsnit 31</w:t>
      </w:r>
      <w:r>
        <w:t xml:space="preserve">    Den svenske miljøstyrelse aflægger rapport til Europa-Kommissionen i overensstemmelse med Europa-Parlamentets og Rådets direktiv (EU) 2019/904 af 5. juni 2019 om reduktion af visse plastprodukters miljøpåvirkning i den oprindelige affattelse. </w:t>
      </w:r>
    </w:p>
    <w:p w14:paraId="6C61A685" w14:textId="77777777" w:rsidR="00646F34" w:rsidRDefault="00646F34" w:rsidP="009E6D43">
      <w:pPr>
        <w:pStyle w:val="Heading4"/>
      </w:pPr>
      <w:r>
        <w:t>Overvågning</w:t>
      </w:r>
    </w:p>
    <w:p w14:paraId="793E3E77" w14:textId="37D380AB" w:rsidR="00646F34" w:rsidRDefault="00646F34" w:rsidP="00646F34">
      <w:pPr>
        <w:pStyle w:val="BodyTextIndent"/>
        <w:ind w:firstLine="0"/>
      </w:pPr>
      <w:bookmarkStart w:id="20" w:name="_Hlk49157704"/>
      <w:r>
        <w:rPr>
          <w:b/>
        </w:rPr>
        <w:t>Afsnit 32</w:t>
      </w:r>
      <w:r>
        <w:t xml:space="preserve">    Kapitel 2, afsnit 24 og 31 i bekendtgørelsen (2011:13) om miljøhåndhævelse indeholder bestemmelser om tilsyn. </w:t>
      </w:r>
    </w:p>
    <w:p w14:paraId="63EF48B3" w14:textId="77777777" w:rsidR="00646F34" w:rsidRDefault="00646F34" w:rsidP="009E6D43">
      <w:pPr>
        <w:pStyle w:val="Heading4"/>
      </w:pPr>
      <w:r>
        <w:t>Sanktioner</w:t>
      </w:r>
    </w:p>
    <w:p w14:paraId="6DC4E366" w14:textId="58C77F3B" w:rsidR="00646F34" w:rsidRDefault="00646F34" w:rsidP="00646F34">
      <w:pPr>
        <w:pStyle w:val="BodyText"/>
      </w:pPr>
      <w:r>
        <w:rPr>
          <w:b/>
        </w:rPr>
        <w:t>Afsnit 33</w:t>
      </w:r>
      <w:r>
        <w:t>    Bekendtgørelsen (2012: 259) om miljøsanktionsgebyrer indeholder bestemmelser om miljøsanktionsgebyrer.</w:t>
      </w:r>
      <w:bookmarkEnd w:id="20"/>
    </w:p>
    <w:p w14:paraId="3554C13B" w14:textId="79257F9C" w:rsidR="00646F34" w:rsidRDefault="00C6508D" w:rsidP="00C6508D">
      <w:pPr>
        <w:pStyle w:val="Heading4"/>
      </w:pPr>
      <w:r>
        <w:t>Bemyndigelse til at udstede bestemmelser om håndhævelse</w:t>
      </w:r>
    </w:p>
    <w:p w14:paraId="0F85D3F8" w14:textId="4FB63265" w:rsidR="00646F34" w:rsidRDefault="00646F34" w:rsidP="00646F34">
      <w:pPr>
        <w:pStyle w:val="BodyText"/>
      </w:pPr>
      <w:r>
        <w:rPr>
          <w:b/>
        </w:rPr>
        <w:t>Afsnit 34</w:t>
      </w:r>
      <w:r>
        <w:t>    Den svenske miljøstyrelse kan udstede regler om håndhævelsen af denne bekendtgørelse.</w:t>
      </w:r>
    </w:p>
    <w:p w14:paraId="1C219B46" w14:textId="77777777" w:rsidR="00646F34" w:rsidRPr="00811E52" w:rsidRDefault="00646F34" w:rsidP="00646F34">
      <w:pPr>
        <w:pStyle w:val="Slutstreck"/>
      </w:pPr>
      <w:r>
        <w:t>                      </w:t>
      </w:r>
    </w:p>
    <w:p w14:paraId="504E9F86" w14:textId="64A3F615" w:rsidR="00646F34" w:rsidRDefault="00646F34" w:rsidP="00646F34">
      <w:pPr>
        <w:pStyle w:val="BodyTextIndent"/>
      </w:pPr>
      <w:r>
        <w:lastRenderedPageBreak/>
        <w:t>1. Denne bekendtgørelse træder i kraft den 30. april 2022 for så vidt angår afsnit 16, den 1. januar 2024 for så vidt angår afsnit 14 og 17-22 og 25, og ellers den 1. januar 2022.</w:t>
      </w:r>
    </w:p>
    <w:p w14:paraId="734AC260" w14:textId="6E9AF961" w:rsidR="00646F34" w:rsidRPr="00830602" w:rsidRDefault="00646F34" w:rsidP="00646F34">
      <w:pPr>
        <w:pStyle w:val="BodyTextIndent"/>
      </w:pPr>
      <w:r>
        <w:t>2. Bekendtgørelsen ophæver bekendtgørelsen (2016:1041) om plastbæreposer.</w:t>
      </w:r>
    </w:p>
    <w:p w14:paraId="605E44B0" w14:textId="77777777" w:rsidR="0084605D" w:rsidRDefault="0084605D" w:rsidP="00C24693">
      <w:pPr>
        <w:pStyle w:val="BodyText"/>
        <w:keepNext/>
        <w:keepLines/>
      </w:pPr>
    </w:p>
    <w:p w14:paraId="41459E47" w14:textId="0F44E051" w:rsidR="00E95ADF" w:rsidRDefault="00E95ADF" w:rsidP="00C24693">
      <w:pPr>
        <w:pStyle w:val="BodyText"/>
        <w:keepNext/>
        <w:keepLines/>
      </w:pPr>
      <w:r>
        <w:t>På regeringens vegne</w:t>
      </w:r>
    </w:p>
    <w:p w14:paraId="26D5D373" w14:textId="77777777" w:rsidR="00E95ADF" w:rsidRDefault="00E95ADF" w:rsidP="00C24693">
      <w:pPr>
        <w:pStyle w:val="BodyText"/>
        <w:keepNext/>
        <w:keepLines/>
      </w:pPr>
    </w:p>
    <w:p w14:paraId="741DAB74" w14:textId="39EAF410" w:rsidR="00E95ADF" w:rsidRPr="003037A4" w:rsidRDefault="0084605D" w:rsidP="00C24693">
      <w:pPr>
        <w:pStyle w:val="BodyText"/>
        <w:keepNext/>
        <w:keepLines/>
        <w:rPr>
          <w:caps/>
        </w:rPr>
      </w:pPr>
      <w:r>
        <w:rPr>
          <w:caps/>
        </w:rPr>
        <w:t>PER BOLUND</w:t>
      </w:r>
    </w:p>
    <w:p w14:paraId="314788B0" w14:textId="490808DB" w:rsidR="00E95ADF" w:rsidRDefault="00E95ADF" w:rsidP="00C24693">
      <w:pPr>
        <w:pStyle w:val="BodyText"/>
        <w:keepNext/>
        <w:keepLines/>
        <w:tabs>
          <w:tab w:val="left" w:pos="3827"/>
        </w:tabs>
        <w:ind w:left="3827" w:hanging="3827"/>
        <w:jc w:val="left"/>
      </w:pPr>
      <w:r>
        <w:tab/>
        <w:t>Maria Jonsson</w:t>
      </w:r>
    </w:p>
    <w:p w14:paraId="2053920B" w14:textId="63A1370F" w:rsidR="00E95ADF" w:rsidRDefault="00E95ADF" w:rsidP="00C24693">
      <w:pPr>
        <w:pStyle w:val="BodyText"/>
        <w:keepLines/>
        <w:tabs>
          <w:tab w:val="left" w:pos="3827"/>
        </w:tabs>
        <w:ind w:left="3827" w:hanging="3827"/>
        <w:jc w:val="left"/>
      </w:pPr>
      <w:r>
        <w:tab/>
        <w:t>(Miljøministeriet)</w:t>
      </w:r>
    </w:p>
    <w:p w14:paraId="5ED46A6A" w14:textId="77777777" w:rsidR="00FE7D41" w:rsidRPr="00FE7D41" w:rsidRDefault="00FE7D41" w:rsidP="00FE7D41">
      <w:pPr>
        <w:pStyle w:val="BodyTextIndent"/>
      </w:pPr>
    </w:p>
    <w:sectPr w:rsidR="00FE7D41" w:rsidRPr="00FE7D41" w:rsidSect="00B045CC">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6F1E" w14:textId="77777777" w:rsidR="002A36A7" w:rsidRDefault="002A36A7" w:rsidP="00680442">
      <w:r>
        <w:separator/>
      </w:r>
    </w:p>
  </w:endnote>
  <w:endnote w:type="continuationSeparator" w:id="0">
    <w:p w14:paraId="198C1078" w14:textId="77777777" w:rsidR="002A36A7" w:rsidRDefault="002A36A7" w:rsidP="00680442">
      <w:r>
        <w:continuationSeparator/>
      </w:r>
    </w:p>
  </w:endnote>
  <w:endnote w:type="continuationNotice" w:id="1">
    <w:p w14:paraId="6CB7E786" w14:textId="77777777" w:rsidR="002A36A7" w:rsidRDefault="002A3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4DED" w14:textId="77777777" w:rsidR="00CE5660" w:rsidRDefault="00CE5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AEBF" w14:textId="77777777" w:rsidR="00CE5660" w:rsidRDefault="00CE5660" w:rsidP="00CE05BB">
    <w:pPr>
      <w:pStyle w:val="Footer"/>
    </w:pPr>
    <w:r>
      <w:rPr>
        <w:noProof/>
      </w:rPr>
      <mc:AlternateContent>
        <mc:Choice Requires="wps">
          <w:drawing>
            <wp:anchor distT="0" distB="0" distL="114300" distR="114300" simplePos="0" relativeHeight="251657216" behindDoc="0" locked="0" layoutInCell="1" allowOverlap="1" wp14:anchorId="2FECE3E4" wp14:editId="2DEF5DB2">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CE3E4"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BFE7" w14:textId="77777777" w:rsidR="00CE5660" w:rsidRDefault="00CE5660" w:rsidP="00CE05BB">
    <w:pPr>
      <w:pStyle w:val="Footer"/>
    </w:pPr>
    <w:r>
      <w:rPr>
        <w:noProof/>
      </w:rPr>
      <mc:AlternateContent>
        <mc:Choice Requires="wps">
          <w:drawing>
            <wp:anchor distT="0" distB="0" distL="114300" distR="114300" simplePos="0" relativeHeight="251656192" behindDoc="0" locked="0" layoutInCell="1" allowOverlap="1" wp14:anchorId="52EA5486" wp14:editId="02B970E0">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A548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P7dw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" fillcolor="white [3201]" stroked="f" strokeweight=".5pt">
              <v:textbo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2973" w14:textId="77777777" w:rsidR="002A36A7" w:rsidRDefault="002A36A7" w:rsidP="00680442"/>
  </w:footnote>
  <w:footnote w:type="continuationSeparator" w:id="0">
    <w:p w14:paraId="4E8F5120" w14:textId="77777777" w:rsidR="002A36A7" w:rsidRPr="00C26807" w:rsidRDefault="002A36A7" w:rsidP="00C26807">
      <w:pPr>
        <w:pStyle w:val="Footer"/>
      </w:pPr>
    </w:p>
  </w:footnote>
  <w:footnote w:type="continuationNotice" w:id="1">
    <w:p w14:paraId="7DF6F2C4" w14:textId="77777777" w:rsidR="002A36A7" w:rsidRDefault="002A36A7"/>
  </w:footnote>
  <w:footnote w:id="2">
    <w:p w14:paraId="4FE7E27D" w14:textId="77777777" w:rsidR="00CE5660" w:rsidRDefault="00CE5660" w:rsidP="00211C2C">
      <w:pPr>
        <w:pStyle w:val="FootnoteText"/>
      </w:pPr>
      <w:r>
        <w:rPr>
          <w:rStyle w:val="FootnoteReference"/>
        </w:rPr>
        <w:footnoteRef/>
      </w:r>
      <w:r>
        <w:t xml:space="preserve"> Jf. Europa-Parlamentets og Rådets direktiv (EU) 2019/904 af 5. juni 2019 om reduktion af visse plastprodukters miljøpåvirkning i den oprindelige affattelse. Jf. desuden Europa-Parlamentets og Rådets direktiv (EU) nr. 2015/1535 af 9. september 2015 om en informationsprocedure med hensyn til tekniske forskrifter samt forskrifter for informationssamfundets tjenester (kodificering)</w:t>
      </w:r>
    </w:p>
    <w:p w14:paraId="6A98EB38" w14:textId="0DE8A2D1" w:rsidR="00CE5660" w:rsidRDefault="00CE56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10D4" w14:textId="77777777" w:rsidR="00CE5660" w:rsidRDefault="002A36A7">
    <w:pPr>
      <w:pStyle w:val="Header"/>
    </w:pPr>
    <w:r>
      <w:pict w14:anchorId="24E92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TESTDOKUMENT, IKKE GYLDIGT DOK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2C90" w14:textId="77777777" w:rsidR="00CE5660" w:rsidRDefault="00CE5660" w:rsidP="00F77ABC">
    <w:pPr>
      <w:pStyle w:val="Header"/>
      <w:jc w:val="right"/>
    </w:pPr>
    <w:r>
      <w:rPr>
        <w:noProof/>
      </w:rPr>
      <mc:AlternateContent>
        <mc:Choice Requires="wps">
          <w:drawing>
            <wp:anchor distT="0" distB="0" distL="114300" distR="114300" simplePos="0" relativeHeight="251658240" behindDoc="0" locked="0" layoutInCell="1" allowOverlap="1" wp14:anchorId="20DA6EBC" wp14:editId="76D6F7C9">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BECD6" w14:textId="77777777" w:rsidR="00CE5660" w:rsidRPr="001974BD" w:rsidRDefault="00CE5660"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6EBC"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1F2BECD6" w14:textId="77777777" w:rsidR="00CE5660" w:rsidRPr="001974BD" w:rsidRDefault="00CE5660" w:rsidP="00B90519">
                    <w:pPr>
                      <w:rPr>
                        <w:b/>
                        <w:sz w:val="22"/>
                        <w:szCs w:val="22"/>
                      </w:rPr>
                    </w:pPr>
                    <w:r>
                      <w:rPr>
                        <w:b/>
                        <w:sz w:val="22"/>
                      </w:rPr>
                      <w:t>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51EC" w14:textId="77777777" w:rsidR="00CE5660" w:rsidRDefault="00CE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641D6"/>
    <w:multiLevelType w:val="hybridMultilevel"/>
    <w:tmpl w:val="CDE461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24786888">
    <w:abstractNumId w:val="8"/>
  </w:num>
  <w:num w:numId="2" w16cid:durableId="510683138">
    <w:abstractNumId w:val="8"/>
  </w:num>
  <w:num w:numId="3" w16cid:durableId="1913390484">
    <w:abstractNumId w:val="3"/>
  </w:num>
  <w:num w:numId="4" w16cid:durableId="1824815500">
    <w:abstractNumId w:val="2"/>
  </w:num>
  <w:num w:numId="5" w16cid:durableId="1252666106">
    <w:abstractNumId w:val="1"/>
  </w:num>
  <w:num w:numId="6" w16cid:durableId="1442647516">
    <w:abstractNumId w:val="0"/>
  </w:num>
  <w:num w:numId="7" w16cid:durableId="2103648059">
    <w:abstractNumId w:val="9"/>
  </w:num>
  <w:num w:numId="8" w16cid:durableId="1835146593">
    <w:abstractNumId w:val="7"/>
  </w:num>
  <w:num w:numId="9" w16cid:durableId="1104425107">
    <w:abstractNumId w:val="6"/>
  </w:num>
  <w:num w:numId="10" w16cid:durableId="1958221500">
    <w:abstractNumId w:val="5"/>
  </w:num>
  <w:num w:numId="11" w16cid:durableId="380137878">
    <w:abstractNumId w:val="4"/>
  </w:num>
  <w:num w:numId="12" w16cid:durableId="1485389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34"/>
    <w:rsid w:val="00014844"/>
    <w:rsid w:val="000217E0"/>
    <w:rsid w:val="000309B4"/>
    <w:rsid w:val="00054B0D"/>
    <w:rsid w:val="00062643"/>
    <w:rsid w:val="00065778"/>
    <w:rsid w:val="000776E6"/>
    <w:rsid w:val="00087E73"/>
    <w:rsid w:val="00091696"/>
    <w:rsid w:val="0009400A"/>
    <w:rsid w:val="000963A0"/>
    <w:rsid w:val="000A1BCC"/>
    <w:rsid w:val="000A437D"/>
    <w:rsid w:val="000A6C2B"/>
    <w:rsid w:val="000B072E"/>
    <w:rsid w:val="000B36C7"/>
    <w:rsid w:val="000B7FEB"/>
    <w:rsid w:val="000C42B0"/>
    <w:rsid w:val="000D3E9A"/>
    <w:rsid w:val="000D56FC"/>
    <w:rsid w:val="000D5E85"/>
    <w:rsid w:val="000F3D5F"/>
    <w:rsid w:val="000F7435"/>
    <w:rsid w:val="00100E2C"/>
    <w:rsid w:val="00122CF5"/>
    <w:rsid w:val="00131A73"/>
    <w:rsid w:val="00132BD5"/>
    <w:rsid w:val="00135F8C"/>
    <w:rsid w:val="001409E8"/>
    <w:rsid w:val="001563DC"/>
    <w:rsid w:val="00162B76"/>
    <w:rsid w:val="00165B5E"/>
    <w:rsid w:val="00167E63"/>
    <w:rsid w:val="00175988"/>
    <w:rsid w:val="00181BC1"/>
    <w:rsid w:val="001974BD"/>
    <w:rsid w:val="001A716D"/>
    <w:rsid w:val="001B4DB6"/>
    <w:rsid w:val="001D2D45"/>
    <w:rsid w:val="001D7E3D"/>
    <w:rsid w:val="001E43C6"/>
    <w:rsid w:val="001F4FE9"/>
    <w:rsid w:val="00201C96"/>
    <w:rsid w:val="00205B38"/>
    <w:rsid w:val="00211C2C"/>
    <w:rsid w:val="002124E1"/>
    <w:rsid w:val="00215412"/>
    <w:rsid w:val="00224C44"/>
    <w:rsid w:val="00232439"/>
    <w:rsid w:val="0023447C"/>
    <w:rsid w:val="00236E12"/>
    <w:rsid w:val="002576A9"/>
    <w:rsid w:val="00264764"/>
    <w:rsid w:val="00267351"/>
    <w:rsid w:val="002767C4"/>
    <w:rsid w:val="00276BA7"/>
    <w:rsid w:val="002804CB"/>
    <w:rsid w:val="0029295C"/>
    <w:rsid w:val="002949DD"/>
    <w:rsid w:val="002A36A7"/>
    <w:rsid w:val="002A76C1"/>
    <w:rsid w:val="002B3871"/>
    <w:rsid w:val="002B452D"/>
    <w:rsid w:val="002C0BBF"/>
    <w:rsid w:val="002D247A"/>
    <w:rsid w:val="002D3D78"/>
    <w:rsid w:val="002F68D4"/>
    <w:rsid w:val="00301819"/>
    <w:rsid w:val="00311E20"/>
    <w:rsid w:val="003216FD"/>
    <w:rsid w:val="00323010"/>
    <w:rsid w:val="00330A7B"/>
    <w:rsid w:val="00332533"/>
    <w:rsid w:val="00333168"/>
    <w:rsid w:val="00333E47"/>
    <w:rsid w:val="00335129"/>
    <w:rsid w:val="00343A99"/>
    <w:rsid w:val="00344B4A"/>
    <w:rsid w:val="00350B0F"/>
    <w:rsid w:val="0035181A"/>
    <w:rsid w:val="00353EE4"/>
    <w:rsid w:val="00355D64"/>
    <w:rsid w:val="003627A1"/>
    <w:rsid w:val="003642F1"/>
    <w:rsid w:val="00364629"/>
    <w:rsid w:val="003661D1"/>
    <w:rsid w:val="00367C3F"/>
    <w:rsid w:val="0037085F"/>
    <w:rsid w:val="003A300E"/>
    <w:rsid w:val="003B4B65"/>
    <w:rsid w:val="003C1B39"/>
    <w:rsid w:val="003C5D66"/>
    <w:rsid w:val="003E4858"/>
    <w:rsid w:val="003E7C57"/>
    <w:rsid w:val="004043E4"/>
    <w:rsid w:val="00420647"/>
    <w:rsid w:val="0042754D"/>
    <w:rsid w:val="0044098C"/>
    <w:rsid w:val="00440A07"/>
    <w:rsid w:val="0044715B"/>
    <w:rsid w:val="00460C4D"/>
    <w:rsid w:val="00461C46"/>
    <w:rsid w:val="00461D7A"/>
    <w:rsid w:val="004630CE"/>
    <w:rsid w:val="00465E8F"/>
    <w:rsid w:val="00467E22"/>
    <w:rsid w:val="00467F48"/>
    <w:rsid w:val="0047191E"/>
    <w:rsid w:val="00475117"/>
    <w:rsid w:val="00475F84"/>
    <w:rsid w:val="00482DD1"/>
    <w:rsid w:val="00487A84"/>
    <w:rsid w:val="00496903"/>
    <w:rsid w:val="00496B57"/>
    <w:rsid w:val="004A3C1C"/>
    <w:rsid w:val="004A728C"/>
    <w:rsid w:val="004B6A07"/>
    <w:rsid w:val="004B7FD3"/>
    <w:rsid w:val="004C2E93"/>
    <w:rsid w:val="004E0106"/>
    <w:rsid w:val="004E0DAA"/>
    <w:rsid w:val="004E1ACE"/>
    <w:rsid w:val="004E4DE2"/>
    <w:rsid w:val="004F0BBC"/>
    <w:rsid w:val="004F112E"/>
    <w:rsid w:val="00506527"/>
    <w:rsid w:val="00527561"/>
    <w:rsid w:val="005373FC"/>
    <w:rsid w:val="0055154B"/>
    <w:rsid w:val="00561BFC"/>
    <w:rsid w:val="00562B95"/>
    <w:rsid w:val="00564C23"/>
    <w:rsid w:val="00565A67"/>
    <w:rsid w:val="00580393"/>
    <w:rsid w:val="00585B17"/>
    <w:rsid w:val="005B0C13"/>
    <w:rsid w:val="005B2C6E"/>
    <w:rsid w:val="005B3A26"/>
    <w:rsid w:val="005B7784"/>
    <w:rsid w:val="005C210E"/>
    <w:rsid w:val="005C6B0C"/>
    <w:rsid w:val="005E410F"/>
    <w:rsid w:val="005E781A"/>
    <w:rsid w:val="005F3664"/>
    <w:rsid w:val="005F5448"/>
    <w:rsid w:val="005F75D2"/>
    <w:rsid w:val="005F7A7D"/>
    <w:rsid w:val="006017CA"/>
    <w:rsid w:val="00601CF4"/>
    <w:rsid w:val="00615D62"/>
    <w:rsid w:val="006178BF"/>
    <w:rsid w:val="00624653"/>
    <w:rsid w:val="006413A7"/>
    <w:rsid w:val="0064475F"/>
    <w:rsid w:val="00646F34"/>
    <w:rsid w:val="006734C6"/>
    <w:rsid w:val="0067379D"/>
    <w:rsid w:val="00674A58"/>
    <w:rsid w:val="00680442"/>
    <w:rsid w:val="0068520B"/>
    <w:rsid w:val="006856DB"/>
    <w:rsid w:val="00685BA1"/>
    <w:rsid w:val="00691E87"/>
    <w:rsid w:val="006972B7"/>
    <w:rsid w:val="006A189D"/>
    <w:rsid w:val="006A31EA"/>
    <w:rsid w:val="006A5C76"/>
    <w:rsid w:val="006A6EF2"/>
    <w:rsid w:val="006B1487"/>
    <w:rsid w:val="006B54FB"/>
    <w:rsid w:val="006C2353"/>
    <w:rsid w:val="006C3DF6"/>
    <w:rsid w:val="006C4712"/>
    <w:rsid w:val="006D0B9D"/>
    <w:rsid w:val="006E7380"/>
    <w:rsid w:val="006F3EF0"/>
    <w:rsid w:val="00701597"/>
    <w:rsid w:val="00705CF7"/>
    <w:rsid w:val="00711FBF"/>
    <w:rsid w:val="007141EE"/>
    <w:rsid w:val="00715836"/>
    <w:rsid w:val="00731454"/>
    <w:rsid w:val="00732438"/>
    <w:rsid w:val="00732889"/>
    <w:rsid w:val="00732900"/>
    <w:rsid w:val="00736FD8"/>
    <w:rsid w:val="00753F80"/>
    <w:rsid w:val="007623A9"/>
    <w:rsid w:val="007708C2"/>
    <w:rsid w:val="0078709D"/>
    <w:rsid w:val="0078756A"/>
    <w:rsid w:val="007878C2"/>
    <w:rsid w:val="00790DED"/>
    <w:rsid w:val="007A10EE"/>
    <w:rsid w:val="007A4814"/>
    <w:rsid w:val="007A5642"/>
    <w:rsid w:val="007A61CF"/>
    <w:rsid w:val="007B32A1"/>
    <w:rsid w:val="007B5968"/>
    <w:rsid w:val="007C0C0F"/>
    <w:rsid w:val="007E6B31"/>
    <w:rsid w:val="007E75A3"/>
    <w:rsid w:val="007F7FC2"/>
    <w:rsid w:val="00805987"/>
    <w:rsid w:val="00831B5C"/>
    <w:rsid w:val="0083514C"/>
    <w:rsid w:val="00835AE2"/>
    <w:rsid w:val="00836C52"/>
    <w:rsid w:val="00836E0C"/>
    <w:rsid w:val="00837A93"/>
    <w:rsid w:val="0084384D"/>
    <w:rsid w:val="0084605D"/>
    <w:rsid w:val="008579BD"/>
    <w:rsid w:val="00865506"/>
    <w:rsid w:val="00870B91"/>
    <w:rsid w:val="00871B1E"/>
    <w:rsid w:val="0088045A"/>
    <w:rsid w:val="00887A99"/>
    <w:rsid w:val="008938FE"/>
    <w:rsid w:val="008A4F77"/>
    <w:rsid w:val="008A56A3"/>
    <w:rsid w:val="008B4876"/>
    <w:rsid w:val="008C6DE9"/>
    <w:rsid w:val="008D7DFB"/>
    <w:rsid w:val="008E3B11"/>
    <w:rsid w:val="008E6436"/>
    <w:rsid w:val="008E7A90"/>
    <w:rsid w:val="008F6E7A"/>
    <w:rsid w:val="008F6EEA"/>
    <w:rsid w:val="009105CE"/>
    <w:rsid w:val="00917859"/>
    <w:rsid w:val="009201AC"/>
    <w:rsid w:val="009331C6"/>
    <w:rsid w:val="00933D9C"/>
    <w:rsid w:val="00944A0C"/>
    <w:rsid w:val="009553B2"/>
    <w:rsid w:val="00984BC8"/>
    <w:rsid w:val="0098565F"/>
    <w:rsid w:val="0099266E"/>
    <w:rsid w:val="00993A25"/>
    <w:rsid w:val="009A32BD"/>
    <w:rsid w:val="009A51AC"/>
    <w:rsid w:val="009B701B"/>
    <w:rsid w:val="009C4782"/>
    <w:rsid w:val="009C5A21"/>
    <w:rsid w:val="009D070E"/>
    <w:rsid w:val="009D46CD"/>
    <w:rsid w:val="009D6C25"/>
    <w:rsid w:val="009D7413"/>
    <w:rsid w:val="009D7436"/>
    <w:rsid w:val="009E0463"/>
    <w:rsid w:val="009E6722"/>
    <w:rsid w:val="009E6D43"/>
    <w:rsid w:val="009F3E51"/>
    <w:rsid w:val="009F4194"/>
    <w:rsid w:val="009F4B8F"/>
    <w:rsid w:val="009F60E3"/>
    <w:rsid w:val="009F63BA"/>
    <w:rsid w:val="00A10981"/>
    <w:rsid w:val="00A11BA4"/>
    <w:rsid w:val="00A33D04"/>
    <w:rsid w:val="00A53593"/>
    <w:rsid w:val="00A619D9"/>
    <w:rsid w:val="00A71376"/>
    <w:rsid w:val="00A8757F"/>
    <w:rsid w:val="00A943CA"/>
    <w:rsid w:val="00A94B58"/>
    <w:rsid w:val="00A953B2"/>
    <w:rsid w:val="00AA35F7"/>
    <w:rsid w:val="00AA4011"/>
    <w:rsid w:val="00AC565C"/>
    <w:rsid w:val="00AE1FEB"/>
    <w:rsid w:val="00AF246E"/>
    <w:rsid w:val="00B045CC"/>
    <w:rsid w:val="00B10553"/>
    <w:rsid w:val="00B13367"/>
    <w:rsid w:val="00B13451"/>
    <w:rsid w:val="00B178AA"/>
    <w:rsid w:val="00B316D7"/>
    <w:rsid w:val="00B32DD6"/>
    <w:rsid w:val="00B346FF"/>
    <w:rsid w:val="00B412A6"/>
    <w:rsid w:val="00B47C04"/>
    <w:rsid w:val="00B53E93"/>
    <w:rsid w:val="00B54292"/>
    <w:rsid w:val="00B60D5E"/>
    <w:rsid w:val="00B65511"/>
    <w:rsid w:val="00B7501B"/>
    <w:rsid w:val="00B90519"/>
    <w:rsid w:val="00B92773"/>
    <w:rsid w:val="00B92D7E"/>
    <w:rsid w:val="00B92EB6"/>
    <w:rsid w:val="00BA0591"/>
    <w:rsid w:val="00BA397F"/>
    <w:rsid w:val="00BA7AC5"/>
    <w:rsid w:val="00BC1B38"/>
    <w:rsid w:val="00BC1BFA"/>
    <w:rsid w:val="00BC3E60"/>
    <w:rsid w:val="00BC4608"/>
    <w:rsid w:val="00BC60E8"/>
    <w:rsid w:val="00BC6DC4"/>
    <w:rsid w:val="00BC7154"/>
    <w:rsid w:val="00BC79BB"/>
    <w:rsid w:val="00BD3925"/>
    <w:rsid w:val="00BE1774"/>
    <w:rsid w:val="00BF022A"/>
    <w:rsid w:val="00BF16AF"/>
    <w:rsid w:val="00C126DB"/>
    <w:rsid w:val="00C21A7B"/>
    <w:rsid w:val="00C221CE"/>
    <w:rsid w:val="00C24693"/>
    <w:rsid w:val="00C25750"/>
    <w:rsid w:val="00C25CB0"/>
    <w:rsid w:val="00C26807"/>
    <w:rsid w:val="00C47474"/>
    <w:rsid w:val="00C64668"/>
    <w:rsid w:val="00C6508D"/>
    <w:rsid w:val="00C71C42"/>
    <w:rsid w:val="00C728AE"/>
    <w:rsid w:val="00C73C3C"/>
    <w:rsid w:val="00C747CC"/>
    <w:rsid w:val="00C8494D"/>
    <w:rsid w:val="00C96BEF"/>
    <w:rsid w:val="00CB0127"/>
    <w:rsid w:val="00CB0950"/>
    <w:rsid w:val="00CE05BB"/>
    <w:rsid w:val="00CE5660"/>
    <w:rsid w:val="00CE5EC6"/>
    <w:rsid w:val="00CF03E7"/>
    <w:rsid w:val="00CF5001"/>
    <w:rsid w:val="00CF79ED"/>
    <w:rsid w:val="00D001EA"/>
    <w:rsid w:val="00D107EB"/>
    <w:rsid w:val="00D20572"/>
    <w:rsid w:val="00D25FEB"/>
    <w:rsid w:val="00D318CA"/>
    <w:rsid w:val="00D34DA7"/>
    <w:rsid w:val="00D3638D"/>
    <w:rsid w:val="00D4217D"/>
    <w:rsid w:val="00D42A87"/>
    <w:rsid w:val="00D441D7"/>
    <w:rsid w:val="00D44AC9"/>
    <w:rsid w:val="00D45C8D"/>
    <w:rsid w:val="00D50A6F"/>
    <w:rsid w:val="00D526A3"/>
    <w:rsid w:val="00D54E0F"/>
    <w:rsid w:val="00D65A6A"/>
    <w:rsid w:val="00D70F12"/>
    <w:rsid w:val="00D7198F"/>
    <w:rsid w:val="00D71BB8"/>
    <w:rsid w:val="00D72FA5"/>
    <w:rsid w:val="00D74117"/>
    <w:rsid w:val="00D810C9"/>
    <w:rsid w:val="00DB779F"/>
    <w:rsid w:val="00DD0175"/>
    <w:rsid w:val="00DD0E37"/>
    <w:rsid w:val="00DD64FA"/>
    <w:rsid w:val="00DE0B69"/>
    <w:rsid w:val="00DE4842"/>
    <w:rsid w:val="00DE5075"/>
    <w:rsid w:val="00DE5B23"/>
    <w:rsid w:val="00DF2B87"/>
    <w:rsid w:val="00DF648E"/>
    <w:rsid w:val="00DF68E0"/>
    <w:rsid w:val="00DF7898"/>
    <w:rsid w:val="00E1310A"/>
    <w:rsid w:val="00E20D3E"/>
    <w:rsid w:val="00E21E6F"/>
    <w:rsid w:val="00E373D5"/>
    <w:rsid w:val="00E37BB1"/>
    <w:rsid w:val="00E52CB7"/>
    <w:rsid w:val="00E65F76"/>
    <w:rsid w:val="00E80832"/>
    <w:rsid w:val="00E850EC"/>
    <w:rsid w:val="00E95ADF"/>
    <w:rsid w:val="00E967A2"/>
    <w:rsid w:val="00EA0AB8"/>
    <w:rsid w:val="00EA1496"/>
    <w:rsid w:val="00EA2933"/>
    <w:rsid w:val="00EA30FD"/>
    <w:rsid w:val="00EA76D7"/>
    <w:rsid w:val="00EB47C6"/>
    <w:rsid w:val="00ED763F"/>
    <w:rsid w:val="00EE6222"/>
    <w:rsid w:val="00EE684D"/>
    <w:rsid w:val="00EF16E1"/>
    <w:rsid w:val="00EF521D"/>
    <w:rsid w:val="00EF57BC"/>
    <w:rsid w:val="00EF6220"/>
    <w:rsid w:val="00F04DDD"/>
    <w:rsid w:val="00F1229F"/>
    <w:rsid w:val="00F177EF"/>
    <w:rsid w:val="00F24B78"/>
    <w:rsid w:val="00F277AA"/>
    <w:rsid w:val="00F32750"/>
    <w:rsid w:val="00F549CD"/>
    <w:rsid w:val="00F608ED"/>
    <w:rsid w:val="00F70F1F"/>
    <w:rsid w:val="00F76190"/>
    <w:rsid w:val="00F77ABC"/>
    <w:rsid w:val="00F8416E"/>
    <w:rsid w:val="00F94D97"/>
    <w:rsid w:val="00FA1C3B"/>
    <w:rsid w:val="00FA3FC2"/>
    <w:rsid w:val="00FA4314"/>
    <w:rsid w:val="00FB1396"/>
    <w:rsid w:val="00FB2CB0"/>
    <w:rsid w:val="00FD162D"/>
    <w:rsid w:val="00FD3A99"/>
    <w:rsid w:val="00FD5F95"/>
    <w:rsid w:val="00FD635B"/>
    <w:rsid w:val="00FD67E3"/>
    <w:rsid w:val="00FD71AE"/>
    <w:rsid w:val="00FD759F"/>
    <w:rsid w:val="00FE1F7B"/>
    <w:rsid w:val="00FE3076"/>
    <w:rsid w:val="00FE7D41"/>
    <w:rsid w:val="00FF11B7"/>
    <w:rsid w:val="00FF2358"/>
    <w:rsid w:val="00FF6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577B"/>
  <w15:docId w15:val="{1B6604E8-44A5-4D1E-9006-C01F1909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14"/>
    <w:qFormat/>
    <w:rsid w:val="008B4876"/>
  </w:style>
  <w:style w:type="character" w:customStyle="1" w:styleId="Rubrik4utannumreringChar">
    <w:name w:val="Rubrik 4 utan numrering Char"/>
    <w:basedOn w:val="Heading4Char"/>
    <w:link w:val="Rubrik4utannumrering"/>
    <w:uiPriority w:val="14"/>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qFormat/>
    <w:rsid w:val="008B4876"/>
    <w:pPr>
      <w:spacing w:after="60"/>
    </w:pPr>
    <w:rPr>
      <w:u w:val="single"/>
    </w:rPr>
  </w:style>
  <w:style w:type="character" w:customStyle="1" w:styleId="SlutstreckChar">
    <w:name w:val="Slutstreck Char"/>
    <w:basedOn w:val="BodyTextIndentChar"/>
    <w:link w:val="Slutstreck"/>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
    <w:name w:val="Hashtag"/>
    <w:basedOn w:val="DefaultParagraphFont"/>
    <w:uiPriority w:val="99"/>
    <w:semiHidden/>
    <w:rsid w:val="00646F34"/>
    <w:rPr>
      <w:color w:val="2B579A"/>
      <w:shd w:val="clear" w:color="auto" w:fill="E1DFDD"/>
    </w:rPr>
  </w:style>
  <w:style w:type="character" w:styleId="Mention">
    <w:name w:val="Mention"/>
    <w:basedOn w:val="DefaultParagraphFont"/>
    <w:uiPriority w:val="99"/>
    <w:semiHidden/>
    <w:rsid w:val="00646F34"/>
    <w:rPr>
      <w:color w:val="2B579A"/>
      <w:shd w:val="clear" w:color="auto" w:fill="E1DFDD"/>
    </w:rPr>
  </w:style>
  <w:style w:type="character" w:styleId="UnresolvedMention">
    <w:name w:val="Unresolved Mention"/>
    <w:basedOn w:val="DefaultParagraphFont"/>
    <w:uiPriority w:val="99"/>
    <w:semiHidden/>
    <w:rsid w:val="00646F34"/>
    <w:rPr>
      <w:color w:val="605E5C"/>
      <w:shd w:val="clear" w:color="auto" w:fill="E1DFDD"/>
    </w:rPr>
  </w:style>
  <w:style w:type="character" w:styleId="SmartHyperlink">
    <w:name w:val="Smart Hyperlink"/>
    <w:basedOn w:val="DefaultParagraphFont"/>
    <w:uiPriority w:val="99"/>
    <w:semiHidden/>
    <w:rsid w:val="00646F34"/>
    <w:rPr>
      <w:u w:val="dotted"/>
    </w:rPr>
  </w:style>
  <w:style w:type="character" w:styleId="SmartLink">
    <w:name w:val="Smart Link"/>
    <w:basedOn w:val="DefaultParagraphFont"/>
    <w:uiPriority w:val="99"/>
    <w:semiHidden/>
    <w:rsid w:val="00646F3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1D46B8C324B76B3CEC46700909471"/>
        <w:category>
          <w:name w:val="Allmänt"/>
          <w:gallery w:val="placeholder"/>
        </w:category>
        <w:types>
          <w:type w:val="bbPlcHdr"/>
        </w:types>
        <w:behaviors>
          <w:behavior w:val="content"/>
        </w:behaviors>
        <w:guid w:val="{99041850-4ADF-4F02-8010-C2C358BF3FE5}"/>
      </w:docPartPr>
      <w:docPartBody>
        <w:p w:rsidR="0083405B" w:rsidRDefault="00116015" w:rsidP="00116015">
          <w:r>
            <w:rPr>
              <w:rStyle w:val="PlaceholderText"/>
            </w:rPr>
            <w:t>Klik her for at indtaste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15"/>
    <w:rsid w:val="00116015"/>
    <w:rsid w:val="0083405B"/>
    <w:rsid w:val="00A92F4C"/>
    <w:rsid w:val="00B878EB"/>
    <w:rsid w:val="00C203FE"/>
    <w:rsid w:val="00CC7F5C"/>
    <w:rsid w:val="00D12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F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2021-03-26</HeaderDate>
    <Office/>
    <Dnr>M2021/</Dnr>
    <ParagrafNr/>
    <DocumentTitle/>
    <VisitingAddress/>
    <Extra1>extrainfo för denna mallm</Extra1>
    <Extra2>mer extrainfo</Extra2>
    <Extra3/>
    <Number/>
    <Recipient/>
    <SenderText/>
    <DocNumber/>
    <Doclanguage>1053</Doclanguage>
    <Appendix/>
    <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TSDR5AECP2XP-1839530900-53935</_dlc_DocId>
    <_dlc_DocIdUrl xmlns="6a372189-8514-43a9-a668-4622024340fc">
      <Url>https://dhs.sp.regeringskansliet.se/yta/m-r/_layouts/15/DocIdRedir.aspx?ID=TSDR5AECP2XP-1839530900-53935</Url>
      <Description>TSDR5AECP2XP-1839530900-53935</Description>
    </_dlc_DocIdUrl>
    <RKOrdnaClass xmlns="d4acd662-17ce-4a3b-8e84-c7c9f280a23c" xsi:nil="true"/>
    <RKOrdnaCheckInComment xmlns="d4acd662-17ce-4a3b-8e84-c7c9f280a2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C5FA5B09-8678-40D5-A305-364511F55171}">
  <ds:schemaRefs>
    <ds:schemaRef ds:uri="http://lp/documentinfo/RK"/>
  </ds:schemaRefs>
</ds:datastoreItem>
</file>

<file path=customXml/itemProps3.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6a372189-8514-43a9-a668-4622024340fc"/>
    <ds:schemaRef ds:uri="d4acd662-17ce-4a3b-8e84-c7c9f280a23c"/>
  </ds:schemaRefs>
</ds:datastoreItem>
</file>

<file path=customXml/itemProps4.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5.xml><?xml version="1.0" encoding="utf-8"?>
<ds:datastoreItem xmlns:ds="http://schemas.openxmlformats.org/officeDocument/2006/customXml" ds:itemID="{F040F898-B3FB-4EB0-8C1F-F030ABB2D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39FB88-DAC8-4639-8EC7-CDA9CB424C97}">
  <ds:schemaRefs>
    <ds:schemaRef ds:uri="http://schemas.microsoft.com/sharepoint/events"/>
  </ds:schemaRefs>
</ds:datastoreItem>
</file>

<file path=customXml/itemProps7.xml><?xml version="1.0" encoding="utf-8"?>
<ds:datastoreItem xmlns:ds="http://schemas.openxmlformats.org/officeDocument/2006/customXml" ds:itemID="{DE41085F-F65A-4FFB-8541-203F539B31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Template>
  <TotalTime>14</TotalTime>
  <Pages>7</Pages>
  <Words>2121</Words>
  <Characters>12705</Characters>
  <Application>Microsoft Office Word</Application>
  <DocSecurity>0</DocSecurity>
  <Lines>309</Lines>
  <Paragraphs>166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Förordning om engångsprodukter</vt:lpstr>
      <vt:lpstr>Förordning om engångsprodukter</vt:lpstr>
    </vt:vector>
  </TitlesOfParts>
  <Company>Regeringskansliet</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keywords>class='Internal'</cp:keywords>
  <cp:lastModifiedBy>Ines Varvodic</cp:lastModifiedBy>
  <cp:revision>2</cp:revision>
  <cp:lastPrinted>2016-10-14T09:17:00Z</cp:lastPrinted>
  <dcterms:created xsi:type="dcterms:W3CDTF">2022-05-31T09:17:00Z</dcterms:created>
  <dcterms:modified xsi:type="dcterms:W3CDTF">2022-05-31T09:17:00Z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6f5561cd-0e8a-4334-820a-626a8f3e949f</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ies>
</file>