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7C" w:rsidRPr="00180503" w:rsidRDefault="0000457C" w:rsidP="0000457C">
      <w:pPr>
        <w:pStyle w:val="12PromKlEinlSatz"/>
        <w:keepNext w:val="0"/>
        <w:spacing w:before="0" w:after="120" w:line="240" w:lineRule="auto"/>
        <w:ind w:firstLine="0"/>
        <w:jc w:val="center"/>
        <w:rPr>
          <w:rFonts w:ascii="Courier New" w:hAnsi="Courier New"/>
          <w:snapToGrid/>
        </w:rPr>
      </w:pPr>
      <w:r w:rsidRPr="00180503">
        <w:rPr>
          <w:rFonts w:ascii="Courier New" w:hAnsi="Courier New"/>
          <w:snapToGrid/>
        </w:rPr>
        <w:t>1. ------IND- 2019 0280 EE- BG- ------ 20190621 --- --- PROJ</w:t>
      </w:r>
      <w:bookmarkStart w:id="0" w:name="_GoBack"/>
      <w:bookmarkEnd w:id="0"/>
      <w:r w:rsidRPr="00180503">
        <w:rPr>
          <w:rFonts w:ascii="Courier New" w:hAnsi="Courier New"/>
          <w:snapToGrid/>
        </w:rPr>
        <w:t>ET</w:t>
      </w:r>
    </w:p>
    <w:p w:rsidR="00E97C8D" w:rsidRPr="00180503" w:rsidRDefault="0000457C" w:rsidP="0000457C">
      <w:pPr>
        <w:pStyle w:val="Default"/>
        <w:jc w:val="right"/>
      </w:pPr>
      <w:r w:rsidRPr="00180503">
        <w:t>ПРОЕКТ</w:t>
      </w:r>
    </w:p>
    <w:p w:rsidR="00E97C8D" w:rsidRPr="00180503" w:rsidRDefault="00E97C8D" w:rsidP="0000457C">
      <w:pPr>
        <w:pStyle w:val="Default"/>
        <w:jc w:val="right"/>
      </w:pPr>
      <w:r w:rsidRPr="00180503">
        <w:t>…….2019 г.</w:t>
      </w:r>
    </w:p>
    <w:p w:rsidR="006F0FE1" w:rsidRPr="00180503" w:rsidRDefault="006F0FE1" w:rsidP="0000457C">
      <w:pPr>
        <w:pStyle w:val="Default"/>
        <w:ind w:left="7788"/>
        <w:jc w:val="center"/>
      </w:pPr>
    </w:p>
    <w:p w:rsidR="00DF1C9F" w:rsidRPr="00180503" w:rsidRDefault="00DF1C9F" w:rsidP="0000457C">
      <w:pPr>
        <w:pStyle w:val="eelnupealkiri"/>
        <w:widowControl/>
        <w:rPr>
          <w:szCs w:val="32"/>
        </w:rPr>
      </w:pPr>
      <w:r w:rsidRPr="00180503">
        <w:t>Закон за изменение на Закона за тютюна</w:t>
      </w:r>
    </w:p>
    <w:p w:rsidR="00DF1C9F" w:rsidRPr="00180503" w:rsidRDefault="00DF1C9F" w:rsidP="0000457C">
      <w:pPr>
        <w:pStyle w:val="muudatustesissejuhatus"/>
        <w:keepNext/>
        <w:keepLines/>
        <w:widowControl/>
      </w:pPr>
      <w:r w:rsidRPr="00180503">
        <w:t>Законът за тютюна се изменя, както следва:</w:t>
      </w:r>
    </w:p>
    <w:p w:rsidR="00DF1C9F" w:rsidRPr="00180503" w:rsidRDefault="00DF1C9F" w:rsidP="0000457C">
      <w:pPr>
        <w:pStyle w:val="muutmisksk"/>
        <w:keepNext/>
        <w:keepLines/>
        <w:widowControl/>
      </w:pPr>
      <w:r w:rsidRPr="00180503">
        <w:rPr>
          <w:b/>
        </w:rPr>
        <w:t>1)</w:t>
      </w:r>
      <w:r w:rsidRPr="00180503">
        <w:t xml:space="preserve"> член 3, параграф 2 се изменя и формулира, както следва:</w:t>
      </w:r>
    </w:p>
    <w:p w:rsidR="00F3659F" w:rsidRPr="00180503" w:rsidRDefault="00F3659F" w:rsidP="0000457C">
      <w:pPr>
        <w:pStyle w:val="muutmisksk"/>
        <w:widowControl/>
      </w:pPr>
      <w:r w:rsidRPr="00180503">
        <w:t>„(2) Тютюневите изделия са категоризирани като изделия за пушене, както и бездимни тютюневи изделия и тютюневи изделия с нагряване.“;</w:t>
      </w:r>
    </w:p>
    <w:p w:rsidR="00CB4A82" w:rsidRPr="00180503" w:rsidRDefault="00CB4A82" w:rsidP="0000457C">
      <w:pPr>
        <w:pStyle w:val="muutmisksk"/>
        <w:keepNext/>
        <w:keepLines/>
        <w:widowControl/>
      </w:pPr>
      <w:r w:rsidRPr="00180503">
        <w:rPr>
          <w:b/>
        </w:rPr>
        <w:t>2)</w:t>
      </w:r>
      <w:r w:rsidRPr="00180503">
        <w:t xml:space="preserve"> член 3, параграф 4 се изменя и формулира, както следва:</w:t>
      </w:r>
    </w:p>
    <w:p w:rsidR="00F3659F" w:rsidRPr="00180503" w:rsidRDefault="00FA49AA" w:rsidP="0000457C">
      <w:pPr>
        <w:pStyle w:val="muutmisksk"/>
        <w:widowControl/>
      </w:pPr>
      <w:r w:rsidRPr="00180503">
        <w:t>„(4) Бездимно тютюнево изделие е тютюнево изделие (включително тютюн за дъвчене, тютюн за смъркане и тютюн за орална употреба), което не включва процес на горене и не е тютюнево изделие с нагряване.“;</w:t>
      </w:r>
    </w:p>
    <w:p w:rsidR="00F3659F" w:rsidRPr="00180503" w:rsidRDefault="006405C9" w:rsidP="0000457C">
      <w:pPr>
        <w:pStyle w:val="muutmisksk"/>
        <w:keepNext/>
        <w:keepLines/>
        <w:widowControl/>
      </w:pPr>
      <w:r w:rsidRPr="00180503">
        <w:rPr>
          <w:b/>
        </w:rPr>
        <w:t>3)</w:t>
      </w:r>
      <w:r w:rsidRPr="00180503">
        <w:t xml:space="preserve"> към член 3 се добавя параграф 6, който се формулира, както следва:</w:t>
      </w:r>
    </w:p>
    <w:p w:rsidR="00302BE2" w:rsidRPr="00180503" w:rsidRDefault="00F3659F" w:rsidP="0000457C">
      <w:pPr>
        <w:pStyle w:val="muutmisksk"/>
        <w:widowControl/>
      </w:pPr>
      <w:r w:rsidRPr="00180503">
        <w:t>„(6) Тютюнево изделие с нагряване е ново тютюнево изделие, което не включва процес на горене на тютюн и се консумира чрез използване на приспособление за нагряване на тютюна.“;</w:t>
      </w:r>
    </w:p>
    <w:p w:rsidR="00B0041E" w:rsidRPr="00180503" w:rsidRDefault="006405C9" w:rsidP="0000457C">
      <w:pPr>
        <w:pStyle w:val="muutmisksk"/>
        <w:keepNext/>
        <w:keepLines/>
        <w:widowControl/>
      </w:pPr>
      <w:r w:rsidRPr="00180503">
        <w:rPr>
          <w:b/>
        </w:rPr>
        <w:t>4)</w:t>
      </w:r>
      <w:r w:rsidRPr="00180503">
        <w:t xml:space="preserve"> член 8, параграф 5, първо изречение се формулира, както следва:</w:t>
      </w:r>
    </w:p>
    <w:p w:rsidR="00B0041E" w:rsidRPr="00180503" w:rsidRDefault="00B0041E" w:rsidP="0000457C">
      <w:pPr>
        <w:pStyle w:val="muutmisksk"/>
        <w:widowControl/>
      </w:pPr>
      <w:r w:rsidRPr="00180503">
        <w:t>„Цигари, тютюн за пушене за свиване на цигари, както и тютюнево изделие с нагряване не трябва да имат характерни вкусово-ароматни качества.“;</w:t>
      </w:r>
    </w:p>
    <w:p w:rsidR="000C419A" w:rsidRPr="00180503" w:rsidRDefault="000C419A" w:rsidP="0000457C">
      <w:pPr>
        <w:pStyle w:val="muutmisksk"/>
        <w:keepNext/>
        <w:keepLines/>
        <w:widowControl/>
      </w:pPr>
      <w:r w:rsidRPr="00180503">
        <w:rPr>
          <w:b/>
        </w:rPr>
        <w:t>5)</w:t>
      </w:r>
      <w:r w:rsidRPr="00180503">
        <w:t xml:space="preserve"> член 8, параграф 6, първо изречение се формулира, както следва:</w:t>
      </w:r>
    </w:p>
    <w:p w:rsidR="000C419A" w:rsidRPr="00180503" w:rsidRDefault="000C419A" w:rsidP="0000457C">
      <w:pPr>
        <w:pStyle w:val="muutmisksk"/>
        <w:widowControl/>
      </w:pPr>
      <w:r w:rsidRPr="00180503">
        <w:t>„Съдържанието на цигари, тютюн за пушене за свиване на цигари, както и на тютюневи изделия с нагряване — като например филтри, хартийки, опаковки и капсули — не трябва да се ароматизират.“;</w:t>
      </w:r>
    </w:p>
    <w:p w:rsidR="00F3659F" w:rsidRPr="00180503" w:rsidRDefault="00544F55" w:rsidP="0000457C">
      <w:pPr>
        <w:pStyle w:val="muutmisksk"/>
        <w:keepNext/>
        <w:keepLines/>
        <w:widowControl/>
      </w:pPr>
      <w:r w:rsidRPr="00180503">
        <w:rPr>
          <w:b/>
        </w:rPr>
        <w:t>6)</w:t>
      </w:r>
      <w:r w:rsidRPr="00180503">
        <w:t xml:space="preserve"> член 12, параграф 5, първо изречение се формулира, както следва:</w:t>
      </w:r>
    </w:p>
    <w:p w:rsidR="00F3659F" w:rsidRPr="00180503" w:rsidRDefault="002A4570" w:rsidP="0000457C">
      <w:pPr>
        <w:pStyle w:val="muutmisksk"/>
        <w:widowControl/>
      </w:pPr>
      <w:r w:rsidRPr="00180503">
        <w:t>„Информацията в параграф 1 от този раздел може да бъде представена върху стикери на първичната опаковка и на комбинирания пакет на тютюневото изделие, с изключение на цигари и тютюн за пушене за свиване на цигари.“;</w:t>
      </w:r>
    </w:p>
    <w:p w:rsidR="00CB4A82" w:rsidRPr="00180503" w:rsidRDefault="00544F55" w:rsidP="0000457C">
      <w:pPr>
        <w:pStyle w:val="muutmisksk"/>
        <w:keepNext/>
        <w:keepLines/>
        <w:widowControl/>
      </w:pPr>
      <w:r w:rsidRPr="00180503">
        <w:rPr>
          <w:b/>
        </w:rPr>
        <w:t>7</w:t>
      </w:r>
      <w:r w:rsidRPr="00180503">
        <w:t>) заглавието на член 13 се изменя и формулира, както следва:</w:t>
      </w:r>
    </w:p>
    <w:p w:rsidR="00CB4A82" w:rsidRPr="00180503" w:rsidRDefault="00CB4A82" w:rsidP="0000457C">
      <w:pPr>
        <w:pStyle w:val="muutmisksk"/>
        <w:widowControl/>
      </w:pPr>
      <w:r w:rsidRPr="00180503">
        <w:t>„</w:t>
      </w:r>
      <w:r w:rsidRPr="00180503">
        <w:rPr>
          <w:b/>
        </w:rPr>
        <w:t>Член 13. Здравни предупреждения за тютюневи изделия за пушене</w:t>
      </w:r>
      <w:r w:rsidRPr="00180503">
        <w:t>“;</w:t>
      </w:r>
    </w:p>
    <w:p w:rsidR="00CB4A82" w:rsidRPr="00180503" w:rsidRDefault="00544F55" w:rsidP="0000457C">
      <w:pPr>
        <w:pStyle w:val="muutmisksk"/>
        <w:keepNext/>
        <w:keepLines/>
        <w:widowControl/>
      </w:pPr>
      <w:r w:rsidRPr="00180503">
        <w:rPr>
          <w:b/>
        </w:rPr>
        <w:t>8)</w:t>
      </w:r>
      <w:r w:rsidRPr="00180503">
        <w:t xml:space="preserve"> член 13, параграф 1 се изменя и формулира, както следва:</w:t>
      </w:r>
    </w:p>
    <w:p w:rsidR="00CB4A82" w:rsidRPr="00180503" w:rsidRDefault="00CB4A82" w:rsidP="0000457C">
      <w:pPr>
        <w:pStyle w:val="muutmisksk"/>
        <w:widowControl/>
      </w:pPr>
      <w:r w:rsidRPr="00180503">
        <w:t>„(1) Здравните предупреждения за тютюневи изделия за пушене са разделени на общи предупреждения, информационни съобщения и комбинирани здравни предупреждения.“;</w:t>
      </w:r>
    </w:p>
    <w:p w:rsidR="00CB4A82" w:rsidRPr="00180503" w:rsidRDefault="00544F55" w:rsidP="0000457C">
      <w:pPr>
        <w:pStyle w:val="muutmisksk"/>
        <w:keepNext/>
        <w:keepLines/>
        <w:widowControl/>
      </w:pPr>
      <w:r w:rsidRPr="00180503">
        <w:rPr>
          <w:b/>
        </w:rPr>
        <w:lastRenderedPageBreak/>
        <w:t>9)</w:t>
      </w:r>
      <w:r w:rsidRPr="00180503">
        <w:t xml:space="preserve"> законът се допълва с член 13</w:t>
      </w:r>
      <w:r w:rsidRPr="00180503">
        <w:rPr>
          <w:vertAlign w:val="superscript"/>
        </w:rPr>
        <w:t>1</w:t>
      </w:r>
      <w:r w:rsidRPr="00180503">
        <w:t>, както следва:</w:t>
      </w:r>
    </w:p>
    <w:p w:rsidR="00CB4A82" w:rsidRPr="00180503" w:rsidRDefault="00CB4A82" w:rsidP="0000457C">
      <w:pPr>
        <w:pStyle w:val="muutmisksk"/>
        <w:widowControl/>
        <w:rPr>
          <w:b/>
        </w:rPr>
      </w:pPr>
      <w:r w:rsidRPr="00180503">
        <w:t>„</w:t>
      </w:r>
      <w:r w:rsidRPr="00180503">
        <w:rPr>
          <w:b/>
        </w:rPr>
        <w:t>13</w:t>
      </w:r>
      <w:r w:rsidRPr="00180503">
        <w:rPr>
          <w:b/>
          <w:vertAlign w:val="superscript"/>
        </w:rPr>
        <w:t>1</w:t>
      </w:r>
      <w:r w:rsidRPr="00180503">
        <w:rPr>
          <w:b/>
        </w:rPr>
        <w:t>. Здравни предупреждения за тютюневи изделия с нагряване</w:t>
      </w:r>
    </w:p>
    <w:p w:rsidR="00FA49AA" w:rsidRPr="00180503" w:rsidRDefault="00FA49AA" w:rsidP="0000457C">
      <w:pPr>
        <w:pStyle w:val="muutmisksk"/>
        <w:widowControl/>
      </w:pPr>
      <w:r w:rsidRPr="00180503">
        <w:t>(1) Всяка първична опаковка и комбиниран пакет на тютюнево изделие с нагряване трябва да включват следното здравно предупреждение:</w:t>
      </w:r>
    </w:p>
    <w:p w:rsidR="00FA49AA" w:rsidRPr="00180503" w:rsidRDefault="00FA49AA" w:rsidP="0000457C">
      <w:pPr>
        <w:pStyle w:val="muudetavtekst"/>
      </w:pPr>
      <w:r w:rsidRPr="00180503">
        <w:t>„Това тютюнево изделие може да увреди здравето Ви и създава зависимост.“.</w:t>
      </w:r>
    </w:p>
    <w:p w:rsidR="00FA49AA" w:rsidRPr="00180503" w:rsidRDefault="00D5650D" w:rsidP="0000457C">
      <w:pPr>
        <w:pStyle w:val="muutmisksk"/>
        <w:widowControl/>
      </w:pPr>
      <w:r w:rsidRPr="00180503">
        <w:t>(2) Здравното предупреждение, посочено в параграф 1 от този раздел, трябва да отговаря на изискванията, посочени в член 16, параграфи 6, 10, 11 и 12 от настоящия закон.</w:t>
      </w:r>
    </w:p>
    <w:p w:rsidR="00FA49AA" w:rsidRPr="00180503" w:rsidRDefault="00D5650D" w:rsidP="0000457C">
      <w:pPr>
        <w:pStyle w:val="muutmisksk"/>
        <w:widowControl/>
      </w:pPr>
      <w:r w:rsidRPr="00180503">
        <w:t>(3) В допълнение към разпоредбите на параграф 2 от този раздел, здравно предупреждение за тютюневи изделия с нагряване трябва:</w:t>
      </w:r>
    </w:p>
    <w:p w:rsidR="00FA49AA" w:rsidRPr="00180503" w:rsidRDefault="00D5650D" w:rsidP="0000457C">
      <w:pPr>
        <w:pStyle w:val="muudetavtekst"/>
      </w:pPr>
      <w:r w:rsidRPr="00180503">
        <w:t>1) върху опаковките с форма на правоъгълен паралелепипед и всеки комбиниран пакет, да е успоредно на страничния ръб на първичната опаковка или комбинирания пакет. Текстът на здравните предупреждения трябва да бъде успореден на основния текст върху пространството, запазено за тези предупреждения;</w:t>
      </w:r>
    </w:p>
    <w:p w:rsidR="00FA49AA" w:rsidRPr="00180503" w:rsidRDefault="00D5650D" w:rsidP="0000457C">
      <w:pPr>
        <w:pStyle w:val="muudetavtekst"/>
      </w:pPr>
      <w:r w:rsidRPr="00180503">
        <w:t>2) да бъде разположен върху двете най-големи повърхности на първичната опаковка и на всеки комбиниран пакет;</w:t>
      </w:r>
    </w:p>
    <w:p w:rsidR="00CB4A82" w:rsidRPr="00180503" w:rsidRDefault="00D5650D" w:rsidP="0000457C">
      <w:pPr>
        <w:pStyle w:val="muudetavtekst"/>
      </w:pPr>
      <w:r w:rsidRPr="00180503">
        <w:t>3) да обхваща 30 % от повърхностите на първичната опаковка и на всеки комбиниран пакет.“;</w:t>
      </w:r>
    </w:p>
    <w:p w:rsidR="00D5650D" w:rsidRPr="00180503" w:rsidRDefault="00544F55" w:rsidP="0000457C">
      <w:pPr>
        <w:pStyle w:val="muutmisksk"/>
        <w:keepNext/>
        <w:keepLines/>
        <w:widowControl/>
      </w:pPr>
      <w:r w:rsidRPr="00180503">
        <w:rPr>
          <w:b/>
        </w:rPr>
        <w:t>10)</w:t>
      </w:r>
      <w:r w:rsidRPr="00180503">
        <w:t xml:space="preserve"> член 27, параграф 1 се изменя и формулира, както следва:</w:t>
      </w:r>
    </w:p>
    <w:p w:rsidR="00D5650D" w:rsidRPr="00180503" w:rsidRDefault="00D5650D" w:rsidP="0000457C">
      <w:pPr>
        <w:pStyle w:val="muutmisksk"/>
        <w:widowControl/>
      </w:pPr>
      <w:r w:rsidRPr="00180503">
        <w:t xml:space="preserve">„(1) Лице на възраст под осемнадесет години (наричано по-долу: </w:t>
      </w:r>
      <w:r w:rsidRPr="00180503">
        <w:rPr>
          <w:i/>
        </w:rPr>
        <w:t>непълнолетно лице</w:t>
      </w:r>
      <w:r w:rsidRPr="00180503">
        <w:t>) няма право да пуши или да използва тютюнево изделие или изделие, използвано по същия начин като тютюневите изделия.“;</w:t>
      </w:r>
    </w:p>
    <w:p w:rsidR="00D5650D" w:rsidRPr="00180503" w:rsidRDefault="00544F55" w:rsidP="0000457C">
      <w:pPr>
        <w:pStyle w:val="muutmisksk"/>
        <w:keepNext/>
        <w:keepLines/>
        <w:widowControl/>
      </w:pPr>
      <w:r w:rsidRPr="00180503">
        <w:rPr>
          <w:b/>
        </w:rPr>
        <w:t>11)</w:t>
      </w:r>
      <w:r w:rsidRPr="00180503">
        <w:t xml:space="preserve"> член 29, параграф 2 се изменя и формулира, както следва:</w:t>
      </w:r>
    </w:p>
    <w:p w:rsidR="00D5650D" w:rsidRPr="00180503" w:rsidRDefault="001B35A3" w:rsidP="0000457C">
      <w:pPr>
        <w:pStyle w:val="muutmisksk"/>
        <w:widowControl/>
      </w:pPr>
      <w:r w:rsidRPr="00180503">
        <w:t>„(2) Забраната, определена в параграф 1 от този раздел, се прилага за електронни цигари и тютюнево изделие с нагряване, а параграф 1, точки 1 и 2 също и за други изделия, използвани по същия начин като тютюневите изделия.“;</w:t>
      </w:r>
    </w:p>
    <w:p w:rsidR="00D5650D" w:rsidRPr="00180503" w:rsidRDefault="00544F55" w:rsidP="0000457C">
      <w:pPr>
        <w:pStyle w:val="muutmisksk"/>
        <w:keepNext/>
        <w:keepLines/>
        <w:widowControl/>
      </w:pPr>
      <w:r w:rsidRPr="00180503">
        <w:rPr>
          <w:b/>
        </w:rPr>
        <w:t>12)</w:t>
      </w:r>
      <w:r w:rsidRPr="00180503">
        <w:t xml:space="preserve"> член 30, параграф 5 се изменя и формулира, както следва:</w:t>
      </w:r>
    </w:p>
    <w:p w:rsidR="00D5650D" w:rsidRPr="00180503" w:rsidRDefault="009F6B90" w:rsidP="0000457C">
      <w:pPr>
        <w:pStyle w:val="muutmisksk"/>
        <w:widowControl/>
      </w:pPr>
      <w:r w:rsidRPr="00180503">
        <w:t>„(5) Ограниченията, определени в параграф 2 от този раздел, се прилагат също и за употребата на електронни цигари и тютюневи изделия с нагряване.“;</w:t>
      </w:r>
    </w:p>
    <w:p w:rsidR="00C3258B" w:rsidRPr="00180503" w:rsidRDefault="00544F55" w:rsidP="0000457C">
      <w:pPr>
        <w:pStyle w:val="muutmisksk"/>
        <w:keepNext/>
        <w:keepLines/>
        <w:widowControl/>
      </w:pPr>
      <w:r w:rsidRPr="00180503">
        <w:rPr>
          <w:b/>
        </w:rPr>
        <w:t xml:space="preserve">13) </w:t>
      </w:r>
      <w:r w:rsidRPr="00180503">
        <w:t>член 31 се изменя и формулира, както следва:</w:t>
      </w:r>
    </w:p>
    <w:p w:rsidR="00C3258B" w:rsidRPr="00180503" w:rsidRDefault="00C3258B" w:rsidP="0000457C">
      <w:pPr>
        <w:pStyle w:val="muutmisksk"/>
        <w:widowControl/>
        <w:rPr>
          <w:b/>
        </w:rPr>
      </w:pPr>
      <w:r w:rsidRPr="00180503">
        <w:t>„</w:t>
      </w:r>
      <w:r w:rsidRPr="00180503">
        <w:rPr>
          <w:b/>
        </w:rPr>
        <w:t>Член 31</w:t>
      </w:r>
      <w:r w:rsidRPr="00180503">
        <w:rPr>
          <w:b/>
        </w:rPr>
        <w:t>. Пушене и употреба на тютюневи изделия с нагряване в заведения за обществено хранене</w:t>
      </w:r>
    </w:p>
    <w:p w:rsidR="00C3258B" w:rsidRPr="00180503" w:rsidRDefault="00C3258B" w:rsidP="0000457C">
      <w:pPr>
        <w:pStyle w:val="muutmisksk"/>
        <w:widowControl/>
      </w:pPr>
      <w:r w:rsidRPr="00180503">
        <w:t>(1) В заведения за обществено хранене пушенето и употребата на тютюневи изделия с нагряване са позволени само в специално предназначени места за пушене (стаи за пушене) или в сезонно разширявана външна зона в непосредствена близост до заведението за обществено хранене.</w:t>
      </w:r>
    </w:p>
    <w:p w:rsidR="00C3258B" w:rsidRPr="00180503" w:rsidRDefault="00C3258B" w:rsidP="0000457C">
      <w:pPr>
        <w:pStyle w:val="muutmisksk"/>
        <w:widowControl/>
      </w:pPr>
      <w:r w:rsidRPr="00180503">
        <w:lastRenderedPageBreak/>
        <w:t>(2) Стаята за пушене, посочена в параграф 1 от този раздел, не бива да се обслужва по отношение на продажбата на храна, което включва нейното приготвяне и сервиране за консумация в помещенията или нейното сервиране за консумация в помещенията.</w:t>
      </w:r>
    </w:p>
    <w:p w:rsidR="00C3258B" w:rsidRPr="00180503" w:rsidRDefault="00C3258B" w:rsidP="0000457C">
      <w:pPr>
        <w:pStyle w:val="muutmisksk"/>
        <w:widowControl/>
      </w:pPr>
      <w:r w:rsidRPr="00180503">
        <w:t>(3) Продавачът ще има правото да отказва обслужването на лице, което игнорира забраните и ограниченията относно пушенето и употребата на тютюневи изделия с нагряване в заведението за обществено хранене, и да го помоли да напусне помещенията.“;</w:t>
      </w:r>
    </w:p>
    <w:p w:rsidR="009F6B90" w:rsidRPr="00180503" w:rsidRDefault="00C3258B" w:rsidP="0000457C">
      <w:pPr>
        <w:pStyle w:val="muutmisksk"/>
        <w:keepNext/>
        <w:keepLines/>
        <w:widowControl/>
      </w:pPr>
      <w:r w:rsidRPr="00180503">
        <w:rPr>
          <w:b/>
        </w:rPr>
        <w:t>14</w:t>
      </w:r>
      <w:r w:rsidRPr="00180503">
        <w:t>) текстът на член 47 се изменя и формулира, както следва:</w:t>
      </w:r>
    </w:p>
    <w:p w:rsidR="009F6B90" w:rsidRPr="00180503" w:rsidRDefault="009F6B90" w:rsidP="0000457C">
      <w:pPr>
        <w:pStyle w:val="muutmisksk"/>
        <w:widowControl/>
      </w:pPr>
      <w:r w:rsidRPr="00180503">
        <w:t>„Пушенето или употребата на тютюнево изделие или на изделие, използвано по същия начин като тютюневите изделия, от непълнолетни лица се наказва с глоба до 10 наказателни единици.“;</w:t>
      </w:r>
    </w:p>
    <w:p w:rsidR="009C5189" w:rsidRPr="00180503" w:rsidRDefault="00C3258B" w:rsidP="0000457C">
      <w:pPr>
        <w:pStyle w:val="muutmisksk"/>
        <w:keepNext/>
        <w:keepLines/>
        <w:widowControl/>
      </w:pPr>
      <w:r w:rsidRPr="00180503">
        <w:rPr>
          <w:b/>
        </w:rPr>
        <w:t>15</w:t>
      </w:r>
      <w:r w:rsidRPr="00180503">
        <w:t>) текстът на член 49 се изменя и формулира, както следва:</w:t>
      </w:r>
    </w:p>
    <w:p w:rsidR="009C5189" w:rsidRPr="00180503" w:rsidRDefault="009C5189" w:rsidP="0000457C">
      <w:pPr>
        <w:pStyle w:val="muutmisksk"/>
        <w:widowControl/>
      </w:pPr>
      <w:r w:rsidRPr="00180503">
        <w:t>„Пушенето или консумацията на тютюнево изделие с нагряване или на изделие, използвано по същия начин като тютюневите изделия, на място, на което пушенето или употребата на тютюнево изделие с нагряване или на изделие, използвано по същия начин като тютюневите изделия, е забранено, се наказва с глоба до 20 наказателни единици.“;</w:t>
      </w:r>
    </w:p>
    <w:p w:rsidR="009C5189" w:rsidRPr="00180503" w:rsidRDefault="00C3258B" w:rsidP="0000457C">
      <w:pPr>
        <w:pStyle w:val="muutmisksk"/>
        <w:keepNext/>
        <w:keepLines/>
        <w:widowControl/>
      </w:pPr>
      <w:r w:rsidRPr="00180503">
        <w:rPr>
          <w:b/>
        </w:rPr>
        <w:t>16)</w:t>
      </w:r>
      <w:r w:rsidRPr="00180503">
        <w:t xml:space="preserve"> член 50, параграф 1 се изменя и формулира, както следва:</w:t>
      </w:r>
    </w:p>
    <w:p w:rsidR="009C5189" w:rsidRPr="00180503" w:rsidRDefault="009C5189" w:rsidP="0000457C">
      <w:pPr>
        <w:pStyle w:val="muutmisksk"/>
        <w:widowControl/>
      </w:pPr>
      <w:r w:rsidRPr="00180503">
        <w:t>„(1) Позволяването да се пуши или употребява тютюнево изделие с нагряване или изделие, използвано по същия начин като тютюневите изделия, на място, на което, съгласно закона, пушенето или употребата на тютюнево изделие с нагряване или на изделие, използвано по същия начин като тютюневите изделия, не е позволено, както и нарушаването на изискванията на стаята за пушене, се наказват с глоба до 200 наказателни единици.“;</w:t>
      </w:r>
    </w:p>
    <w:p w:rsidR="000F1F61" w:rsidRPr="00180503" w:rsidRDefault="000F1F61" w:rsidP="0000457C">
      <w:pPr>
        <w:pStyle w:val="muutmisksk"/>
        <w:widowControl/>
      </w:pPr>
      <w:r w:rsidRPr="00180503">
        <w:t>Председател на парламента на Естония</w:t>
      </w:r>
    </w:p>
    <w:p w:rsidR="000F1F61" w:rsidRPr="00180503" w:rsidRDefault="000F1F61" w:rsidP="0000457C">
      <w:pPr>
        <w:pStyle w:val="muutmisksk"/>
        <w:widowControl/>
      </w:pPr>
      <w:r w:rsidRPr="00180503">
        <w:t>Талин, ........................... 2019 г.</w:t>
      </w:r>
    </w:p>
    <w:p w:rsidR="000F1F61" w:rsidRPr="00180503" w:rsidRDefault="000F1F61" w:rsidP="0000457C">
      <w:pPr>
        <w:pStyle w:val="muutmisksk"/>
        <w:widowControl/>
      </w:pPr>
      <w:r w:rsidRPr="00180503">
        <w:t>Инициирано от правителството на Републиката на ............... 2019 г.</w:t>
      </w:r>
    </w:p>
    <w:p w:rsidR="000F1F61" w:rsidRPr="00180503" w:rsidRDefault="000F1F61" w:rsidP="0000457C">
      <w:pPr>
        <w:pStyle w:val="muutmisksk"/>
        <w:widowControl/>
      </w:pPr>
      <w:r w:rsidRPr="00180503">
        <w:t>Цифров подпис</w:t>
      </w:r>
    </w:p>
    <w:sectPr w:rsidR="000F1F61" w:rsidRPr="0018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D1" w:rsidRDefault="004B08D1" w:rsidP="0000457C">
      <w:pPr>
        <w:spacing w:after="0" w:line="240" w:lineRule="auto"/>
      </w:pPr>
      <w:r>
        <w:separator/>
      </w:r>
    </w:p>
  </w:endnote>
  <w:endnote w:type="continuationSeparator" w:id="0">
    <w:p w:rsidR="004B08D1" w:rsidRDefault="004B08D1" w:rsidP="0000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D1" w:rsidRDefault="004B08D1" w:rsidP="0000457C">
      <w:pPr>
        <w:spacing w:after="0" w:line="240" w:lineRule="auto"/>
      </w:pPr>
      <w:r>
        <w:separator/>
      </w:r>
    </w:p>
  </w:footnote>
  <w:footnote w:type="continuationSeparator" w:id="0">
    <w:p w:rsidR="004B08D1" w:rsidRDefault="004B08D1" w:rsidP="00004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9F"/>
    <w:rsid w:val="0000457C"/>
    <w:rsid w:val="00056899"/>
    <w:rsid w:val="000707A0"/>
    <w:rsid w:val="00083F9E"/>
    <w:rsid w:val="0009318D"/>
    <w:rsid w:val="000C419A"/>
    <w:rsid w:val="000F1F61"/>
    <w:rsid w:val="00117FE9"/>
    <w:rsid w:val="00180503"/>
    <w:rsid w:val="001A0F14"/>
    <w:rsid w:val="001B35A3"/>
    <w:rsid w:val="0028759C"/>
    <w:rsid w:val="00292FDA"/>
    <w:rsid w:val="002A4570"/>
    <w:rsid w:val="00302BE2"/>
    <w:rsid w:val="00316DFA"/>
    <w:rsid w:val="00342FCA"/>
    <w:rsid w:val="004371FC"/>
    <w:rsid w:val="004628AB"/>
    <w:rsid w:val="004A3CE7"/>
    <w:rsid w:val="004B08D1"/>
    <w:rsid w:val="004E2E5A"/>
    <w:rsid w:val="004F68F8"/>
    <w:rsid w:val="00544F55"/>
    <w:rsid w:val="00576D82"/>
    <w:rsid w:val="006405C9"/>
    <w:rsid w:val="006A413B"/>
    <w:rsid w:val="006F0FE1"/>
    <w:rsid w:val="00702706"/>
    <w:rsid w:val="0074406D"/>
    <w:rsid w:val="00762D57"/>
    <w:rsid w:val="00763AA4"/>
    <w:rsid w:val="00787AB4"/>
    <w:rsid w:val="007B3F29"/>
    <w:rsid w:val="007C37B1"/>
    <w:rsid w:val="00830A4B"/>
    <w:rsid w:val="008C30DF"/>
    <w:rsid w:val="008D1695"/>
    <w:rsid w:val="00917A01"/>
    <w:rsid w:val="00937BD8"/>
    <w:rsid w:val="00952903"/>
    <w:rsid w:val="00982C65"/>
    <w:rsid w:val="00986D51"/>
    <w:rsid w:val="009C5189"/>
    <w:rsid w:val="009F6B90"/>
    <w:rsid w:val="00A228FC"/>
    <w:rsid w:val="00A32CCA"/>
    <w:rsid w:val="00B0041E"/>
    <w:rsid w:val="00BC7517"/>
    <w:rsid w:val="00BD2AD3"/>
    <w:rsid w:val="00C3258B"/>
    <w:rsid w:val="00C57B18"/>
    <w:rsid w:val="00C71875"/>
    <w:rsid w:val="00C71CDF"/>
    <w:rsid w:val="00C74A67"/>
    <w:rsid w:val="00CB4A82"/>
    <w:rsid w:val="00CF6953"/>
    <w:rsid w:val="00D5650D"/>
    <w:rsid w:val="00DD0CD1"/>
    <w:rsid w:val="00DF1C9F"/>
    <w:rsid w:val="00E271A0"/>
    <w:rsid w:val="00E51B56"/>
    <w:rsid w:val="00E97C8D"/>
    <w:rsid w:val="00EA1E2C"/>
    <w:rsid w:val="00EB24C5"/>
    <w:rsid w:val="00F313F5"/>
    <w:rsid w:val="00F3659F"/>
    <w:rsid w:val="00F44C04"/>
    <w:rsid w:val="00F7405A"/>
    <w:rsid w:val="00F757D9"/>
    <w:rsid w:val="00FA49AA"/>
    <w:rsid w:val="00FB29EC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lnupealkiri">
    <w:name w:val="eelnõu pealkiri"/>
    <w:basedOn w:val="Normal"/>
    <w:qFormat/>
    <w:rsid w:val="00DF1C9F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pealkiri">
    <w:name w:val="§_pealkiri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muutmisksk">
    <w:name w:val="muutmiskäsk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atustesissejuhatus">
    <w:name w:val="muudatuste sissejuhatus"/>
    <w:basedOn w:val="Normal"/>
    <w:next w:val="muutmisksk"/>
    <w:qFormat/>
    <w:rsid w:val="00DF1C9F"/>
    <w:pPr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">
    <w:name w:val="muudetav tekst"/>
    <w:basedOn w:val="Normal"/>
    <w:qFormat/>
    <w:rsid w:val="00DF1C9F"/>
    <w:pPr>
      <w:suppressAutoHyphens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boldis">
    <w:name w:val="muudetav tekst boldis"/>
    <w:basedOn w:val="muudetavtekst"/>
    <w:qFormat/>
    <w:rsid w:val="00DF1C9F"/>
    <w:pPr>
      <w:jc w:val="left"/>
    </w:pPr>
    <w:rPr>
      <w:rFonts w:eastAsia="MS Gothic"/>
      <w:b/>
    </w:rPr>
  </w:style>
  <w:style w:type="paragraph" w:customStyle="1" w:styleId="muudetavtekstalljoonega">
    <w:name w:val="muudetav tekst alljoonega"/>
    <w:basedOn w:val="muudetavtekst"/>
    <w:qFormat/>
    <w:rsid w:val="00DF1C9F"/>
    <w:rPr>
      <w:u w:val="single"/>
    </w:rPr>
  </w:style>
  <w:style w:type="paragraph" w:customStyle="1" w:styleId="muutmiskskalljoonega">
    <w:name w:val="muutmiskäsk alljoonega"/>
    <w:basedOn w:val="muutmisksk"/>
    <w:qFormat/>
    <w:rsid w:val="00DF1C9F"/>
    <w:rPr>
      <w:u w:val="single"/>
    </w:rPr>
  </w:style>
  <w:style w:type="paragraph" w:customStyle="1" w:styleId="justumisetekst">
    <w:name w:val="jõustumise tekst"/>
    <w:basedOn w:val="muudetavtekst"/>
    <w:next w:val="Normal"/>
    <w:qFormat/>
    <w:rsid w:val="00DF1C9F"/>
    <w:pPr>
      <w:spacing w:before="120" w:after="120"/>
    </w:pPr>
  </w:style>
  <w:style w:type="character" w:customStyle="1" w:styleId="tyhik">
    <w:name w:val="tyhik"/>
    <w:rsid w:val="00DF1C9F"/>
    <w:rPr>
      <w:rFonts w:ascii="Times New Roman" w:hAnsi="Times New Roman" w:cs="Times New Roman" w:hint="default"/>
    </w:rPr>
  </w:style>
  <w:style w:type="paragraph" w:customStyle="1" w:styleId="Default">
    <w:name w:val="Default"/>
    <w:rsid w:val="00E97C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7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75"/>
    <w:rPr>
      <w:rFonts w:ascii="Segoe UI" w:hAnsi="Segoe UI" w:cs="Segoe UI"/>
      <w:sz w:val="18"/>
      <w:szCs w:val="18"/>
    </w:rPr>
  </w:style>
  <w:style w:type="paragraph" w:customStyle="1" w:styleId="12PromKlEinlSatz">
    <w:name w:val="12_PromKl_EinlSatz"/>
    <w:basedOn w:val="Normal"/>
    <w:next w:val="Normal"/>
    <w:rsid w:val="0000457C"/>
    <w:pPr>
      <w:keepNext/>
      <w:spacing w:before="160" w:after="0" w:line="220" w:lineRule="exact"/>
      <w:ind w:firstLine="397"/>
      <w:jc w:val="both"/>
    </w:pPr>
    <w:rPr>
      <w:rFonts w:ascii="Times New Roman" w:eastAsia="Times New Roman" w:hAnsi="Times New Roman"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57C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57C"/>
    <w:rPr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lnupealkiri">
    <w:name w:val="eelnõu pealkiri"/>
    <w:basedOn w:val="Normal"/>
    <w:qFormat/>
    <w:rsid w:val="00DF1C9F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pealkiri">
    <w:name w:val="§_pealkiri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muutmisksk">
    <w:name w:val="muutmiskäsk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atustesissejuhatus">
    <w:name w:val="muudatuste sissejuhatus"/>
    <w:basedOn w:val="Normal"/>
    <w:next w:val="muutmisksk"/>
    <w:qFormat/>
    <w:rsid w:val="00DF1C9F"/>
    <w:pPr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">
    <w:name w:val="muudetav tekst"/>
    <w:basedOn w:val="Normal"/>
    <w:qFormat/>
    <w:rsid w:val="00DF1C9F"/>
    <w:pPr>
      <w:suppressAutoHyphens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boldis">
    <w:name w:val="muudetav tekst boldis"/>
    <w:basedOn w:val="muudetavtekst"/>
    <w:qFormat/>
    <w:rsid w:val="00DF1C9F"/>
    <w:pPr>
      <w:jc w:val="left"/>
    </w:pPr>
    <w:rPr>
      <w:rFonts w:eastAsia="MS Gothic"/>
      <w:b/>
    </w:rPr>
  </w:style>
  <w:style w:type="paragraph" w:customStyle="1" w:styleId="muudetavtekstalljoonega">
    <w:name w:val="muudetav tekst alljoonega"/>
    <w:basedOn w:val="muudetavtekst"/>
    <w:qFormat/>
    <w:rsid w:val="00DF1C9F"/>
    <w:rPr>
      <w:u w:val="single"/>
    </w:rPr>
  </w:style>
  <w:style w:type="paragraph" w:customStyle="1" w:styleId="muutmiskskalljoonega">
    <w:name w:val="muutmiskäsk alljoonega"/>
    <w:basedOn w:val="muutmisksk"/>
    <w:qFormat/>
    <w:rsid w:val="00DF1C9F"/>
    <w:rPr>
      <w:u w:val="single"/>
    </w:rPr>
  </w:style>
  <w:style w:type="paragraph" w:customStyle="1" w:styleId="justumisetekst">
    <w:name w:val="jõustumise tekst"/>
    <w:basedOn w:val="muudetavtekst"/>
    <w:next w:val="Normal"/>
    <w:qFormat/>
    <w:rsid w:val="00DF1C9F"/>
    <w:pPr>
      <w:spacing w:before="120" w:after="120"/>
    </w:pPr>
  </w:style>
  <w:style w:type="character" w:customStyle="1" w:styleId="tyhik">
    <w:name w:val="tyhik"/>
    <w:rsid w:val="00DF1C9F"/>
    <w:rPr>
      <w:rFonts w:ascii="Times New Roman" w:hAnsi="Times New Roman" w:cs="Times New Roman" w:hint="default"/>
    </w:rPr>
  </w:style>
  <w:style w:type="paragraph" w:customStyle="1" w:styleId="Default">
    <w:name w:val="Default"/>
    <w:rsid w:val="00E97C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7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75"/>
    <w:rPr>
      <w:rFonts w:ascii="Segoe UI" w:hAnsi="Segoe UI" w:cs="Segoe UI"/>
      <w:sz w:val="18"/>
      <w:szCs w:val="18"/>
    </w:rPr>
  </w:style>
  <w:style w:type="paragraph" w:customStyle="1" w:styleId="12PromKlEinlSatz">
    <w:name w:val="12_PromKl_EinlSatz"/>
    <w:basedOn w:val="Normal"/>
    <w:next w:val="Normal"/>
    <w:rsid w:val="0000457C"/>
    <w:pPr>
      <w:keepNext/>
      <w:spacing w:before="160" w:after="0" w:line="220" w:lineRule="exact"/>
      <w:ind w:firstLine="397"/>
      <w:jc w:val="both"/>
    </w:pPr>
    <w:rPr>
      <w:rFonts w:ascii="Times New Roman" w:eastAsia="Times New Roman" w:hAnsi="Times New Roman"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57C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57C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83C2-F991-4AF6-A40C-CC2C94F5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RIK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 Sarapuu</dc:creator>
  <cp:lastModifiedBy>reviser</cp:lastModifiedBy>
  <cp:revision>2</cp:revision>
  <cp:lastPrinted>2019-03-26T14:28:00Z</cp:lastPrinted>
  <dcterms:created xsi:type="dcterms:W3CDTF">2019-06-21T10:25:00Z</dcterms:created>
  <dcterms:modified xsi:type="dcterms:W3CDTF">2019-06-21T10:25:00Z</dcterms:modified>
</cp:coreProperties>
</file>