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6BF7A" w14:textId="77777777" w:rsidR="0000457C" w:rsidRPr="00231015" w:rsidRDefault="0000457C" w:rsidP="0000457C">
      <w:pPr>
        <w:pStyle w:val="12PromKlEinlSatz"/>
        <w:keepNext w:val="0"/>
        <w:spacing w:before="0" w:after="120" w:line="240" w:lineRule="auto"/>
        <w:ind w:firstLine="0"/>
        <w:jc w:val="center"/>
        <w:rPr>
          <w:rFonts w:ascii="Courier New" w:hAnsi="Courier New"/>
          <w:snapToGrid/>
        </w:rPr>
      </w:pPr>
      <w:r w:rsidRPr="00231015">
        <w:rPr>
          <w:rFonts w:ascii="Courier New" w:hAnsi="Courier New"/>
          <w:snapToGrid/>
        </w:rPr>
        <w:t>1. ------IND- 2019 0280 EE- FI- ------ 20190621 --- --- PROJET</w:t>
      </w:r>
    </w:p>
    <w:p w14:paraId="367C987E" w14:textId="77777777" w:rsidR="00E97C8D" w:rsidRPr="00231015" w:rsidRDefault="0000457C" w:rsidP="0000457C">
      <w:pPr>
        <w:pStyle w:val="Default"/>
        <w:jc w:val="right"/>
      </w:pPr>
      <w:r w:rsidRPr="00231015">
        <w:t>LUONNOS</w:t>
      </w:r>
    </w:p>
    <w:p w14:paraId="64F2E633" w14:textId="77777777" w:rsidR="00E97C8D" w:rsidRPr="00231015" w:rsidRDefault="00E97C8D" w:rsidP="0000457C">
      <w:pPr>
        <w:pStyle w:val="Default"/>
        <w:jc w:val="right"/>
      </w:pPr>
      <w:r w:rsidRPr="00231015">
        <w:t>…….2019</w:t>
      </w:r>
    </w:p>
    <w:p w14:paraId="557616DB" w14:textId="77777777" w:rsidR="006F0FE1" w:rsidRPr="00231015" w:rsidRDefault="006F0FE1" w:rsidP="0000457C">
      <w:pPr>
        <w:pStyle w:val="Default"/>
        <w:ind w:left="7788"/>
        <w:jc w:val="center"/>
      </w:pPr>
    </w:p>
    <w:p w14:paraId="2E57B1B7" w14:textId="77777777" w:rsidR="00DF1C9F" w:rsidRPr="00231015" w:rsidRDefault="00DF1C9F" w:rsidP="0000457C">
      <w:pPr>
        <w:pStyle w:val="eelnupealkiri"/>
        <w:widowControl/>
        <w:rPr>
          <w:szCs w:val="32"/>
        </w:rPr>
      </w:pPr>
      <w:r w:rsidRPr="00231015">
        <w:t>Laki tupakkalain muuttamisesta</w:t>
      </w:r>
    </w:p>
    <w:p w14:paraId="7549915E" w14:textId="77777777" w:rsidR="00DF1C9F" w:rsidRPr="00231015" w:rsidRDefault="00DF1C9F" w:rsidP="0000457C">
      <w:pPr>
        <w:pStyle w:val="muudatustesissejuhatus"/>
        <w:keepNext/>
        <w:keepLines/>
        <w:widowControl/>
      </w:pPr>
      <w:r w:rsidRPr="00231015">
        <w:t>Muutetaan tupakkalaki seuraavasti:</w:t>
      </w:r>
    </w:p>
    <w:p w14:paraId="225AC5D3" w14:textId="77777777" w:rsidR="00DF1C9F" w:rsidRPr="00231015" w:rsidRDefault="00DF1C9F" w:rsidP="0000457C">
      <w:pPr>
        <w:pStyle w:val="muutmisksk"/>
        <w:keepNext/>
        <w:keepLines/>
        <w:widowControl/>
      </w:pPr>
      <w:r w:rsidRPr="00231015">
        <w:rPr>
          <w:b/>
        </w:rPr>
        <w:t>1)</w:t>
      </w:r>
      <w:r w:rsidRPr="00231015">
        <w:t xml:space="preserve"> muutetaan 3 §:n 2 momentti seuraavasti:</w:t>
      </w:r>
    </w:p>
    <w:p w14:paraId="0F64011A" w14:textId="77777777" w:rsidR="00F3659F" w:rsidRPr="00231015" w:rsidRDefault="00F3659F" w:rsidP="0000457C">
      <w:pPr>
        <w:pStyle w:val="muutmisksk"/>
        <w:widowControl/>
      </w:pPr>
      <w:r w:rsidRPr="00231015">
        <w:t>”(2) Tupakkatuotteet luokitellaan poltettaviksi tarkoitettuihin tuotteisiin sekä savuttomiin ja kuumennettaviin tupakkatuotteisiin.”;</w:t>
      </w:r>
    </w:p>
    <w:p w14:paraId="0A8B06EF" w14:textId="77777777" w:rsidR="00CB4A82" w:rsidRPr="00231015" w:rsidRDefault="00CB4A82" w:rsidP="0000457C">
      <w:pPr>
        <w:pStyle w:val="muutmisksk"/>
        <w:keepNext/>
        <w:keepLines/>
        <w:widowControl/>
      </w:pPr>
      <w:r w:rsidRPr="00231015">
        <w:rPr>
          <w:b/>
        </w:rPr>
        <w:t>2)</w:t>
      </w:r>
      <w:r w:rsidRPr="00231015">
        <w:t xml:space="preserve"> muutetaan 3 §:n 4 momentti seuraavasti:</w:t>
      </w:r>
    </w:p>
    <w:p w14:paraId="1295B30D" w14:textId="77777777" w:rsidR="00F3659F" w:rsidRPr="00231015" w:rsidRDefault="00FA49AA" w:rsidP="0000457C">
      <w:pPr>
        <w:pStyle w:val="muutmisksk"/>
        <w:widowControl/>
      </w:pPr>
      <w:r w:rsidRPr="00231015">
        <w:t>”(4) Savuton tupakkatuote on tupakkatuote (mukaan luettuina purutupakka, nuuskatupakka ja suussa käytettäväksi tarkoitettu tupakka), johon ei liity palamisprosessia ja joka ei ole kuumennettava tupakkatuote.”;</w:t>
      </w:r>
    </w:p>
    <w:p w14:paraId="1402C45B" w14:textId="77777777" w:rsidR="00F3659F" w:rsidRPr="00231015" w:rsidRDefault="006405C9" w:rsidP="0000457C">
      <w:pPr>
        <w:pStyle w:val="muutmisksk"/>
        <w:keepNext/>
        <w:keepLines/>
        <w:widowControl/>
      </w:pPr>
      <w:r w:rsidRPr="00231015">
        <w:rPr>
          <w:b/>
        </w:rPr>
        <w:t>3)</w:t>
      </w:r>
      <w:r w:rsidRPr="00231015">
        <w:t xml:space="preserve"> lisätään 3 §:ään 6 momentti seuraavasti:</w:t>
      </w:r>
    </w:p>
    <w:p w14:paraId="4933873D" w14:textId="77777777" w:rsidR="00302BE2" w:rsidRPr="00231015" w:rsidRDefault="00F3659F" w:rsidP="0000457C">
      <w:pPr>
        <w:pStyle w:val="muutmisksk"/>
        <w:widowControl/>
      </w:pPr>
      <w:r w:rsidRPr="00231015">
        <w:t>”(6) Kuumennettava tupakkatuote on uusi tupakkatuote, johon ei liity tupakan palamisprosessia ja joka nautitaan käyttämällä apuvälinettä tupakan kuumentamisessa.”;</w:t>
      </w:r>
    </w:p>
    <w:p w14:paraId="58D80121" w14:textId="77777777" w:rsidR="00B0041E" w:rsidRPr="00231015" w:rsidRDefault="006405C9" w:rsidP="0000457C">
      <w:pPr>
        <w:pStyle w:val="muutmisksk"/>
        <w:keepNext/>
        <w:keepLines/>
        <w:widowControl/>
      </w:pPr>
      <w:r w:rsidRPr="00231015">
        <w:rPr>
          <w:b/>
        </w:rPr>
        <w:t>4)</w:t>
      </w:r>
      <w:r w:rsidRPr="00231015">
        <w:t xml:space="preserve"> muutetaan 8 §:n 5 momentin ensimmäinen virke seuraavasti:</w:t>
      </w:r>
    </w:p>
    <w:p w14:paraId="71B04440" w14:textId="77777777" w:rsidR="00B0041E" w:rsidRPr="00231015" w:rsidRDefault="00B0041E" w:rsidP="0000457C">
      <w:pPr>
        <w:pStyle w:val="muutmisksk"/>
        <w:widowControl/>
      </w:pPr>
      <w:r w:rsidRPr="00231015">
        <w:t>”Savukkeilla, kääresavukkeisiin tarkoitetulla irtotupakalla tai kuumennettavalla tupakkatuotteella ei voi olla tunnusomaista makua.”;</w:t>
      </w:r>
    </w:p>
    <w:p w14:paraId="12372F5B" w14:textId="77777777" w:rsidR="000C419A" w:rsidRPr="00231015" w:rsidRDefault="000C419A" w:rsidP="0000457C">
      <w:pPr>
        <w:pStyle w:val="muutmisksk"/>
        <w:keepNext/>
        <w:keepLines/>
        <w:widowControl/>
      </w:pPr>
      <w:r w:rsidRPr="00231015">
        <w:rPr>
          <w:b/>
        </w:rPr>
        <w:t>5)</w:t>
      </w:r>
      <w:r w:rsidRPr="00231015">
        <w:t xml:space="preserve"> muutetaan 8 §:n 6 momentin ensimmäinen virke seuraavasti:</w:t>
      </w:r>
    </w:p>
    <w:p w14:paraId="6A20834F" w14:textId="77777777" w:rsidR="000C419A" w:rsidRPr="00231015" w:rsidRDefault="000C419A" w:rsidP="0000457C">
      <w:pPr>
        <w:pStyle w:val="muutmisksk"/>
        <w:widowControl/>
      </w:pPr>
      <w:r w:rsidRPr="00231015">
        <w:t>”Savukkeiden, kääresavukkeisiin tarkoitetun irtotupakan tai kuumennettavien tupakkatuotteiden ainesosat, kuten suodattimet, paperit, pakkaukset tai patruunat, eivät saa olla maustettuja.”;</w:t>
      </w:r>
    </w:p>
    <w:p w14:paraId="7C5A51F3" w14:textId="77777777" w:rsidR="00F3659F" w:rsidRPr="00231015" w:rsidRDefault="00544F55" w:rsidP="0000457C">
      <w:pPr>
        <w:pStyle w:val="muutmisksk"/>
        <w:keepNext/>
        <w:keepLines/>
        <w:widowControl/>
      </w:pPr>
      <w:r w:rsidRPr="00231015">
        <w:rPr>
          <w:b/>
        </w:rPr>
        <w:t>6)</w:t>
      </w:r>
      <w:r w:rsidRPr="00231015">
        <w:t xml:space="preserve"> muutetaan 12 §:n 5 momentin ensimmäinen virke seuraavasti:</w:t>
      </w:r>
    </w:p>
    <w:p w14:paraId="3006D8D4" w14:textId="77777777" w:rsidR="00F3659F" w:rsidRPr="00231015" w:rsidRDefault="002A4570" w:rsidP="0000457C">
      <w:pPr>
        <w:pStyle w:val="muutmisksk"/>
        <w:widowControl/>
      </w:pPr>
      <w:r w:rsidRPr="00231015">
        <w:t>”Tämän pykälän 1 momentin tiedot voidaan esittää tarroissa, jotka kiinnitetään tupakkatuotteen myyntipakkaukseen ja ryhmäpakkaukseen, lukuun ottamatta savukkeita ja kääresavukkeisiin tarkoitettua irtotupakkaa.”;</w:t>
      </w:r>
    </w:p>
    <w:p w14:paraId="11B9191B" w14:textId="77777777" w:rsidR="00CB4A82" w:rsidRPr="00231015" w:rsidRDefault="00544F55" w:rsidP="0000457C">
      <w:pPr>
        <w:pStyle w:val="muutmisksk"/>
        <w:keepNext/>
        <w:keepLines/>
        <w:widowControl/>
      </w:pPr>
      <w:r w:rsidRPr="00231015">
        <w:rPr>
          <w:b/>
        </w:rPr>
        <w:t>7)</w:t>
      </w:r>
      <w:r w:rsidRPr="00231015">
        <w:t xml:space="preserve"> muutetaan 13 §:n otsikko seuraavasti:</w:t>
      </w:r>
    </w:p>
    <w:p w14:paraId="0504DD5B" w14:textId="77777777" w:rsidR="00CB4A82" w:rsidRPr="00231015" w:rsidRDefault="00CB4A82" w:rsidP="0000457C">
      <w:pPr>
        <w:pStyle w:val="muutmisksk"/>
        <w:widowControl/>
      </w:pPr>
      <w:r w:rsidRPr="00231015">
        <w:t>”</w:t>
      </w:r>
      <w:r w:rsidRPr="00231015">
        <w:rPr>
          <w:b/>
        </w:rPr>
        <w:t>13 §. Poltettaviksi tarkoitettujen tupakkatuotteiden terveysvaroitukset</w:t>
      </w:r>
      <w:r w:rsidRPr="00231015">
        <w:t>”;</w:t>
      </w:r>
    </w:p>
    <w:p w14:paraId="26AC968B" w14:textId="77777777" w:rsidR="00CB4A82" w:rsidRPr="00231015" w:rsidRDefault="00544F55" w:rsidP="0000457C">
      <w:pPr>
        <w:pStyle w:val="muutmisksk"/>
        <w:keepNext/>
        <w:keepLines/>
        <w:widowControl/>
      </w:pPr>
      <w:r w:rsidRPr="00231015">
        <w:rPr>
          <w:b/>
        </w:rPr>
        <w:t>8)</w:t>
      </w:r>
      <w:r w:rsidRPr="00231015">
        <w:t xml:space="preserve"> muutetaan 13 §:n 1 momentti seuraavasti:</w:t>
      </w:r>
    </w:p>
    <w:p w14:paraId="46182BF6" w14:textId="77777777" w:rsidR="00CB4A82" w:rsidRPr="00231015" w:rsidRDefault="00CB4A82" w:rsidP="0000457C">
      <w:pPr>
        <w:pStyle w:val="muutmisksk"/>
        <w:widowControl/>
      </w:pPr>
      <w:r w:rsidRPr="00231015">
        <w:t>”(1) Poltettaviksi tarkoitettujen tupakkatuotteiden terveysvaroitukset jaetaan yleisiin varoituksiin, ilmoituksiin ja yhdistettyihin terveysvaroituksiin.”;</w:t>
      </w:r>
    </w:p>
    <w:p w14:paraId="285B5190" w14:textId="77777777" w:rsidR="00CB4A82" w:rsidRPr="00231015" w:rsidRDefault="00544F55" w:rsidP="0000457C">
      <w:pPr>
        <w:pStyle w:val="muutmisksk"/>
        <w:keepNext/>
        <w:keepLines/>
        <w:widowControl/>
      </w:pPr>
      <w:r w:rsidRPr="00231015">
        <w:rPr>
          <w:b/>
        </w:rPr>
        <w:lastRenderedPageBreak/>
        <w:t xml:space="preserve">9) </w:t>
      </w:r>
      <w:r w:rsidRPr="00231015">
        <w:t>lisätään lakiin 13</w:t>
      </w:r>
      <w:r w:rsidRPr="00231015">
        <w:rPr>
          <w:vertAlign w:val="superscript"/>
        </w:rPr>
        <w:t>1</w:t>
      </w:r>
      <w:r w:rsidRPr="00231015">
        <w:t> § seuraavasti:</w:t>
      </w:r>
    </w:p>
    <w:p w14:paraId="5254C8F1" w14:textId="77777777" w:rsidR="00CB4A82" w:rsidRPr="00231015" w:rsidRDefault="00CB4A82" w:rsidP="0000457C">
      <w:pPr>
        <w:pStyle w:val="muutmisksk"/>
        <w:widowControl/>
        <w:rPr>
          <w:b/>
        </w:rPr>
      </w:pPr>
      <w:r w:rsidRPr="00231015">
        <w:t>”</w:t>
      </w:r>
      <w:r w:rsidRPr="00231015">
        <w:rPr>
          <w:b/>
        </w:rPr>
        <w:t>13</w:t>
      </w:r>
      <w:r w:rsidRPr="00231015">
        <w:rPr>
          <w:b/>
          <w:vertAlign w:val="superscript"/>
        </w:rPr>
        <w:t>1</w:t>
      </w:r>
      <w:r w:rsidRPr="00231015">
        <w:rPr>
          <w:b/>
        </w:rPr>
        <w:t>. Kuumennettavien tupakkatuotteiden terveysvaroitukset</w:t>
      </w:r>
    </w:p>
    <w:p w14:paraId="19ADB845" w14:textId="77777777" w:rsidR="00FA49AA" w:rsidRPr="00231015" w:rsidRDefault="00FA49AA" w:rsidP="0000457C">
      <w:pPr>
        <w:pStyle w:val="muutmisksk"/>
        <w:widowControl/>
      </w:pPr>
      <w:r w:rsidRPr="00231015">
        <w:t>(1) Kuumennettavan tupakkatuotteen kussakin myyntipakkauksessa ja ryhmäpakkauksessa on oltava seuraava terveysvaroitus:</w:t>
      </w:r>
    </w:p>
    <w:p w14:paraId="3882E611" w14:textId="77777777" w:rsidR="00FA49AA" w:rsidRPr="00231015" w:rsidRDefault="00FA49AA" w:rsidP="0000457C">
      <w:pPr>
        <w:pStyle w:val="muudetavtekst"/>
      </w:pPr>
      <w:r w:rsidRPr="00231015">
        <w:t>’Tämä tupakkatuote voi vaarantaa terveyden ja aiheuttaa riippuvuutta.’.</w:t>
      </w:r>
    </w:p>
    <w:p w14:paraId="10C0DA18" w14:textId="77777777" w:rsidR="00FA49AA" w:rsidRPr="00231015" w:rsidRDefault="00D5650D" w:rsidP="0000457C">
      <w:pPr>
        <w:pStyle w:val="muutmisksk"/>
        <w:widowControl/>
      </w:pPr>
      <w:r w:rsidRPr="00231015">
        <w:t>(2) Tämän pykälän 1 momentissa säädetyn terveysvaroituksen on oltava tämän lain 16 §:n 6, 10, 11 ja 12 momentissa säädettyjen vaatimusten mukainen.</w:t>
      </w:r>
    </w:p>
    <w:p w14:paraId="517B7BDF" w14:textId="77777777" w:rsidR="00FA49AA" w:rsidRPr="00231015" w:rsidRDefault="00D5650D" w:rsidP="0000457C">
      <w:pPr>
        <w:pStyle w:val="muutmisksk"/>
        <w:widowControl/>
      </w:pPr>
      <w:r w:rsidRPr="00231015">
        <w:t>(3) Tämän pykälän 2 momentin säännöksen lisäksi kuumennettavien tupakkatuotteiden terveysvaroituksen on täytettävä seuraavat vaatimukset:</w:t>
      </w:r>
    </w:p>
    <w:p w14:paraId="094BF9D9" w14:textId="77777777" w:rsidR="00FA49AA" w:rsidRPr="00231015" w:rsidRDefault="00D5650D" w:rsidP="0000457C">
      <w:pPr>
        <w:pStyle w:val="muudetavtekst"/>
      </w:pPr>
      <w:r w:rsidRPr="00231015">
        <w:t>1) sen on oltava kuutiomaisissa pakkauksissa ja mahdollisissa ryhmäpakkauksissa myyntipakkauksen tai ryhmäpakkauksen vaakasuoran reunan suuntainen. Terveysvaroituksen tekstin on oltava samansuuntainen kuin näille varoituksille varatulla pinnalla oleva pääasiallinen teksti;</w:t>
      </w:r>
    </w:p>
    <w:p w14:paraId="42BCB985" w14:textId="77777777" w:rsidR="00FA49AA" w:rsidRPr="00231015" w:rsidRDefault="00D5650D" w:rsidP="0000457C">
      <w:pPr>
        <w:pStyle w:val="muudetavtekst"/>
      </w:pPr>
      <w:r w:rsidRPr="00231015">
        <w:t>2) se on sijoitettava myyntipakkauksen ja mahdollisen ryhmäpakkauksen kahdelle laajimmalle pinnalle;</w:t>
      </w:r>
    </w:p>
    <w:p w14:paraId="5D260C4A" w14:textId="77777777" w:rsidR="00CB4A82" w:rsidRPr="00231015" w:rsidRDefault="00D5650D" w:rsidP="0000457C">
      <w:pPr>
        <w:pStyle w:val="muudetavtekst"/>
      </w:pPr>
      <w:r w:rsidRPr="00231015">
        <w:t>3) sen on katettava 30 prosenttia myyntipakkauksen ja mahdollisen ryhmäpakkauksen pinnoista.”;</w:t>
      </w:r>
    </w:p>
    <w:p w14:paraId="17B25F15" w14:textId="77777777" w:rsidR="00D5650D" w:rsidRPr="00231015" w:rsidRDefault="00544F55" w:rsidP="0000457C">
      <w:pPr>
        <w:pStyle w:val="muutmisksk"/>
        <w:keepNext/>
        <w:keepLines/>
        <w:widowControl/>
      </w:pPr>
      <w:r w:rsidRPr="00231015">
        <w:rPr>
          <w:b/>
        </w:rPr>
        <w:t>10)</w:t>
      </w:r>
      <w:r w:rsidRPr="00231015">
        <w:t xml:space="preserve"> muutetaan 27 §:n 1 momentti seuraavasti:</w:t>
      </w:r>
    </w:p>
    <w:p w14:paraId="30F66732" w14:textId="77777777" w:rsidR="00D5650D" w:rsidRPr="00231015" w:rsidRDefault="00D5650D" w:rsidP="0000457C">
      <w:pPr>
        <w:pStyle w:val="muutmisksk"/>
        <w:widowControl/>
      </w:pPr>
      <w:r w:rsidRPr="00231015">
        <w:t xml:space="preserve">”1) alle 18-vuotias henkilö (jäljempänä </w:t>
      </w:r>
      <w:r w:rsidRPr="00231015">
        <w:rPr>
          <w:i/>
        </w:rPr>
        <w:t>alaikäinen</w:t>
      </w:r>
      <w:r w:rsidRPr="00231015">
        <w:t>) ei saa tupakoida tai käyttää tupakkatuotetta tai tuotetta, jota käytetään samalla tavalla kuin tupakkatuotteita.”;</w:t>
      </w:r>
    </w:p>
    <w:p w14:paraId="77E1B656" w14:textId="77777777" w:rsidR="00D5650D" w:rsidRPr="00231015" w:rsidRDefault="00544F55" w:rsidP="0000457C">
      <w:pPr>
        <w:pStyle w:val="muutmisksk"/>
        <w:keepNext/>
        <w:keepLines/>
        <w:widowControl/>
      </w:pPr>
      <w:r w:rsidRPr="00231015">
        <w:rPr>
          <w:b/>
        </w:rPr>
        <w:t>11)</w:t>
      </w:r>
      <w:r w:rsidRPr="00231015">
        <w:t xml:space="preserve"> muutetaan 29 §:n 2 momentti seuraavasti:</w:t>
      </w:r>
    </w:p>
    <w:p w14:paraId="291D04E5" w14:textId="77777777" w:rsidR="00D5650D" w:rsidRPr="00231015" w:rsidRDefault="001B35A3" w:rsidP="0000457C">
      <w:pPr>
        <w:pStyle w:val="muutmisksk"/>
        <w:widowControl/>
      </w:pPr>
      <w:r w:rsidRPr="00231015">
        <w:t>”(2) Tämän pykälän 1 momentissa säädettyä kieltoa sovelletaan sähkösavukkeeseen ja kuumennettavaan tupakkatuotteeseen, ja 1 momentin 1 ja 2 alamomenttia myös muihin tuotteisiin, joita käytetään samalla tavalla kuin tupakkatuotteita.”;</w:t>
      </w:r>
    </w:p>
    <w:p w14:paraId="59517E36" w14:textId="77777777" w:rsidR="00D5650D" w:rsidRPr="00231015" w:rsidRDefault="00544F55" w:rsidP="0000457C">
      <w:pPr>
        <w:pStyle w:val="muutmisksk"/>
        <w:keepNext/>
        <w:keepLines/>
        <w:widowControl/>
      </w:pPr>
      <w:r w:rsidRPr="00231015">
        <w:rPr>
          <w:b/>
        </w:rPr>
        <w:t>12)</w:t>
      </w:r>
      <w:r w:rsidRPr="00231015">
        <w:t xml:space="preserve"> muutetaan 30 §:n 5 momentti seuraavasti:</w:t>
      </w:r>
    </w:p>
    <w:p w14:paraId="2663C03A" w14:textId="77777777" w:rsidR="00D5650D" w:rsidRPr="00231015" w:rsidRDefault="009F6B90" w:rsidP="0000457C">
      <w:pPr>
        <w:pStyle w:val="muutmisksk"/>
        <w:widowControl/>
      </w:pPr>
      <w:r w:rsidRPr="00231015">
        <w:t>”(5) Tämän pykälän 2 momentissa säädettyjä rajoituksia sovelletaan myös sähkösavukkeiden ja kuumennettavien tupakkatuotteiden käyttöön.”;</w:t>
      </w:r>
    </w:p>
    <w:p w14:paraId="5BD2260B" w14:textId="77777777" w:rsidR="00C3258B" w:rsidRPr="00231015" w:rsidRDefault="00544F55" w:rsidP="0000457C">
      <w:pPr>
        <w:pStyle w:val="muutmisksk"/>
        <w:keepNext/>
        <w:keepLines/>
        <w:widowControl/>
      </w:pPr>
      <w:r w:rsidRPr="00231015">
        <w:rPr>
          <w:b/>
        </w:rPr>
        <w:t xml:space="preserve">13) </w:t>
      </w:r>
      <w:r w:rsidRPr="00231015">
        <w:t>muutetaan 31 § seuraavasti:</w:t>
      </w:r>
    </w:p>
    <w:p w14:paraId="280A5DF2" w14:textId="77777777" w:rsidR="00C3258B" w:rsidRPr="00231015" w:rsidRDefault="00C3258B" w:rsidP="0000457C">
      <w:pPr>
        <w:pStyle w:val="muutmisksk"/>
        <w:widowControl/>
        <w:rPr>
          <w:b/>
        </w:rPr>
      </w:pPr>
      <w:r w:rsidRPr="00231015">
        <w:t>”</w:t>
      </w:r>
      <w:r w:rsidRPr="00231015">
        <w:rPr>
          <w:b/>
        </w:rPr>
        <w:t>31 §. Tupakointi ja kuumennettavien tupakkatuotteiden käyttö ravitsemusliikkeissä</w:t>
      </w:r>
    </w:p>
    <w:p w14:paraId="30C2E09C" w14:textId="77777777" w:rsidR="00C3258B" w:rsidRPr="00231015" w:rsidRDefault="00C3258B" w:rsidP="0000457C">
      <w:pPr>
        <w:pStyle w:val="muutmisksk"/>
        <w:widowControl/>
      </w:pPr>
      <w:r w:rsidRPr="00231015">
        <w:t>(1) Tupakointi ja kuumennettavien tupakkatuotteiden käyttö on sallittu ravitsemusliikkeissä vain erityisesti osoitetuilla tupakointialueilla (tupakointitilat) tai kausittain käytössä olevalla ulkoalueella, joka on ravitsemusliikkeen välittömässä läheisyydessä.</w:t>
      </w:r>
    </w:p>
    <w:p w14:paraId="3F2F9664" w14:textId="77777777" w:rsidR="00C3258B" w:rsidRPr="00231015" w:rsidRDefault="00C3258B" w:rsidP="0000457C">
      <w:pPr>
        <w:pStyle w:val="muutmisksk"/>
        <w:widowControl/>
      </w:pPr>
      <w:r w:rsidRPr="00231015">
        <w:t>(2) Tämän pykälän 1 momentissa tarkoitetussa tupakointitilassa ei saa olla myytävien ruoka-annosten tarjoilua, johon sisältyy ruoka-annosten valmistus ja tarjoilu nautittavaksi toimitiloissa tai niiden tarjoilu nautittavaksi toimitiloissa.</w:t>
      </w:r>
    </w:p>
    <w:p w14:paraId="1FA94C60" w14:textId="77777777" w:rsidR="00C3258B" w:rsidRPr="00231015" w:rsidRDefault="00C3258B" w:rsidP="0000457C">
      <w:pPr>
        <w:pStyle w:val="muutmisksk"/>
        <w:widowControl/>
      </w:pPr>
      <w:r w:rsidRPr="00231015">
        <w:lastRenderedPageBreak/>
        <w:t>(3) Myyjällä on oikeus olla palvelematta henkilöä, joka ei noudata ravitsemusliikkeessä tupakointia ja kuumennettavien tupakkatuotteiden käyttöä koskevia kieltoja ja rajoituksia, ja käskeä tällaisen henkilön poistua toimitiloista.”;</w:t>
      </w:r>
    </w:p>
    <w:p w14:paraId="3CE3D4BE" w14:textId="77777777" w:rsidR="009F6B90" w:rsidRPr="00231015" w:rsidRDefault="00C3258B" w:rsidP="0000457C">
      <w:pPr>
        <w:pStyle w:val="muutmisksk"/>
        <w:keepNext/>
        <w:keepLines/>
        <w:widowControl/>
      </w:pPr>
      <w:r w:rsidRPr="00231015">
        <w:rPr>
          <w:b/>
        </w:rPr>
        <w:t>14)</w:t>
      </w:r>
      <w:r w:rsidRPr="00231015">
        <w:t xml:space="preserve"> muutetaan 47 § seuraavasti:</w:t>
      </w:r>
    </w:p>
    <w:p w14:paraId="0B655D03" w14:textId="77777777" w:rsidR="009F6B90" w:rsidRPr="00231015" w:rsidRDefault="009F6B90" w:rsidP="0000457C">
      <w:pPr>
        <w:pStyle w:val="muutmisksk"/>
        <w:widowControl/>
      </w:pPr>
      <w:r w:rsidRPr="00231015">
        <w:t>”Jos alaikäinen tupakoi tai käyttää tupakkatuotetta tai tuotetta, jota käytetään samalla tavalla kuin tupakkatuotteita, tästä on mä</w:t>
      </w:r>
      <w:bookmarkStart w:id="0" w:name="_GoBack"/>
      <w:bookmarkEnd w:id="0"/>
      <w:r w:rsidRPr="00231015">
        <w:t>ärättävä enintään 10 päiväsakon suuruinen sakkorangaistus.”;</w:t>
      </w:r>
    </w:p>
    <w:p w14:paraId="4AADE35A" w14:textId="77777777" w:rsidR="009C5189" w:rsidRPr="00231015" w:rsidRDefault="00C3258B" w:rsidP="0000457C">
      <w:pPr>
        <w:pStyle w:val="muutmisksk"/>
        <w:keepNext/>
        <w:keepLines/>
        <w:widowControl/>
      </w:pPr>
      <w:r w:rsidRPr="00231015">
        <w:rPr>
          <w:b/>
        </w:rPr>
        <w:t>15)</w:t>
      </w:r>
      <w:r w:rsidRPr="00231015">
        <w:t xml:space="preserve"> muutetaan 49 § seuraavasti:</w:t>
      </w:r>
    </w:p>
    <w:p w14:paraId="0BF7D46E" w14:textId="77777777" w:rsidR="009C5189" w:rsidRPr="00231015" w:rsidRDefault="009C5189" w:rsidP="0000457C">
      <w:pPr>
        <w:pStyle w:val="muutmisksk"/>
        <w:widowControl/>
      </w:pPr>
      <w:r w:rsidRPr="00231015">
        <w:t>”Tupakoinnista tai kuumennettavan tupakkatuotteen tai tuotteen, jota käytetään samalla tavalla kuin tupakkatuotetta, käytöstä paikassa, jossa tupakointi tai kuumennettavan tupakkatuotteen tai tuotteen, jota käytetään samalla tavalla kuin tupakkatuotteita, käyttö on kielletty, on määrättävä enintään 20 päiväsakon suuruinen sakkorangaistus.”;</w:t>
      </w:r>
    </w:p>
    <w:p w14:paraId="3D9D468B" w14:textId="77777777" w:rsidR="009C5189" w:rsidRPr="00231015" w:rsidRDefault="00C3258B" w:rsidP="0000457C">
      <w:pPr>
        <w:pStyle w:val="muutmisksk"/>
        <w:keepNext/>
        <w:keepLines/>
        <w:widowControl/>
      </w:pPr>
      <w:r w:rsidRPr="00231015">
        <w:rPr>
          <w:b/>
        </w:rPr>
        <w:t>16)</w:t>
      </w:r>
      <w:r w:rsidRPr="00231015">
        <w:t xml:space="preserve"> muutetaan 50 §:n 1 momentti seuraavasti:</w:t>
      </w:r>
    </w:p>
    <w:p w14:paraId="55A82061" w14:textId="77777777" w:rsidR="009C5189" w:rsidRPr="00231015" w:rsidRDefault="009C5189" w:rsidP="0000457C">
      <w:pPr>
        <w:pStyle w:val="muutmisksk"/>
        <w:widowControl/>
      </w:pPr>
      <w:r w:rsidRPr="00231015">
        <w:t>”(1) Tupakoinnin tai kuumennettavan tupakkatuotteen tai tuotteen, jota käytetään samalla tavalla kuin tupakkatuotetta, käytön mahdollistamisesta paikassa, jossa tupakointi tai kuumennettavan tupakkatuotteen tai tuotteen, jota käytetään samalla tavalla kuin tupakkatuotteita, käyttö on kielletty, sekä tupakointitilaa koskevien vaatimusten laiminlyönnistä, on määrättävä enintään 200 päiväsakon suuruinen sakkorangaistus.”;</w:t>
      </w:r>
    </w:p>
    <w:p w14:paraId="2DEF19EF" w14:textId="77777777" w:rsidR="000F1F61" w:rsidRPr="00231015" w:rsidRDefault="000F1F61" w:rsidP="0000457C">
      <w:pPr>
        <w:pStyle w:val="muutmisksk"/>
        <w:widowControl/>
      </w:pPr>
      <w:r w:rsidRPr="00231015">
        <w:t>Viron parlamentin puhemies</w:t>
      </w:r>
    </w:p>
    <w:p w14:paraId="48C2A07E" w14:textId="77777777" w:rsidR="000F1F61" w:rsidRPr="00231015" w:rsidRDefault="000F1F61" w:rsidP="0000457C">
      <w:pPr>
        <w:pStyle w:val="muutmisksk"/>
        <w:widowControl/>
      </w:pPr>
      <w:r w:rsidRPr="00231015">
        <w:t>Tallinna, ........................... 2019</w:t>
      </w:r>
    </w:p>
    <w:p w14:paraId="6D93E43A" w14:textId="77777777" w:rsidR="000F1F61" w:rsidRPr="00231015" w:rsidRDefault="000F1F61" w:rsidP="0000457C">
      <w:pPr>
        <w:pStyle w:val="muutmisksk"/>
        <w:widowControl/>
      </w:pPr>
      <w:r w:rsidRPr="00231015">
        <w:t>Tasavallan hallituksen esityksestä [päivämäärä] 2019</w:t>
      </w:r>
    </w:p>
    <w:p w14:paraId="5DA778D5" w14:textId="77777777" w:rsidR="000F1F61" w:rsidRPr="00231015" w:rsidRDefault="000F1F61" w:rsidP="0000457C">
      <w:pPr>
        <w:pStyle w:val="muutmisksk"/>
        <w:widowControl/>
      </w:pPr>
      <w:r w:rsidRPr="00231015">
        <w:t>Digitaalisesti allekirjoitettu</w:t>
      </w:r>
    </w:p>
    <w:sectPr w:rsidR="000F1F61" w:rsidRPr="002310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4225E" w14:textId="77777777" w:rsidR="007E6A42" w:rsidRDefault="007E6A42" w:rsidP="0000457C">
      <w:pPr>
        <w:spacing w:after="0" w:line="240" w:lineRule="auto"/>
      </w:pPr>
      <w:r>
        <w:separator/>
      </w:r>
    </w:p>
  </w:endnote>
  <w:endnote w:type="continuationSeparator" w:id="0">
    <w:p w14:paraId="3C2C4F11" w14:textId="77777777" w:rsidR="007E6A42" w:rsidRDefault="007E6A42"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697CF" w14:textId="77777777" w:rsidR="007E6A42" w:rsidRDefault="007E6A42" w:rsidP="0000457C">
      <w:pPr>
        <w:spacing w:after="0" w:line="240" w:lineRule="auto"/>
      </w:pPr>
      <w:r>
        <w:separator/>
      </w:r>
    </w:p>
  </w:footnote>
  <w:footnote w:type="continuationSeparator" w:id="0">
    <w:p w14:paraId="3172936A" w14:textId="77777777" w:rsidR="007E6A42" w:rsidRDefault="007E6A42"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31015"/>
    <w:rsid w:val="0028759C"/>
    <w:rsid w:val="00292FDA"/>
    <w:rsid w:val="002A4570"/>
    <w:rsid w:val="00302BE2"/>
    <w:rsid w:val="00316DFA"/>
    <w:rsid w:val="00342FCA"/>
    <w:rsid w:val="004371FC"/>
    <w:rsid w:val="004628AB"/>
    <w:rsid w:val="004A3CE7"/>
    <w:rsid w:val="004B08D1"/>
    <w:rsid w:val="004E2E5A"/>
    <w:rsid w:val="004F68F8"/>
    <w:rsid w:val="00544F55"/>
    <w:rsid w:val="00576D82"/>
    <w:rsid w:val="005B3073"/>
    <w:rsid w:val="006405C9"/>
    <w:rsid w:val="006A413B"/>
    <w:rsid w:val="006F0FE1"/>
    <w:rsid w:val="00702706"/>
    <w:rsid w:val="0074406D"/>
    <w:rsid w:val="00762D57"/>
    <w:rsid w:val="00763AA4"/>
    <w:rsid w:val="00787AB4"/>
    <w:rsid w:val="007B3F29"/>
    <w:rsid w:val="007C37B1"/>
    <w:rsid w:val="007E6A42"/>
    <w:rsid w:val="00830A4B"/>
    <w:rsid w:val="008C30DF"/>
    <w:rsid w:val="008D1695"/>
    <w:rsid w:val="00917A01"/>
    <w:rsid w:val="00937BD8"/>
    <w:rsid w:val="00952903"/>
    <w:rsid w:val="00982C65"/>
    <w:rsid w:val="00986D51"/>
    <w:rsid w:val="009C5189"/>
    <w:rsid w:val="009F6B90"/>
    <w:rsid w:val="00A228FC"/>
    <w:rsid w:val="00A32CCA"/>
    <w:rsid w:val="00B0041E"/>
    <w:rsid w:val="00B11A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E2D1"/>
  <w15:docId w15:val="{D1AA5846-B1CD-4C4D-9107-2A82CB3B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elnupealkiri">
    <w:name w:val="eelnõu pealkiri"/>
    <w:basedOn w:val="Normaali"/>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ali"/>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ali"/>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ali"/>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ali"/>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ali"/>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Kommentinviite">
    <w:name w:val="annotation reference"/>
    <w:uiPriority w:val="99"/>
    <w:semiHidden/>
    <w:unhideWhenUsed/>
    <w:rsid w:val="00C71875"/>
    <w:rPr>
      <w:sz w:val="16"/>
      <w:szCs w:val="16"/>
    </w:rPr>
  </w:style>
  <w:style w:type="paragraph" w:styleId="Kommentinteksti">
    <w:name w:val="annotation text"/>
    <w:basedOn w:val="Normaali"/>
    <w:link w:val="KommentintekstiChar"/>
    <w:uiPriority w:val="99"/>
    <w:semiHidden/>
    <w:unhideWhenUsed/>
    <w:rsid w:val="00C71875"/>
    <w:pPr>
      <w:spacing w:line="240" w:lineRule="auto"/>
    </w:pPr>
    <w:rPr>
      <w:sz w:val="20"/>
      <w:szCs w:val="20"/>
    </w:rPr>
  </w:style>
  <w:style w:type="character" w:customStyle="1" w:styleId="KommentintekstiChar">
    <w:name w:val="Kommentin teksti Char"/>
    <w:link w:val="Kommentinteksti"/>
    <w:uiPriority w:val="99"/>
    <w:semiHidden/>
    <w:rsid w:val="00C71875"/>
    <w:rPr>
      <w:sz w:val="20"/>
      <w:szCs w:val="20"/>
    </w:rPr>
  </w:style>
  <w:style w:type="paragraph" w:styleId="Kommentinotsikko">
    <w:name w:val="annotation subject"/>
    <w:basedOn w:val="Kommentinteksti"/>
    <w:next w:val="Kommentinteksti"/>
    <w:link w:val="KommentinotsikkoChar"/>
    <w:uiPriority w:val="99"/>
    <w:semiHidden/>
    <w:unhideWhenUsed/>
    <w:rsid w:val="00C71875"/>
    <w:rPr>
      <w:b/>
      <w:bCs/>
    </w:rPr>
  </w:style>
  <w:style w:type="character" w:customStyle="1" w:styleId="KommentinotsikkoChar">
    <w:name w:val="Kommentin otsikko Char"/>
    <w:link w:val="Kommentinotsikko"/>
    <w:uiPriority w:val="99"/>
    <w:semiHidden/>
    <w:rsid w:val="00C71875"/>
    <w:rPr>
      <w:b/>
      <w:bCs/>
      <w:sz w:val="20"/>
      <w:szCs w:val="20"/>
    </w:rPr>
  </w:style>
  <w:style w:type="paragraph" w:styleId="Seliteteksti">
    <w:name w:val="Balloon Text"/>
    <w:basedOn w:val="Normaali"/>
    <w:link w:val="SelitetekstiChar"/>
    <w:uiPriority w:val="99"/>
    <w:semiHidden/>
    <w:unhideWhenUsed/>
    <w:rsid w:val="00C7187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C71875"/>
    <w:rPr>
      <w:rFonts w:ascii="Segoe UI" w:hAnsi="Segoe UI" w:cs="Segoe UI"/>
      <w:sz w:val="18"/>
      <w:szCs w:val="18"/>
    </w:rPr>
  </w:style>
  <w:style w:type="paragraph" w:customStyle="1" w:styleId="12PromKlEinlSatz">
    <w:name w:val="12_PromKl_EinlSatz"/>
    <w:basedOn w:val="Normaali"/>
    <w:next w:val="Normaali"/>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Yltunniste">
    <w:name w:val="header"/>
    <w:basedOn w:val="Normaali"/>
    <w:link w:val="YltunnisteChar"/>
    <w:uiPriority w:val="99"/>
    <w:unhideWhenUsed/>
    <w:rsid w:val="0000457C"/>
    <w:pPr>
      <w:tabs>
        <w:tab w:val="center" w:pos="4320"/>
        <w:tab w:val="right" w:pos="8640"/>
      </w:tabs>
    </w:pPr>
  </w:style>
  <w:style w:type="character" w:customStyle="1" w:styleId="YltunnisteChar">
    <w:name w:val="Ylätunniste Char"/>
    <w:link w:val="Yltunniste"/>
    <w:uiPriority w:val="99"/>
    <w:rsid w:val="0000457C"/>
    <w:rPr>
      <w:sz w:val="22"/>
      <w:szCs w:val="22"/>
      <w:lang w:val="fi-FI"/>
    </w:rPr>
  </w:style>
  <w:style w:type="paragraph" w:styleId="Alatunniste">
    <w:name w:val="footer"/>
    <w:basedOn w:val="Normaali"/>
    <w:link w:val="AlatunnisteChar"/>
    <w:uiPriority w:val="99"/>
    <w:unhideWhenUsed/>
    <w:rsid w:val="0000457C"/>
    <w:pPr>
      <w:tabs>
        <w:tab w:val="center" w:pos="4320"/>
        <w:tab w:val="right" w:pos="8640"/>
      </w:tabs>
    </w:pPr>
  </w:style>
  <w:style w:type="character" w:customStyle="1" w:styleId="AlatunnisteChar">
    <w:name w:val="Alatunniste Char"/>
    <w:link w:val="Alatunniste"/>
    <w:uiPriority w:val="99"/>
    <w:rsid w:val="0000457C"/>
    <w:rPr>
      <w:sz w:val="22"/>
      <w:szCs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B922-BA93-43DF-9EA9-FD68A492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616</Words>
  <Characters>4993</Characters>
  <Application>Microsoft Office Word</Application>
  <DocSecurity>0</DocSecurity>
  <Lines>41</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H H</cp:lastModifiedBy>
  <cp:revision>6</cp:revision>
  <cp:lastPrinted>2019-03-26T14:28:00Z</cp:lastPrinted>
  <dcterms:created xsi:type="dcterms:W3CDTF">2019-06-14T14:56:00Z</dcterms:created>
  <dcterms:modified xsi:type="dcterms:W3CDTF">2019-06-20T13:18:00Z</dcterms:modified>
</cp:coreProperties>
</file>