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0468 F-- FI-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RANSKAN TASAVALTA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Ekologisen siirtymän ministerin ja talous- ja valtiovarainministerin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asetus nro 2020-xxx, annettu xx päivänä xkuuta 2020, sähkö- ja elektroniikkalaitteiden korjattavuusindeksistä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 xml:space="preserve">NOR:</w:t>
      </w:r>
    </w:p>
    <w:p w14:paraId="00000016" w14:textId="334BF5B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</w:rPr>
        <w:t xml:space="preserve">Kohdeyleisö</w:t>
      </w:r>
      <w:r>
        <w:rPr>
          <w:i/>
          <w:color w:val="000000"/>
        </w:rPr>
        <w:t xml:space="preserve">: sähkö- ja elektroniikkalaitteiden valmistajat, maahantuojat, jakelijat ja muut markkinoille saattajat ja kyseisten laitteiden myyjät sekä tahot, jotka käyttävät verkkosivustoa, alustaa tai muuta verkkojakelukanavaa Ranskassa suorittamansa kaupallisen toiminnan yhteydessä.</w:t>
      </w:r>
      <w:r>
        <w:rPr>
          <w:i/>
          <w:color w:val="000000"/>
        </w:rPr>
        <w:t xml:space="preserve">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</w:rPr>
        <w:t xml:space="preserve">Aihe</w:t>
      </w:r>
      <w:r>
        <w:rPr>
          <w:i/>
          <w:color w:val="000000"/>
        </w:rPr>
        <w:t xml:space="preserve">: ympäristölain L 541-9-2 §:ssä määritetyn korjattavuusindeksin soveltamisehdot.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i/>
          <w:color w:val="000000"/>
          <w:b/>
        </w:rPr>
        <w:t xml:space="preserve">Voimaantulo:</w:t>
      </w:r>
      <w:r>
        <w:rPr>
          <w:i/>
          <w:color w:val="000000"/>
        </w:rPr>
        <w:t xml:space="preserve"> asetus tulee voimaan 1 päivänä tammikuuta 2021.</w:t>
      </w:r>
    </w:p>
    <w:p w14:paraId="0000001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</w:rPr>
      </w:pPr>
      <w:r>
        <w:rPr>
          <w:i/>
          <w:color w:val="000000"/>
          <w:b/>
        </w:rPr>
        <w:t xml:space="preserve">Huomautus:</w:t>
      </w:r>
      <w:r>
        <w:rPr>
          <w:i/>
          <w:color w:val="000000"/>
        </w:rPr>
        <w:t xml:space="preserve"> Tässä asetuksessa määritetään ympäristölain L 541-9-2 §:n soveltamisehdot. Pykälässä säädetään korjattavuusindeksin käyttöönotosta tietyissä sähkö- ja elektroniikkalaitteiden luokissa.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Siinä täsmennetään erityisesti tämän indeksin laatimisessa käytettävät perusteet ja laskemistapa.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Kyseessä olevien laitteiden valmistajien ja maahantuojien on ilmoitettava korjattavuusindeksi ja sen laskennassa käytettävät muuttujat jakelijoille sekä kaikille pyynnön esittäville henkilöille maksutta.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Jakelijoiden, myös etämyyntiä harjoittavien, on ilmoitettava kuluttajalle kyseessä olevien laitteiden korjattavuusindeksi ostohetkellä merkinnöillä, etiketeillä, ilmoituksilla tai muulla asianmukaisella menetelmällä maksutta.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b/>
        </w:rPr>
        <w:t xml:space="preserve">Viitteet</w:t>
      </w:r>
      <w:r>
        <w:t xml:space="preserve">: tähän asetukseen voi tutustua Légifrance-verkkosivustolla (</w:t>
      </w:r>
      <w:hyperlink r:id="rId8">
        <w:r>
          <w:rPr>
            <w:i/>
            <w:color w:val="000000"/>
            <w:u w:val="single"/>
          </w:rPr>
          <w:t xml:space="preserve">http://www.legifrance.gouv.fr</w:t>
        </w:r>
      </w:hyperlink>
      <w:r>
        <w:t xml:space="preserve">).]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 xml:space="preserve">Pääministeri, joka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ekologisen siirtymän ministerin sekä talous- ja valtiovarainministerin selonteon perusteella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ottaa huomioon jätteistä ja tiettyjen direktiivien kumoamisesta 19 päivänä marraskuuta 2008 annetun Euroopan parlamentin ja neuvoston direktiivin 2008/98/EY, sellaisena kuin se on muutettuna,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ottaa huomioon teknisiä määräyksiä ja tietoyhteiskunnan palveluja koskevia määräyksiä koskevien tietojen toimittamisessa noudatettavasta menettelystä 9 päivänä syyskuuta 2015 annetun Euroopan parlamentin ja neuvoston direktiivin (EU) 2015/1535,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ottaa huomioon kuluttajansuojalain ja erityisesti sen johdantopykälän, sellaisena kuin se on muutettuna 14 päivänä maaliskuuta 2016 annetun määräyksen nro 2016-301 ja 25 päivänä maaliskuuta 2016 annetun määräyksen nro 2016-351 ratifioinnista 21 päivänä helmikuuta 2017 annetulla lailla nro 2017-203,</w:t>
      </w:r>
      <w:r>
        <w:rPr>
          <w:color w:val="000000"/>
        </w:rPr>
        <w:t xml:space="preserve">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ottaa huomioon ympäristölain ja erityisesti sen L. 541-9-2 §:n, sellaisena kuin se on muutettuna haaskaamisen torjunnasta ja kiertotaloudesta 10 päivänä helmikuuta 2020 annetun lain nro 2020-105 16 §:llä,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ottaa huomioon Euroopan komissiolle direktiivin (EU) 2015/1535 nojalla xx päivänä xkuuta xxxx toimitetun ilmoituksen nro xxx/xxxx/x, ja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kuultuaan Ranskan korkeinta hallinto-oikeutta (Conseil d’État) (julkisten töiden osastoa)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 xml:space="preserve">säätää seuraavaa: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1 §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Lisätään ympäristölain säädösosan V kirjan IV osastoon IV luku ja 1 jakso seuraavasti: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”IV luku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Jätteitä tuottavista tuotteista yleisölle annettavat tiedot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1 jakso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Korjattavuusindeksin ilmoittaminen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1" w:name="_heading=h.gjdgxs"/>
      <w:bookmarkEnd w:id="1"/>
      <w:r>
        <w:rPr>
          <w:color w:val="000000"/>
        </w:rPr>
        <w:t xml:space="preserve">R 544-1 § − Ympäristölain L. 541-9-2 §:ssä määritetyllä sähkö- tai elektroniikkalaitteiden korjattavuusindeksillä tarkoitetaan uuden laitteen ostohetkellä kuluttajan tietoon annettavaa enintään kymmenen pisteen luokitusta.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Indeksi on annettava kyseisen laitteen kaikista malleista.</w:t>
      </w:r>
      <w:r>
        <w:rPr>
          <w:color w:val="000000"/>
        </w:rPr>
        <w:t xml:space="preserve">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R. 544-2 § − Tässä asetuksessa tarkoitetaan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1° ’markkinoille saatavaksi asettamisella” kaikkea jaeltavaksi tai käytettäväksi tarkoitettujen sähkö- tai elektroniikkalaitteiden toimittamista kansallisille markkinoille kaupallisen toiminnan yhteydessä korvausta vastaan tai veloituksetta;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2° ’markkinoille saattamisella” sähkö- tai elektroniikkalaitteen asettamista ensimmäistä kertaa saataville kansallisilla markkinoilla;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3° ’valmistajalla’ kaikkia luonnollisia henkilöitä tai oikeushenkilöitä, jotka valmistavat sähkö- tai elektroniikkalaitteita tai suunnitteluttavat niitä ja jotka saattavat niitä markkinoille omalla nimellään tai omalla tavaramerkillään;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4° ’maahantuojalla’ kaikkia luonnollisia henkilöitä tai oikeushenkilöitä, jotka saattavat kansallisille markkinoille sähkö- tai elektroniikkalaitteita, jotka ovat peräisin Euroopan unionin jäsenvaltioista tai kolmansista maista;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5° ’jakelijalla’ kaikkia muita toimitusketjuun kuuluvia luonnollisia henkilöitä tai oikeushenkilöitä kuin valmistajaa tai maahantuojaa, jotka tarjoavat sähkö- tai elektroniikkalaitteita myyntiin kansallisilla markkinoilla;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6° ’myyjällä’ kaikkia luonnollisia henkilöitä tai oikeushenkilöitä, jotka kaupallisen toiminnan yhteydessä asettavat markkinoille kuluttajien saataville sähkö- tai elektroniikkalaitteita myymällä niitä, myös etämyyntinä;</w:t>
      </w:r>
      <w:r>
        <w:rPr>
          <w:color w:val="000000"/>
        </w:rPr>
        <w:t xml:space="preserve"> </w:t>
      </w:r>
    </w:p>
    <w:p w14:paraId="0000003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 xml:space="preserve">7° ’etämyynnillä’ ammattimaisen myyjän ja kuluttajan välistä etäsopimusta, joka on tehty myyntijärjestelmän välityksellä ilman ammattilaisen ja kuluttajan yhtäaikaista fyysistä läsnäoloa yksinomaan käyttämällä yhtä tai useampaa etäviestintätekniikkaa sopimuksen tekemiseen asti;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8° ’mallilla’ laitteen versiota, jonka kaikilla yksiköillä on samat tekniset ominaisuudet korjattavuusindeksin laskemisen kannalta.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544-3 § −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I.− Tuottajien tai maahantuojien on laadittava markkinoille saattamilleen sähkö- tai elektroniikkalaitteille korjattavuusindeksi sekä muuttujat, joiden perusteella se voidaan vahvistaa määräyksessä täsmennettyjen ehtojen mukaisesti.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 − Valmistajien ja maahantuojien on ilmoitettava jakelijoille tai myyjille maksutta ja sähköisessä muodossa sähkö- tai elektroniikkalaitteiden valikoimaanoton tai toimittamisen hetkellä kunkin markkinoille saatettavan laitemallin osalta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korjattavuusindeksi määräyksessä esitettyjen ehtojen ja symbolien mukaisesti;</w:t>
      </w:r>
    </w:p>
    <w:p w14:paraId="0000003E" w14:textId="433562A7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muuttujat, joiden perusteella korjattavuusindeksi voidaan vahvistaa, määräyksessä esitetyn mallin mukaisesti.</w:t>
      </w:r>
      <w:r>
        <w:rPr>
          <w:color w:val="000000"/>
        </w:rPr>
        <w:t xml:space="preserve"> </w:t>
      </w:r>
    </w:p>
    <w:p w14:paraId="0000003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 − Jos jakelija ei ole myyjä, jakelijan on toimitettava a ja b alamomentissa mainituin samoin ehdoin indeksi ja sen laskentamuuttujat maksutta myyjälle sähkö- tai elektroniikkalaitteiden valikoimaanoton ja toimittamisen hetkellä.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IV. − Indeksi voidaan myös kiinnittää suoraan mallin jokaiseen yksikköön tai pakkaukseen etikettien tai merkintöjen avulla määräyksessä esitettyjen symbolien mukaisesti. </w:t>
      </w:r>
    </w:p>
    <w:p w14:paraId="00000041" w14:textId="7B50DCAD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V. − Valmistajien ja maahantuojien on toimitettava 2 alamomentissa tarkoitetut tiedot 15 päivän kuluessa kaikille henkilöille, jotka pyytävät niitä, vähintään kahden vuoden ajan laitemallin viimeisen yksikön viimeisestä markkinoille saattamisesta.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544-4 § −</w:t>
      </w:r>
    </w:p>
    <w:p w14:paraId="0000004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 − Jos sähkö- tai elektroniikkalaitetta myydään kaupassa, myyjä panee määräyksessä esitettyjen ehtojen ja symbolien mukaisesti valmistajan tai maahantuojan toimittaman korjattavuusindeksin esille näkyvästi myytävänä olevaan laitteeseen tai laitteen välittömään läheisyyteen.</w:t>
      </w:r>
      <w:r>
        <w:rPr>
          <w:color w:val="000000"/>
        </w:rPr>
        <w:t xml:space="preserve"> </w:t>
      </w:r>
    </w:p>
    <w:p w14:paraId="00000045" w14:textId="5D2DF6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 − Jos sähkö- tai elektroniikkalaite on myytävänä etämyynnissä, myyjä esittää korjattavuusindeksin näkyvästi laitteiden esittelyssä sekä hinnan lähettyvillä määräyksessä esitettyjen ehtojen ja symbolien mukaisesti.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 − Myyjä antaa kuluttajien saataville myös muuttujat, joiden perusteella laitteiden korjattavuusindeksi on voitu vahvistaa, määräyksessä esitetyn mallin mukaan ja millä tahansa asianmukaisella tavalla.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  <w:r>
        <w:rPr>
          <w:color w:val="000000"/>
        </w:rPr>
        <w:t xml:space="preserve">544-5 § − Valmistajat tai maahantuojat antavat korjattavuusindeksin sekä muuttujat, joiden perusteella se on voitu vahvistaa, kuluttajan saataville vähintään kahden vuoden ajan kyseessä olevan laitemallin viimeisen yksikön markkinoille saattamisesta.</w:t>
      </w:r>
      <w:r>
        <w:rPr>
          <w:color w:val="000000"/>
        </w:rPr>
        <w:t xml:space="preserve">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544-6 § −</w:t>
      </w:r>
      <w:r>
        <w:rPr>
          <w:color w:val="000000"/>
        </w:rPr>
        <w:t xml:space="preserve">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 − Korjattavuusindeksi lasketaan seuraavien muuttujien mukaisesti:</w:t>
      </w:r>
      <w:r>
        <w:rPr>
          <w:color w:val="000000"/>
        </w:rPr>
        <w:t xml:space="preserve"> </w:t>
      </w:r>
    </w:p>
    <w:p w14:paraId="0000004B" w14:textId="548716C4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20 pistettä siitä, miten kauan tekniset asiakirjat sekä käyttö- ja huolto-ohjeisiin liittyvät asiakirjat ovat valmistajien, korjaajien ja kuluttajien saatavilla;</w:t>
      </w:r>
      <w:r>
        <w:rPr>
          <w:color w:val="000000"/>
        </w:rPr>
        <w:t xml:space="preserve"> </w:t>
      </w:r>
    </w:p>
    <w:p w14:paraId="0000004C" w14:textId="4296823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20 pistettä laitteiden purettavuudesta: yksittäistä pääsyä vaihdettavaan osaan koskevien purkuvaiheiden määrä, tarvittavien työkalujen ominaisuudet ja vaihdettavien osien väliset kiinnitykset;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c) 20 pistettä siitä, miten kauan varaosia on saatavilla markkinoilla, sekä siitä, miten nopeasti niitä saadaan valmistajille, varaosien jakelijoille, korjaajille ja kuluttajille;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d) 20 pistettä valmistajan tai maahantuojan myymien osien hinnan ja valmistajan tai maahantuojan myymien laitteiden hinnan erosta määräyksessä esitettyjen ehtojen mukaan laskettuna;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e) 20 pistettä kyseessä olevan laiteluokan erityisperusteista.</w:t>
      </w:r>
    </w:p>
    <w:p w14:paraId="00000051" w14:textId="1A917F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II.−</w:t>
      </w:r>
      <w:r>
        <w:rPr>
          <w:color w:val="000000"/>
        </w:rPr>
        <w:t xml:space="preserve"> </w:t>
      </w:r>
      <w:r>
        <w:rPr>
          <w:color w:val="000000"/>
        </w:rPr>
        <w:t xml:space="preserve">Korjattavuusindeksi saadaan laskemalla saadut viisi pistekokonaisuutta yhteen ja jakamalla kokonaismäärä kymmenellä, jolloin saadaan yhteisluokitus asteikolla 1−10.</w:t>
      </w:r>
      <w:r>
        <w:rPr>
          <w:color w:val="000000"/>
        </w:rPr>
        <w:t xml:space="preserve"> </w:t>
      </w:r>
    </w:p>
    <w:p w14:paraId="00000053" w14:textId="64E269B9" w:rsidR="00EF7252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III.−</w:t>
      </w:r>
      <w:r>
        <w:rPr>
          <w:color w:val="000000"/>
        </w:rPr>
        <w:t xml:space="preserve"> </w:t>
      </w:r>
      <w:r>
        <w:rPr>
          <w:color w:val="000000"/>
        </w:rPr>
        <w:t xml:space="preserve">Ympäristöministerin ja talous- ja valtiovarainministerin määräyksessä täsmennetään kunkin sähkö- ja elektroniikkalaiteluokan osalta kaikki luokan perusteet ja alaperusteet sekä erityisperusteet ja indeksin laskemismenetelmä.</w:t>
      </w:r>
      <w:r>
        <w:rPr>
          <w:color w:val="000000"/>
        </w:rPr>
        <w:t xml:space="preserve">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544-7 § − Tammikuun 1 päivästä 2024 alkaen kestävyysindeksillä täydennetään tiettyjen laiteluokkien osalta korjattavuusindeksiä tai korvataan se yhdistämällä siihen uusia perusteita, jotka koskevat muun muassa laitteen luotettavuutta ja toimintavarmuutta.</w:t>
      </w:r>
      <w:r>
        <w:rPr>
          <w:color w:val="000000"/>
        </w:rPr>
        <w:t xml:space="preserve"> </w:t>
      </w:r>
    </w:p>
    <w:p w14:paraId="00000057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2 §</w:t>
      </w:r>
    </w:p>
    <w:p w14:paraId="0000005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Tämän asetuksen säännökset tulevat voimaan 1 päivänä tammikuuta 2021.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3 §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Ekologisen siirtymän ministeri ja talous- ja valtiovarainministeri ovat kumpikin omalta osaltaan vastuussa tämän Ranskan tasavallan </w:t>
      </w:r>
      <w:r>
        <w:rPr>
          <w:color w:val="000000"/>
          <w:i/>
        </w:rPr>
        <w:t xml:space="preserve">virallisessa lehdessä</w:t>
      </w:r>
      <w:r>
        <w:rPr>
          <w:color w:val="000000"/>
        </w:rPr>
        <w:t xml:space="preserve"> julkaistavan asetuksen soveltamisesta.</w:t>
      </w:r>
      <w:r>
        <w:rPr>
          <w:color w:val="000000"/>
        </w:rPr>
        <w:t xml:space="preserve">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 xml:space="preserve">Annettu xx päivänä xkuuta 2020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2" w:name="_heading=h.30j0zll"/>
      <w:bookmarkEnd w:id="2"/>
      <w:r>
        <w:rPr>
          <w:color w:val="000000"/>
        </w:rPr>
        <w:t xml:space="preserve">Pääministeri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Ekologisen siirtymän ministeri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Barbara POMPILI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Talous- ja valtiovarainministeri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dirty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52"/>
    <w:rsid w:val="00081B50"/>
    <w:rsid w:val="00106E77"/>
    <w:rsid w:val="00115349"/>
    <w:rsid w:val="00276444"/>
    <w:rsid w:val="003B1438"/>
    <w:rsid w:val="00535D26"/>
    <w:rsid w:val="0066778A"/>
    <w:rsid w:val="007C6B33"/>
    <w:rsid w:val="00817DDD"/>
    <w:rsid w:val="00956AEB"/>
    <w:rsid w:val="00A751E7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i-FI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  <w:lang w:val="fi-FI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  <w:lang w:val="fi-FI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  <w:lang w:val="fi-FI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fi-FI" w:bidi="ar-SA"/>
    </w:rPr>
  </w:style>
  <w:style w:type="character" w:customStyle="1" w:styleId="SNDateCar">
    <w:name w:val="SNDate Car"/>
    <w:qFormat/>
    <w:rPr>
      <w:sz w:val="24"/>
      <w:szCs w:val="24"/>
      <w:lang w:val="fi-FI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fi-FI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fi-FI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fi-FI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fi-FI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fi-FI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fi-F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fi-FI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  <w:rPr>
      <w:lang w:val="fi-FI"/>
    </w:r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  <w:lang w:val="fi-FI"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  <w:lang w:val="fi-F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fi-FI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fi-FI"/>
    </w:r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val="fi-FI"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val="fi-FI"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Ke, Tingting</cp:lastModifiedBy>
  <cp:revision>2</cp:revision>
  <dcterms:created xsi:type="dcterms:W3CDTF">2020-07-08T10:11:00Z</dcterms:created>
  <dcterms:modified xsi:type="dcterms:W3CDTF">2020-07-22T04:01:00Z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