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rPr>
        <w:t>1. ------IND- 2020 0485 L-- CS-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rPr>
        <w:t>Zákon ze dne 21. března 2017 o obalech a obalových odpadech</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rPr>
        <w:t>Koordinované znění</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u w:val="single"/>
        </w:rPr>
        <w:t>Článek 1 Cíle</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rPr>
        <w:t> Tento zákon stanoví opatření, jejichž prvořadou prioritou je prevence vzniku obalových odpadů a dalšími základními zásadami je opakované použití a příprava k opakovanému použití obalů, recyklace a další formy využití obalových odpadů, a tedy snížení množství těchto odpadů určených ke konečnému odstranění s cílem přispět k přechodu na oběhové hospodářství.</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Článek 2 Oblast působnosti</w:t>
      </w:r>
    </w:p>
    <w:p w14:paraId="10EC3FDA" w14:textId="77777777" w:rsidR="000147DB" w:rsidRPr="003E7524" w:rsidRDefault="000147DB" w:rsidP="000147DB">
      <w:pPr>
        <w:spacing w:after="0" w:line="240" w:lineRule="auto"/>
        <w:jc w:val="both"/>
        <w:rPr>
          <w:rFonts w:eastAsia="Times New Roman" w:cs="Arial"/>
        </w:rPr>
      </w:pPr>
      <w:r>
        <w:t>Tento zákon se vztahuje na veškeré obaly, které jsou uváděny na lucemburský trh, a na veškeré obalové odpady, ať již jsou užívány nebo uvolňovány na úrovni průmyslu, velkoobchodu, maloobchodu, kanceláří, služeb, domácností nebo na jakékoli jiné úrovni, bez ohledu na použitý materiál.</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u w:val="single"/>
        </w:rPr>
        <w:t>Článek 3 Definice</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Pro účely tohoto zákona se rozumí:</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 „hospodářskými subjekty“ v souvislosti s obaly dodavatelé obalových materiálů, výrobci a zpracovatelé obalů, plniči a uživatelé, dovozci, velkoobchodníci a maloobchodníci, orgány veřejné moci a veřejnoprávní organizace;</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 „dohodou o životním prostředí“ formální dohoda uzavíraná mezi ministrem, do jehož působnosti spadá životní prostředí, dále jen „ministr“, a osobami odpovědnými za obaly nebo schválenými organizacemi, která musí být otevřená všem hospodářským subjektům, které chtějí plnit její podmínky za účelem naplňování cílů uvedených v článku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3. „prvním balením“ umístění potraviny do prvního obalu nebo první nádoby, které přicházejí do přímého styku s dotyčnou potravinou, jakož i tento první obal nebo první nádoba;</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4. „obalovými odpady“ jakékoli obaly nebo obalové materiály, na které se vztahuje definice odpadu stanovená v článku 4 zákona ze dne 21. března 2012 o odpadech a zdrojích, dále jen „zákon ze dne 21. března 2012“, v platném znění, s výjimkou odpadů vznikajících při výrobě;</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rPr>
        <w:t>5. „domovním obalovým odpadem“ obalové odpady, které představují domovní komunální odpad ve smyslu zákona ze dne 21. března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6. „nedomovním obalovým odpadem“ obalové odpady, které představují nedomovní komunální odpad ve smyslu zákona ze dne 21. března 2012;</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7. „obaly“ veškeré výrobky zhotovené z jakéhokoli materiálu jakékoli povahy, které mají být použity k pojmutí, ochraně, manipulaci, dodávce a k prezentaci zboží, od surovin až po hotové výrobky, od výrobce až po uživatele nebo spotřebitele.</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Za obaly se rovněž pokládají nevratné předměty používané k týmž účelům.</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„Obaly“ zahrnují pouze:</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a) prodejní obaly neboli primární obaly, tj. obaly určené k tomu, aby tvořily v místě nákupu prodejní jednotku pro konečného uživatele nebo spotřebitele;</w:t>
      </w:r>
    </w:p>
    <w:p w14:paraId="0DE873CC" w14:textId="77777777" w:rsidR="000147DB" w:rsidRPr="008B68AD"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8B68AD">
        <w:rPr>
          <w:color w:val="FF0000"/>
          <w:spacing w:val="-4"/>
          <w:sz w:val="24"/>
        </w:rPr>
        <w:t>b) skupinové obaly neboli sekundární obaly, tj. obaly určené k tomu, aby v místě nákupu tvořily skupinu určitého počtu prodejních jednotek, ať již je tato skupina prodávána konečnému uživateli nebo spotřebiteli, anebo slouží pouze jako pomůcka pro umístění do regálů v místě prodeje; mohou být z výrobku odstraněny, aniž se tím ovlivní jeho vlastnosti;</w:t>
      </w:r>
    </w:p>
    <w:p w14:paraId="29AF1F65" w14:textId="77777777" w:rsidR="000147DB" w:rsidRPr="008B68AD"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8B68AD">
        <w:rPr>
          <w:color w:val="FF0000"/>
          <w:spacing w:val="-4"/>
          <w:sz w:val="24"/>
        </w:rPr>
        <w:t>c) přepravní obaly neboli terciární obaly, tj. obaly, které jsou určeny k usnadnění manipulace s určitým množstvím prodejních jednotek nebo skupinových obalů a k usnadnění jejich přepravy, aby se při manipulaci a přepravě zabránilo jejich fyzickému poškození. Za přepravní obaly se nepokládají silniční, železniční, lodní a letecké kontejnery.</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Definice „obalu“ se dále zakládá na následujících kritériích:</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 Předměty se považují za obal, odpovídají-li, aniž jsou dotčeny jiné funkce, které by mohl obal také plnit, výše uvedené definici, je-li tento předmět nedílnou součástí výrobku, je zapotřebí k tomu, aby uzavíral, nesl nebo uchovával tento výrobek po celou dobu jeho životnosti a všechny části jsou určeny pro společné užívání, společnou spotřebu nebo společné odstranění;</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 Předměty navržené a určené k tomu, aby byly plněny v místě prodeje, a „jednorázové“ předměty prodávané, plněné nebo navržené a určené k plnění v místě prodeje se považují za obaly, pokud plní funkci obalu a představují prodejní obaly;</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iii. Součásti obalu a pomocné prvky začleněné v obalu se považují za části obalu, v němž jsou začleněny. Pomocné prvky, které jsou zavěšeny přímo na výrobku nebo jsou k výrobku připevněné a plní funkci obalu, se považují za obal, nejsou-li nedílnou součástí tohoto výrobku a nejsou-li všechny části určeny k tomu, aby byly společně spotřebovány nebo odstraněny.</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Příklady ilustrujícími použití těchto kritérií jsou předměty uvedené v příloze I směrnice Evropského parlamentu a Rady 94/62/ES ze dne 20. prosince 1994 o obalech a obalových odpadech ve znění aktů Evropské komise v přenesené pravomoci přijatých v souladu s čl. 19 odst. 2 a článkem 21a této směrnice;</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8. „„opakovaně použitelnými obaly“ obaly navržené, vyrobené a uvedené na trh tak, aby mohly být v průběhu svého životního cyklu vícekrát využity nebo mohly projít několika cykly tím, že budou několikrát znovu naplněny nebo opakovaně použity ke stejnému účelu, ke kterému byly původně určeny;</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9. „kompozitními obaly“ obaly složené ze dvou nebo více vrstev různých materiálů, jež nelze ručně oddělit a tvoří jedinou nedílnou jednotku, tvořící vnitřní nádobu a vnější schránku, které jsou plněny, skladovány, převáženy a vyprazdňovány jako takové;</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lastRenderedPageBreak/>
        <w:t>10. „systémem centralizovaného nakládání s odpady“ systém, který se zakládá na tom, že schválený subjekt je povinen převzít obalové odpady ze sběrného střediska fungujícího na principu dobrovolného odevzdání odpadů za účelem jejich předání k recyklaci;</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11. „nakládáním s obalovým odpadem“ nakládání s odpady podle definice v článku 4 zákona ze dne 21. března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12. „obalovým materiálem“ jakýkoli jednoduchý nebo složený materiál přírodního nebo umělého původu, který tvoří obal;</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13. „dodáním na trh“ každé dodání výrobku k distribuci, spotřebě nebo použití na lucemburském trhu v rámci obchodní činnosti, ať už za úplatu, nebo bezplatně;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14. „uvedením na trh“ první dodání výrobku na lucemburský trh;</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15. „schváleným subjektem“ právnická osoba schválená v souladu se zákonem ze dne 21. března 2012, která na sebe přebírá povinnosti vyplývající z rozšířené odpovědnosti výrobce;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16. „plastem“ polymer ve smyslu čl. 3 bodu 5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k němuž mohou být přidány přísady nebo další látky, a který je schopen plnit funkci hlavní strukturní složky nákupních tašek;</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17. „organickou recyklací“ aerobní zpracování (kompostování) nebo anaerobní zpracování (biometanizace) biologicky rozložitelných složek obalových odpadů za kontrolovaných podmínek a s použitím mikroorganismů za vzniku stabilizovaných organických zbytků nebo metanu. Skládkování se za formu organické recyklace nepokládá;</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rPr>
        <w:t>18. „osobou odpovědnou za obaly“ jakákoli fyzická nebo právnická osoba usazená v Lucemburském velkovévodství či nikoli, která profesionálně uvádí balené výrobky na lucemburský trh, bez ohledu na použitý způsob ​​prodeje, včetně prostřednictvím smluv uzavřených na dálku ve smyslu článku L.222-1 spotřebitelského zákoníku.</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Pokud jde o prodejní obaly, považuje se za osobu odpovědnou za obaly každá osoba, která profesionálně vyrábí nebo dováží prodejní obaly s cílem jejich uvedení na lucemburský trh;</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19. „plastovými nákupními taškami“ nákupní tašky s držadly nebo bez nich vyrobené z plastů a poskytované spotřebitelům v místě prodeje zboží či produktů;</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20. „lehkými plastovými nákupními taškami“ plastové nákupní tašky o tloušťce stěny nedosahující 50 mikronů;</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21. „velmi lehkými plastovými nákupními taškami“ plastové nákupní tašky o tloušťce stěny nedosahující 15 mikronů,</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které jsou nezbytné z hygienických důvodů nebo poskytované jako primární obaly pro volně ložené potraviny v případě, že jejich užití pomáhá zabránit plýtvání potravinami;</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22. „oxo-rozložitelnými plastovými nákupními taškami“ plastové nákupní tašky vyrobené z plastových materiálů, které obsahují přísady, jež vyvolávají rozpad plastového materiálu na mikročástice;</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23. „systémem vratných zálohovaných obalů“ systém zpětného odběru, jehož prostřednictvím nabyvatel platí určitou peněžní částku, která mu je proplacena při vrácení použitého obalu;</w:t>
      </w:r>
    </w:p>
    <w:p w14:paraId="7826512C" w14:textId="77777777" w:rsidR="000147DB" w:rsidRPr="003E7524" w:rsidRDefault="000147DB" w:rsidP="008B68AD">
      <w:pPr>
        <w:keepLines/>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24. „tržním podílem“ procentní hodnota obalů tekutin k lidské spotřebě za určité období, která má v čitateli objem tekutin k lidské spotřebě, které byly uvedeny na trh balené do opakovaně použitelných obalů a spotřebovány na území státu, a ve jmenovateli celkový objem tekutin k lidské spotřebě uvedených na trh a spotřebovaných na území státu;</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25. „mírou recyklace“ procentní hodnota obalových odpadů za dané období, která má v čitateli hmotnost obalového odpadu skutečně předaného k recyklaci, a ve jmenovateli celkovou hmotnost využitelných obalů uvedených na lucemburský trh osobou odpovědnou za obaly a spotřebovaných na území státu.</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Tato definice se nevztahuje na obaly předávané k opakovanému použití ve smyslu tohoto zákona;</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26. „mírou využití“ procentní hodnota obalových odpadů za dané období, která má v čitateli hmotnost odpadových odpadů skutečně předaných k využití a ve jmenovateli celkovou hmotnost využitelných obalů uvedených na lucemburský trh osobou odpovědnou za obaly a spotřebovaných na území státu;</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Tato definice se nevztahuje na obaly předávané k opakovanému použití ve smyslu tohoto zákona;</w:t>
      </w:r>
    </w:p>
    <w:p w14:paraId="1F021DEC" w14:textId="77777777" w:rsidR="000147DB" w:rsidRPr="008B68AD"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8B68AD">
        <w:rPr>
          <w:color w:val="FF0000"/>
          <w:spacing w:val="-4"/>
          <w:sz w:val="24"/>
        </w:rPr>
        <w:t>27. „energetickým využitím“ použití hořlavého obalového odpadu jako prostředku k výrobě energie přímým spálením, společně s dalším odpadem nebo bez něj, avšak s využitím získaného tepla;</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Tato definice se nevztahuje na obaly určené k opakovanému použití ve smyslu tohoto zákona.</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Dále platí definice pojmů „odpad“, „komunální odpad“, „domovní komunální odpad“, „nedomovní komunální odpad“, „nakládání s odpady“, „sběr“, „tříděný sběr“, „prevence“, „opakované použití“, „příprava k opakovanému použití“, „zpracování“,„ využití“, „recyklace“, „vysoce kvalitní recyklace“, „odstranění“, „středisko zdrojů “a „systém rozšířené odpovědnosti výrobce“ obsažené v článku 4 zákona ze dne 21. března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rPr>
        <w:t>Článek 4 Předcházení vzniku a opakované použití a dohody o životním prostředí</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8B68AD" w:rsidRDefault="000147DB" w:rsidP="000147DB">
      <w:pPr>
        <w:spacing w:beforeLines="100" w:before="240" w:after="240" w:line="240" w:lineRule="auto"/>
        <w:jc w:val="both"/>
        <w:rPr>
          <w:rFonts w:eastAsia="Calibri" w:cs="TimesNewRoman"/>
          <w:color w:val="FF0000"/>
          <w:spacing w:val="-4"/>
          <w:sz w:val="24"/>
          <w:szCs w:val="24"/>
        </w:rPr>
      </w:pPr>
      <w:r w:rsidRPr="008B68AD">
        <w:rPr>
          <w:color w:val="FF0000"/>
          <w:spacing w:val="-4"/>
          <w:sz w:val="24"/>
        </w:rPr>
        <w:t>Vedle opatření k prevenci vzniku obalových odpadů, přijatých podle článku 9, a aniž je dotčen odstavec 2, je ministr oprávněn uzavírat dohody o životním prostředí, které jsou v souladu s cíli uvedenými v článku 1 a jejichž cílem je především omezit dopad obalů na životní prostředí a zabránit vzniku obalových odpadů. Tyto dohody mohou stanovit veřejné informační a osvětové kampaně.</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Pokud jde o výrobu obalů a dalších výrobků, mohou dohody o životním prostředí podporovat používání materiálů získaných recyklací obalových odpadů zlepšováním tržních podmínek pro takové materiály.</w:t>
      </w:r>
    </w:p>
    <w:p w14:paraId="4FAEAC4C" w14:textId="77777777" w:rsidR="000147DB" w:rsidRPr="003E7524" w:rsidRDefault="000147DB" w:rsidP="000147DB">
      <w:pPr>
        <w:spacing w:after="0" w:line="240" w:lineRule="auto"/>
        <w:jc w:val="both"/>
        <w:rPr>
          <w:rFonts w:eastAsia="Times New Roman" w:cs="Arial"/>
        </w:rPr>
      </w:pPr>
      <w:r>
        <w:t>Pokud jde o obaly tekutin k lidské spotřebě a další výrobky, mohou dohody o životním prostředí stanovit podmínky a pravidla pro podporu výroby opakovaně použitelných obalů a jejich uvádění na trh a stanovit cíle týkající se jejich tržního podílu. Tímto zákonem není dotčeno zachování nebo zavádění režimů zaručujících opakované použití obalů ve formě systému vratných zálohovaných obalů nebo v jiné vhodné formě a v souladu s cíli uvedenými v článku 1.</w:t>
      </w:r>
    </w:p>
    <w:p w14:paraId="7B14AF7B" w14:textId="77777777" w:rsidR="000147DB" w:rsidRPr="008B68AD" w:rsidRDefault="000147DB" w:rsidP="000147DB">
      <w:pPr>
        <w:spacing w:after="0" w:line="240" w:lineRule="auto"/>
        <w:jc w:val="both"/>
        <w:rPr>
          <w:rFonts w:eastAsia="Times New Roman" w:cs="Arial"/>
          <w:spacing w:val="-6"/>
        </w:rPr>
      </w:pPr>
      <w:r w:rsidRPr="008B68AD">
        <w:rPr>
          <w:spacing w:val="-6"/>
        </w:rPr>
        <w:t>(2) Další preventivní opatření k zamezení vzniku, včetně studií a pilotních projektů, mohou být stanovena ve vnitrostátním plánu pro nakládání s odpady a případně ve zvláštním plánu podle zákona ze dne 21. března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u w:val="single"/>
        </w:rPr>
        <w:t xml:space="preserve">Článek 5 Snižování spotřeby obalů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Za účelem udržitelného snížení spotřeby obalů v Lucembursku:</w:t>
      </w:r>
    </w:p>
    <w:p w14:paraId="1921772D" w14:textId="2F6CC734" w:rsidR="000147DB" w:rsidRPr="008B68AD" w:rsidRDefault="000147DB" w:rsidP="000147DB">
      <w:pPr>
        <w:pStyle w:val="Liste10"/>
        <w:spacing w:before="240"/>
        <w:ind w:left="360" w:hanging="427"/>
        <w:rPr>
          <w:rFonts w:cs="TimesNewRoman"/>
          <w:color w:val="FF0000"/>
          <w:spacing w:val="-4"/>
          <w:sz w:val="24"/>
          <w:szCs w:val="24"/>
        </w:rPr>
      </w:pPr>
      <w:r w:rsidRPr="008B68AD">
        <w:rPr>
          <w:color w:val="FF0000"/>
          <w:spacing w:val="-4"/>
          <w:sz w:val="24"/>
        </w:rPr>
        <w:t xml:space="preserve">1. </w:t>
      </w:r>
      <w:r w:rsidRPr="008B68AD">
        <w:rPr>
          <w:color w:val="FF0000"/>
          <w:spacing w:val="-4"/>
          <w:sz w:val="24"/>
        </w:rPr>
        <w:tab/>
        <w:t>i) od 1. ledna 2022 je každý maloobchod, který nabízí k prodeji čerstvé ovoce a zeleninu uvedené v příloze III, včetně loupaného nebo řezaného ovoce a zeleniny, povinen je vystavovat bez prvního balení, které se zčásti nebo zcela skládá z plastu. Tato povinnost se nevztahuje na ovoce a zeleninu, které se balí v množstvích o hmotnosti alespoň 1,5 kilogramu;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rPr>
        <w:t>2. Úroveň roční spotřeby lehkých plastových nákupních tašek nesmí ke dni 31. prosince 2019 překročit devadesát kusů tašek na osobu a k 31. prosinci 2025 čtyřicet kusů na osobu. Z toho jsou vyloučeny velmi lehké plastové nákupní tašky ve smyslu čl. 3 bodu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3. v místech prodeje zboží nebo produktů nesmí být bezplatně poskytovány žádné plastové nákupní tašky. Z toto jsou vyloučeny velmi lehké plastové nákupní tašky ve smyslu čl. 3 bodu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rPr>
        <w:t xml:space="preserve">4. v místech prodeje nebude možné zdarma poskytovat níže uvedené prodejní obaly pro zboží nebo produkty podle následujícího harmonogramu: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od 1. ledna 2023 tašky, bez ohledu na materiál, ze kterého jsou vyrobeny;</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rPr>
        <w:t>od 1. ledna 2024 prodejní obaly představující výrobky na jedno použití podle části A přílohy zákona ze dne… o posouzení dopadu některých plastových výrobků na životní prostředí, bez ohledu na materiál, který tyto obaly tvoří;</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od 1. ledna 2025 všechny prodejní obaly.</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rPr>
        <w:t>(2) Výrobky uvedené v odst. 1 bodech 3 a 4 musí mít odrazující cenu, která musí být samostatně a na viditelném místě označena v místě prodeje a na faktuře. Minimální cenu může stanovit dohoda o životním prostředí.</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u w:val="single"/>
        </w:rPr>
        <w:t>Článek 5</w:t>
      </w:r>
      <w:r>
        <w:rPr>
          <w:i/>
          <w:color w:val="FF0000"/>
          <w:sz w:val="24"/>
          <w:u w:val="single"/>
        </w:rPr>
        <w:t>a</w:t>
      </w:r>
      <w:r>
        <w:rPr>
          <w:color w:val="FF0000"/>
          <w:sz w:val="24"/>
          <w:u w:val="single"/>
        </w:rPr>
        <w:t xml:space="preserve"> Opakované použití </w:t>
      </w:r>
    </w:p>
    <w:p w14:paraId="163598FA" w14:textId="77777777" w:rsidR="000147DB" w:rsidRPr="003E7524" w:rsidRDefault="000147DB" w:rsidP="000147DB">
      <w:pPr>
        <w:jc w:val="both"/>
        <w:rPr>
          <w:color w:val="FF0000"/>
          <w:sz w:val="24"/>
        </w:rPr>
      </w:pPr>
      <w:r>
        <w:rPr>
          <w:color w:val="FF0000"/>
          <w:sz w:val="24"/>
        </w:rPr>
        <w:t>V souladu s hierarchií způsobů nakládání s odpady podle 9 zákona ze dne 21. března 2012 může ministr uzavřít dohody o životním prostředí s cílem podpořit zvyšování podílu opakovaně použitelných obalů uváděných na trh a podílu systémů opakovaného použití obalů způsobem šetrným k životnímu prostředí.</w:t>
      </w:r>
    </w:p>
    <w:p w14:paraId="213A7D6C" w14:textId="77777777" w:rsidR="000147DB" w:rsidRPr="003E7524" w:rsidRDefault="000147DB" w:rsidP="002F5A31">
      <w:pPr>
        <w:keepNext/>
        <w:keepLines/>
        <w:jc w:val="both"/>
        <w:rPr>
          <w:color w:val="FF0000"/>
          <w:sz w:val="24"/>
        </w:rPr>
      </w:pPr>
      <w:r>
        <w:rPr>
          <w:color w:val="FF0000"/>
          <w:sz w:val="24"/>
        </w:rPr>
        <w:lastRenderedPageBreak/>
        <w:t xml:space="preserve">Tyto dohody mohou mimo jiné zahrnovat: </w:t>
      </w:r>
    </w:p>
    <w:p w14:paraId="5BEA6077" w14:textId="77777777" w:rsidR="000147DB" w:rsidRPr="003E7524" w:rsidRDefault="000147DB" w:rsidP="000147DB">
      <w:pPr>
        <w:jc w:val="both"/>
        <w:rPr>
          <w:color w:val="FF0000"/>
          <w:sz w:val="24"/>
        </w:rPr>
      </w:pPr>
      <w:r>
        <w:rPr>
          <w:color w:val="FF0000"/>
          <w:sz w:val="24"/>
        </w:rPr>
        <w:t>1. využívání systémů vratných zálohovaných obalů;</w:t>
      </w:r>
    </w:p>
    <w:p w14:paraId="498392F7" w14:textId="77777777" w:rsidR="000147DB" w:rsidRPr="003E7524" w:rsidRDefault="000147DB" w:rsidP="000147DB">
      <w:pPr>
        <w:jc w:val="both"/>
        <w:rPr>
          <w:color w:val="FF0000"/>
          <w:sz w:val="24"/>
        </w:rPr>
      </w:pPr>
      <w:r>
        <w:rPr>
          <w:color w:val="FF0000"/>
          <w:sz w:val="24"/>
        </w:rPr>
        <w:t>2. stanovení kvalitativních nebo kvantitativních cílů;</w:t>
      </w:r>
    </w:p>
    <w:p w14:paraId="57A9F07C" w14:textId="77777777" w:rsidR="000147DB" w:rsidRPr="003E7524" w:rsidRDefault="000147DB" w:rsidP="000147DB">
      <w:pPr>
        <w:jc w:val="both"/>
        <w:rPr>
          <w:color w:val="FF0000"/>
          <w:sz w:val="24"/>
        </w:rPr>
      </w:pPr>
      <w:r>
        <w:rPr>
          <w:color w:val="FF0000"/>
          <w:sz w:val="24"/>
        </w:rPr>
        <w:t>3. vytváření ekonomických pobídek;</w:t>
      </w:r>
    </w:p>
    <w:p w14:paraId="2D7BAE53" w14:textId="77777777" w:rsidR="000147DB" w:rsidRPr="003E7524" w:rsidRDefault="000147DB" w:rsidP="000147DB">
      <w:pPr>
        <w:jc w:val="both"/>
        <w:rPr>
          <w:color w:val="FF0000"/>
          <w:sz w:val="24"/>
        </w:rPr>
      </w:pPr>
      <w:r>
        <w:rPr>
          <w:color w:val="FF0000"/>
          <w:sz w:val="24"/>
        </w:rPr>
        <w:t>4. stanovení minimálního procentního podílu opakovaně použitelných obalů uváděných na trh každý rok pro každý tok obalů.</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u w:val="single"/>
        </w:rPr>
        <w:t>Článek 6 Využití a recyklace</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Osoby odpovědné za obaly jsou povinny splnit následující minimální cíle: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rPr>
        <w:t>1) 65 % hmotnosti obalového odpadu se využije nebo spálí ve spalovnách odpadu s energetickým využitím;</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rPr>
        <w:t>2) 60 % hmotnosti obalového odpadu se recykluje s následujícími minimálními cíli v oblasti recyklace materiálů obsažených v obalovém odpadu: 60 % hmotnosti u skla, 60 % hmotnosti u papíru a lepenky, 50 % hmotnosti u kovů, 22,5 % hmotnosti u plastů, přičemž se jedná výhradně o plasty, které jsou recyklovány zpět na plasty a 15 procent hmotnosti u dřeva.</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rPr>
        <w:t>3) nejpozději 31. prosince 2025 musí být recyklováno alespoň 65 % hmotnosti veškerých obalových odpadů;</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4) nejpozději 31. prosince 2025 musí být dosaženo těchto minimálních cílů v hmotnostním vyjádření pro recyklaci těchto konkrétních materiálů obsažených v obalovém odpadu:</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rPr>
        <w:t>a) 50 % plastů;</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rPr>
        <w:t>b) 25 % dřeva;</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rPr>
        <w:t>c) 70 % železných kovů;</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rPr>
        <w:t>d) 50 % hliníku;</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rPr>
        <w:t>e) 70 % skla;</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rPr>
        <w:t>f) 75 % papíru a lepenky.</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rPr>
        <w:t>5) nejpozději 31. prosince 2030 bude alespoň 70 % hmotnosti veškerých obalových odpadů recyklováno;</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rPr>
        <w:lastRenderedPageBreak/>
        <w:t>6) nejpozději 31. prosince 2030 bude dosaženo těchto minimálních cílů v hmotnostním vyjádření pro recyklaci těchto konkrétních materiálů obsažených v obalovém odpadu:</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rPr>
        <w:t>a) 55 % plastů;</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rPr>
        <w:t>b) 30 % dřeva;</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rPr>
        <w:t>c) 80 % železných kovů;</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rPr>
        <w:t>d) 60 % hliníku;</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rPr>
        <w:t>e) 75 % skla;</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rPr>
        <w:t>f) 85 % papíru a lepenky.</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rPr>
        <w:t>Aniž je dotčen článek 14, Úřad pro ochranu životního prostředí zajistí, aby tyto povinnosti a cíle byly předmětem informační kampaně zaměřené na širokou veřejnost a hospodářské subjekty.</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u w:val="single"/>
        </w:rPr>
        <w:t>Článek 6</w:t>
      </w:r>
      <w:r>
        <w:rPr>
          <w:i/>
          <w:color w:val="FF0000"/>
          <w:sz w:val="24"/>
          <w:u w:val="single"/>
        </w:rPr>
        <w:t>a</w:t>
      </w:r>
      <w:r>
        <w:rPr>
          <w:color w:val="FF0000"/>
          <w:sz w:val="24"/>
          <w:u w:val="single"/>
        </w:rPr>
        <w:t xml:space="preserve"> Pravidla pro výpočet dosažení cílů</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(1) Pro účely výpočtu, zda bylo dosaženo cílů stanovených v čl. 6 odst. 1 bodech 3 až 6:</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1. se vypočte hmotnost obalového odpadu vzniklého a recyklovaného v daném kalendářním roce. Lze mít za to, že množství vzniklého obalového odpadu je shodné s množstvím obalů uvedených v daném roce na trh;</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2. se hmotnost recyklovaného obalového odpadu vypočte jako hmotnost obalů, které se staly odpadem a poté, co byly předmětem veškerých nezbytných kontrol, třídění a dalších předběžných postupů k odstranění odpadních materiálů, na něž se nevztahuje následné přepracování, a k zajištění vysoké kvality recyklace, vstupují do recyklace, v níž dojde k vlastnímu přepracování odpadních materiálů na výrobky, materiály nebo látky.</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(2) Pro účely odst. 1 bodu 1 je hmotnost recyklovaného obalového odpadu měřena v okamžiku, kdy odpad vstupuje do recyklace.</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Odchylně od prvního pododstavce lze hmotnost recyklovaného obalového odpadu měřit při výstupu z jakéhokoli třídění, pokud:</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1. je tento odpad z výstupu následně recyklován;</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2. hmotnost materiálů nebo látek, které jsou odstraněny dalšími operacemi předcházejícími recyklaci a nejsou následně recyklovány, není zahrnuta do hmotnosti odpadu, který je vykazován jako recyklovaný.</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lastRenderedPageBreak/>
        <w:t xml:space="preserve">(3) S cílem zajistit dodržení pravidel pro výpočet a předání všech informací příslušnému orgánu se zřizuje elektronický registr v souladu s článkem 34 zákona ze dne 21. března 2012.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Množství obalového odpadu, který po přípravě před přepracováním přestal být odpadem, lze započítat jako recyklovaný odpad, pokud je daný materiál určen k následnému přepracování na výrobky, materiály nebo látky, jež budou použity k původnímu nebo jinému účelu. K dosažení cílů v oblasti recyklace se však nezapočítají materiály, které přestaly být odpadem a které mají být použity jako palivo nebo jiné prostředky k výrobě energie nebo mají být spáleny, zasypány nebo uloženy na skládku.</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rPr>
        <w:t>(5) Pro účely výpočtu toho, zda bylo dosaženo cílů stanovených v čl. 6 odst. 1 bodech 3 až 6, může Úřad pro ochranu životního prostředí zohlednit recyklaci kovů vytříděných po spálení odpadu, a to v poměru k podílu spalovaného obalového odpadu, pokud tyto recyklované kovy splňují určitá kvalitativní kritéria stanovená prováděcím aktem přijatým podle čl. 11</w:t>
      </w:r>
      <w:r>
        <w:rPr>
          <w:i/>
          <w:iCs/>
          <w:color w:val="FF0000"/>
        </w:rPr>
        <w:t>a</w:t>
      </w:r>
      <w:r>
        <w:rPr>
          <w:color w:val="FF0000"/>
        </w:rPr>
        <w:t xml:space="preserve"> odst. 9 směrnice 2008/98/ES.</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Obalový odpad odeslaný do jiného členského státu Evropské unie za účelem recyklace v tomto jiném členském státě se započítá při určování dosažení cílů stanovených v čl. 6 odst. 1 bodech 3 až 6 v Lucembursku.</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(7) Obalový odpad vyvezený z Evropské unie se započítá k dosažení cílů stanovených v čl. 6 odst. 1, pouze jsou-li splněny požadavky odstavce 3 a může-li vývozce v souladu s nařízením Evropského parlamentu a Rady (ES) č. 1013/2006 ze dne 14. června 2006 o přepravě odpadů prokázat, že přeprava odpadu splňuje požadavky uvedeného nařízení a že se zpracování obalového odpadu mimo Unii uskutečnilo za podmínek, které jsou všeobecně rovnocenné požadavkům příslušných právních předpisů v oblasti životního prostředí.</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u w:val="single"/>
        </w:rPr>
        <w:t>Článek 7 Systémy zpětného odběru, sběru a využití</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(1) S cílem dosáhnout cílů stanovených v článku 1 a v souladu s odstavcem 2 jsou osoby odpovědné za obaly povinny zajistit při dodržení hygienických předpisů:</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1. zpětný odběr nebo sběr použitých obalů nebo obalových odpadů od spotřebitelů a jiných konečných uživatelů nebo z toků odpadů za účelem jejich usměrnění do nejvhodnějších možností nakládání s odpady;</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2. opakované použití, příprava k opakovanému použití nebo využití sebraných obalů nebo obalových odpadů, včetně recyklace.</w:t>
      </w:r>
    </w:p>
    <w:p w14:paraId="60F35859" w14:textId="77777777" w:rsidR="000147DB" w:rsidRPr="003E7524" w:rsidRDefault="000147DB" w:rsidP="008B68AD">
      <w:pPr>
        <w:keepLines/>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Tyto systémy musí být otevřené pro účast hospodářských subjektů z dotčených odvětví a příslušných veřejných orgánů. Musí se vztahovat i na dovážené výrobky za nediskriminačních podmínek, včetně podrobných provozních podmínek a veškerých tarifů stanovených pro přístup k těmto systémům, a být navrženy tak, aby bránily překážkám obchodu nebo narušování hospodářské soutěže.</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Za účelem minimalizace odstraňování obalového odpadu ve formě komunálního odpadu a dosažení vysoké míry tříděného sběru obalového odpadu se použijí tato ustanovení:</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a) v případě domovního obalového odpadu:</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Aniž jsou dotčeny povinnosti obcí nebo sdružení obcí pověřených nakládáním s domovním komunálním odpadem podle zákona ze dne 21. března 2012, jsou obce nebo sdružení obcí povinny zajistit dostupnost systémů tříděného sběru. Obce nebo sdružení obcí jsou povinny v případě potřeby ve spolupráci se schválenými subjekty zajistit dostupnost a přístupnost veřejné infrastruktury pro tříděný sběr domovních obalových odpadů, která zajistí, aby koneční držitelé mohli tyto obalové odpady vracet alespoň bezplatně.</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Schválené subjekty jsou oprávněny organizovat a provozovat alternativní nebo doplňkové systémy zpětného odběru domovního obalového odpadu za předpokladu, že tyto systémy jsou v souladu s cíli tohoto zákona a zaručují stejné územní pokrytí jako systémy zavedené obcemi nebo sdruženími obcí a zajišťují alespoň bezplatný zpětný odběr domovních obalových odpadů.</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Uživatelé domovních obalů jsou povinni využívat systémy zpětného odběru tříděného sběru domovních obalových odpadů, které jim jsou zajištěny obcemi nebo sdruženími obcí nebo schválenými subjekty.</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b) v případě nedomovních obalových odpadů;</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Osoby odpovědné za nedomovní obaly zajišťují odběr a využití těchto odpadů v rámci systému rozšířené odpovědnosti výrobce podle článku 8 tohoto zákona.</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(3) Zařízení nebo podniky uvedené v čl. 30 odst. 1 </w:t>
      </w:r>
      <w:hyperlink r:id="rId4" w:history="1">
        <w:r>
          <w:rPr>
            <w:color w:val="FF0000"/>
            <w:sz w:val="24"/>
          </w:rPr>
          <w:t>zákona ze dne 21. března 2012</w:t>
        </w:r>
      </w:hyperlink>
      <w:r>
        <w:rPr>
          <w:color w:val="FF0000"/>
          <w:sz w:val="24"/>
        </w:rPr>
        <w:t xml:space="preserve"> jsou oprávněny shromažďovat nebo přepravovat obalové odpady, které představují domovní odpad, pouze tehdy, pokud jsou k tomu pověřeny schválenými subjekty.</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(4) Obaly od nápojů určených k lidské spotřebě, které jsou uváděny na lucemburský trh, podléhají jednotnému vnitrostátnímu systému vratných zálohovaných obalů. Výše zálohy kolísá v závislosti na povaze obalu od 10 centů do 1 EUR. Datum a podmínky zavedení systému vratných zálohovaných obalů jsou stanoveny velkovévodským nařízením.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 xml:space="preserve">Článek </w:t>
      </w:r>
      <w:r>
        <w:rPr>
          <w:color w:val="FF0000"/>
          <w:sz w:val="24"/>
          <w:u w:val="single"/>
        </w:rPr>
        <w:t>8 Osoby odpovědné za obaly a schválené subjekty</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(1) Za účelem splnění povinností, které pro ni vyplývají z tohoto zákona, a povinností vyplývajících ze zákona o posouzení dopadu některých plastových výrobků na životní prostředí, podléhá osoba odpovědná za obaly systému rozšířené odpovědnosti výrobce podle článku 19 zákona ze dne 21. března 2012.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U opakovaně použitelných domovních obalů, pro které je zaveden systém zpětného odběru, může smluvně svěřit plnění této povinnosti nebo její části schválenému subjektu. U ostatních domovních obalů.je povinna smluvně svěřit plnění této povinnosti schválenému subjektu. U nedomovních obalů je povinna smluvně svěřit provádění této povinnosti nebo její části schválenému subjektu.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U obalových odpadů, na které se vztahuje systém centralizovaného nakládání s odpady, zajistí schválené subjekty, každý ve své oblasti působnosti, financování nakládání s odpady, včetně operací přípravy k opakovanému použití, počínaje sběrným střediskem fungujícím na principu dobrovolného odevzdání odpadů.</w:t>
      </w:r>
    </w:p>
    <w:p w14:paraId="72D5467E" w14:textId="77777777" w:rsidR="000147DB" w:rsidRPr="008B68AD"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8B68AD">
        <w:rPr>
          <w:color w:val="FF0000"/>
          <w:spacing w:val="-4"/>
          <w:sz w:val="24"/>
        </w:rPr>
        <w:t>U obalového odpadu, který nespadá pod systém centralizovaného nakládání s odpady, se způsoby zásahu do financování schválených subjektů při tříděném sběru tohoto odpadu určí vzájemnou dohodou mezi těmito subjekty a dotčenými obcemi. Veškeré náklady na nakládání s odpady, včetně přípravy k opakovanému použití, musí být hrazeny z příspěvků osob odpovědných za obaly.</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(3) Kromě toho se vyžaduje, aby schválený subjekt:</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1. vypočetl příspěvky svých smluvních partnerů k pokrytí nákladů souvisejících se stávajícím sběrem a sběrem, který bude vytvořen, s tříděním nashromážděných obalových odpadů, operacemi přípravy k opakovanému použití, zpracováním obalových odpadů a nákladů na informování držitelů odpadu a s předáváním a shromažďováním informací. Zohledněné náklady nesmí překročit náklady nezbytné pro ekonomicky efektivní provoz.</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2. uzavřel smlouvu s obcemi nebo sdruženími obcí pověřenými nakládáním s domovním komunálním odpadem, která stanoví zejména technické podmínky a postupy sběru dotčeného obalového odpadu a nakládání s obalovým odpadem.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Smlouvou v žádném případě nesmí být dotčeny pravomoci obcí nebo sdružení obcí pověřených nakládáním s domovním komunálním odpadem v této věci.</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každoročně v rámci zprávy uvedené v čl. 35 odst. 2 zákona ze dne 21. března 2012 oznamoval ministrovi smlouvy uzavřené s obcemi nebo sdruženími obcí odpovědnými za nakládání s domovním komunálním odpadem.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Nakládání s obalovými odpady se musí provádět v souladu s hierarchií způsobů nakládání s odpady uvedenou v článku 9 zákona ze dne 21. března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rPr>
        <w:t>Článek 9 Základní požadavky</w:t>
      </w:r>
    </w:p>
    <w:p w14:paraId="605864EB" w14:textId="77777777" w:rsidR="000147DB" w:rsidRPr="003E7524" w:rsidRDefault="000147DB" w:rsidP="000147DB">
      <w:pPr>
        <w:spacing w:after="0" w:line="240" w:lineRule="auto"/>
        <w:jc w:val="both"/>
        <w:rPr>
          <w:rFonts w:eastAsia="Times New Roman" w:cs="Arial"/>
        </w:rPr>
      </w:pPr>
      <w:r>
        <w:t>Na lucemburský trh smí být uváděny pouze obaly, které vyhovují všem základním požadavkům uvedeným v příloze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rPr>
        <w:t>Článek 10 Identifikační systém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(1) Aby se usnadnil sběr, opakované použití, příprava k opakovanému použití a využití, včetně recyklace, obaly se označí, aby je daný průmysl mohl identifikovat a třídit podle typu použitého obalového materiálu nebo materiálů na základě rozhodnutí Komise 97/129/ES ze dne 28. ledna 1997, kterým se zavádí identifikační systém pro obalové materiály podle směrnice Evropského parlamentu a Rady 94/62/ES o obalech a obalových odpadech.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8B68AD" w:rsidRDefault="000147DB" w:rsidP="000147DB">
      <w:pPr>
        <w:spacing w:after="0" w:line="240" w:lineRule="auto"/>
        <w:jc w:val="both"/>
        <w:rPr>
          <w:rFonts w:eastAsia="Times New Roman" w:cs="Arial"/>
          <w:spacing w:val="-4"/>
        </w:rPr>
      </w:pPr>
      <w:r w:rsidRPr="008B68AD">
        <w:rPr>
          <w:spacing w:val="-4"/>
        </w:rPr>
        <w:t>(2) V případě potřeby musí být obaly opatřeny vhodným označením buď na povrchu, nebo na etiketě. Označení musí být dobře viditelné a snadno čitelné. Musí být náležitě odolné a trvanlivé, a to i po otevření obalu.</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Článek 11 Hladiny koncentrací těžkých kovů přítomných v obalech</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Součet hladin koncentrace olova, kadmia, rtuti a šestimocného chromu, které jsou přítomny v obalu nebo jeho součástech, nesmí překročit 100 ppm (hmot.).</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Hladiny koncentrace uvedené v odstavci 1 se nevztahují na obaly zhotovené výhradně z olovnatého křišťálového skla.</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Článek 12 Informační systémy</w:t>
      </w:r>
    </w:p>
    <w:p w14:paraId="5FCE099A" w14:textId="77777777" w:rsidR="000147DB" w:rsidRPr="003E7524" w:rsidRDefault="000147DB" w:rsidP="000147DB">
      <w:pPr>
        <w:spacing w:after="0" w:line="240" w:lineRule="auto"/>
        <w:jc w:val="both"/>
        <w:rPr>
          <w:rFonts w:eastAsia="Times New Roman" w:cs="Arial"/>
        </w:rPr>
      </w:pPr>
      <w:r>
        <w:t>(1) Databáze uvedené v příloze III směrnice Evropského parlamentu a Rady 94/62/ES ze dne 20. prosince 1994 o obalech a obalových odpadech ve znění aktů Evropské komise unie přijatých na základě článku 19 této směrnice spravuje Úřad pro ochranu životního prostředí. Tyto databáze obsahují informace o velikosti, parametrech a vývoji toků obalů a obalových odpadů, včetně informací o toxicitě nebo nebezpečnosti obalových materiálů a komponent používaných k jejich výrobě.</w:t>
      </w:r>
    </w:p>
    <w:p w14:paraId="7E5340DE" w14:textId="77777777" w:rsidR="000147DB" w:rsidRPr="003E7524" w:rsidRDefault="000147DB" w:rsidP="000147DB">
      <w:pPr>
        <w:spacing w:after="0" w:line="240" w:lineRule="auto"/>
        <w:jc w:val="both"/>
        <w:rPr>
          <w:rFonts w:eastAsia="Times New Roman" w:cs="Arial"/>
        </w:rPr>
      </w:pPr>
      <w:r>
        <w:t>(2) Zúčastněné hospodářské subjekty jsou povinny poskytovat Úřadu pro ochranu životního prostředí spolehlivé údaje o svém odvětví, jak se požaduje v tomto článku. Úřad pro ochranu životního prostředí vezme v úvahu zvláštní problémy, které jsou u malých a středně velkých podniků spojeny s poskytováním podrobných údajů.</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Článek 14 Informace pro uživatele obalů</w:t>
      </w:r>
    </w:p>
    <w:p w14:paraId="0BFAA0F4" w14:textId="77777777" w:rsidR="000147DB" w:rsidRPr="003E7524" w:rsidRDefault="000147DB" w:rsidP="000147DB">
      <w:pPr>
        <w:spacing w:after="0" w:line="240" w:lineRule="auto"/>
        <w:jc w:val="both"/>
        <w:rPr>
          <w:rFonts w:eastAsia="Times New Roman" w:cs="Arial"/>
        </w:rPr>
      </w:pPr>
      <w:r>
        <w:t>(1) Osoby odpovědné za obaly nebo schválené subjekty, každý ve své oblasti působnosti, jsou povinny informovat uživatele obalů včetně spotřebitelů o:</w:t>
      </w:r>
    </w:p>
    <w:p w14:paraId="28FD57E8" w14:textId="77777777" w:rsidR="000147DB" w:rsidRPr="003E7524" w:rsidRDefault="000147DB" w:rsidP="000147DB">
      <w:pPr>
        <w:spacing w:after="0" w:line="240" w:lineRule="auto"/>
        <w:jc w:val="both"/>
        <w:rPr>
          <w:rFonts w:eastAsia="Times New Roman" w:cs="Arial"/>
        </w:rPr>
      </w:pPr>
      <w:r>
        <w:t>možnosti předcházení vzniku obalových odpadu;</w:t>
      </w:r>
    </w:p>
    <w:p w14:paraId="1A222528" w14:textId="77777777" w:rsidR="000147DB" w:rsidRPr="003E7524" w:rsidRDefault="000147DB" w:rsidP="000147DB">
      <w:pPr>
        <w:spacing w:after="0" w:line="240" w:lineRule="auto"/>
        <w:jc w:val="both"/>
        <w:rPr>
          <w:rFonts w:eastAsia="Times New Roman" w:cs="Arial"/>
        </w:rPr>
      </w:pPr>
      <w:r>
        <w:t>systémech zpětného odběru, sběru a využití, které jsou jim přístupné, a jejich úloze při přispívání k opakovanému používání, zhodnocení a recyklaci obalů a obalových odpadů;</w:t>
      </w:r>
    </w:p>
    <w:p w14:paraId="2AF81E67" w14:textId="77777777" w:rsidR="000147DB" w:rsidRPr="003E7524" w:rsidRDefault="000147DB" w:rsidP="000147DB">
      <w:pPr>
        <w:spacing w:after="0" w:line="240" w:lineRule="auto"/>
        <w:jc w:val="both"/>
        <w:rPr>
          <w:rFonts w:eastAsia="Times New Roman" w:cs="Arial"/>
        </w:rPr>
      </w:pPr>
      <w:r>
        <w:t>nepříznivém dopadu nadměrné spotřeby plastových nákupních tašek na životní prostředí;</w:t>
      </w:r>
    </w:p>
    <w:p w14:paraId="0BB30D5B" w14:textId="77777777" w:rsidR="000147DB" w:rsidRPr="003E7524" w:rsidRDefault="000147DB" w:rsidP="000147DB">
      <w:pPr>
        <w:spacing w:after="0" w:line="240" w:lineRule="auto"/>
        <w:jc w:val="both"/>
        <w:rPr>
          <w:rFonts w:eastAsia="Times New Roman" w:cs="Arial"/>
        </w:rPr>
      </w:pPr>
      <w:r>
        <w:lastRenderedPageBreak/>
        <w:t>příslušných podkladech plánů odpadového hospodářství, které jsou součástí vnitrostátního plánu pro nakládání s odpady nebo zvláštního plánu v souladu se zákonem ze dne 21. března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Osoby, které nabízejí k prodeji balené výrobky, zajistí, aby byl konečný spotřebitel v místech prodeje vhodným způsobem informován o tom, že obal je opakovaně použitelný nebo využitelný, respektive recyklovatelný, a o systému zpětného odběru, zejména o systému sběru obalů.</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Obaly musí být opatřeny vhodným označením buď na povrchu, nebo na etiketě. Označení musí být dobře viditelné a snadno čitelné. Musí být náležitě odolné a trvanlivé, a to i po otevření obalu.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Informační opatření uvedená v odstavcích 1 a 2 se případně doplní o osvětové kampaně prováděné ve spolupráci se Úřadem pro ochranu životního prostředí.</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Článek 15 Zprávy</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Každá osoba odpovědná za obaly, která uvedla na trh lehké plastové nákupní tašky, musí ohlásit schválenému subjektu, ke kterému patří, roční množství těchto tašek.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Schválený subjekt je povinen tato množství nahlásit příslušnému orgánu v rámci zprávy uvedené v čl. 35 odst. 2 zákona ze dne 21. března 2012. Z toho jsou vyloučeny velmi lehké plastové nákupní tašky ve smyslu čl. 3 bodu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Článek 16 Prováděné kontroly </w:t>
      </w:r>
    </w:p>
    <w:p w14:paraId="035D85BE" w14:textId="77777777" w:rsidR="000147DB" w:rsidRPr="003E7524" w:rsidRDefault="000147DB" w:rsidP="000147DB">
      <w:pPr>
        <w:spacing w:after="0" w:line="240" w:lineRule="auto"/>
        <w:jc w:val="both"/>
        <w:rPr>
          <w:rFonts w:eastAsia="Times New Roman" w:cs="Arial"/>
        </w:rPr>
      </w:pPr>
      <w:r>
        <w:t>(1) Výroční zpráva se ověřuje v souladu s ustanoveními čl. 35 odst. 2 zákona ze dne 21. března 2012.</w:t>
      </w:r>
    </w:p>
    <w:p w14:paraId="35E08884" w14:textId="77777777" w:rsidR="000147DB" w:rsidRPr="003E7524" w:rsidRDefault="000147DB" w:rsidP="000147DB">
      <w:pPr>
        <w:spacing w:after="0" w:line="240" w:lineRule="auto"/>
        <w:jc w:val="both"/>
        <w:rPr>
          <w:rFonts w:eastAsia="Times New Roman" w:cs="Arial"/>
        </w:rPr>
      </w:pPr>
      <w:r>
        <w:t>Pro účely kontroly jsou osoby odpovědné za obaly nebo schválené subjekty povinny poskytnout schválenému auditorovi všechny dokumenty, účetní a jiné doklady a proměnné vstupující do výpočtů, které posloužily jako základ pro tyto zprávy.</w:t>
      </w:r>
    </w:p>
    <w:p w14:paraId="01E1F62A" w14:textId="77777777" w:rsidR="000147DB" w:rsidRPr="003E7524" w:rsidRDefault="000147DB" w:rsidP="000147DB">
      <w:pPr>
        <w:spacing w:after="0" w:line="240" w:lineRule="auto"/>
        <w:jc w:val="both"/>
        <w:rPr>
          <w:rFonts w:eastAsia="Times New Roman" w:cs="Arial"/>
        </w:rPr>
      </w:pPr>
      <w:r>
        <w:t>Poplatky za provádění kontroly schváleným auditorem hradí osoby odpovědné za obaly nebo schválený subjekt (schválené subjekty).</w:t>
      </w:r>
    </w:p>
    <w:p w14:paraId="54AD644D" w14:textId="77777777" w:rsidR="000147DB" w:rsidRPr="003E7524" w:rsidRDefault="000147DB" w:rsidP="000147DB">
      <w:pPr>
        <w:spacing w:after="0" w:line="240" w:lineRule="auto"/>
        <w:jc w:val="both"/>
        <w:rPr>
          <w:rFonts w:eastAsia="Times New Roman" w:cs="Arial"/>
        </w:rPr>
      </w:pPr>
      <w:r>
        <w:t>(2) Výsledky kontroly prováděné schváleným auditorem musí auditor neprodleně předat Úřadu pro ochranu životního prostředí.</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Článek 17 Vyšetřování a zjišťování protiprávního jednání</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(1) Kromě příslušníků policie velkovévodství z řad policejního sboru mohou být zjišťováním porušení tohoto zákona a právních předpisů přijatých k jeho provedení pověřeni i příslušníci Celní a daňové správy, počínaje hodností poddůstojníka, a úředníci a zaměstnanci Úřadu pro ochranu životního prostředí zařazení v třídách A1, A2 a B1.</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Při plnění svých povinností požívají příslušníci Celní a daňové správy a úředníci Úřadu pro ochranu životního prostředí postavení příslušníků soudní policie. Zaznamenávají protiprávní jednání ve formě závazných protokolů až do okamžiku prokázání opaku.</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(2) Příslušníci a úředníci uvedení v odstavci 1 musí absolvovat zvláštní odbornou přípravu zaměřenou na vyšetřování a zjišťování protiprávního jednání. Vzdělávací program a doba trvání této odborné přípravy a způsoby ověřování nabytých znalostí se stanoví velkovévodským nařízením.</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rPr>
        <w:lastRenderedPageBreak/>
        <w:t>Před uvedením do funkce složí před lucemburským okresním soudem, který zasedá v civilních věcech, tuto přísahu:</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„Přísahám, že své povinnosti budu vykonávat čestně, přesně a nestranně.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Použije se článek 458 trestního zákoníku.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u w:val="single"/>
        </w:rPr>
        <w:t>Článek 18 Pravomoci a výsady při kontrole</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 xml:space="preserve">(1) Osoby uvedené v článku 17 mají ve dne i v noci a bez předchozího upozornění přístup do zařízení, prostor, na pozemky, do zařízení a dopravních prostředků, na které se vztahuje tento zákon a právní předpisy přijaté k jeho provedení.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Ustanovení odstavce 1 se nevztahují na prostory používané k ubytování.</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Nicméně aniž by tím bylo dotčeno ustanovení čl. 33 odst. 1 trestního řádu, existuje-li důvodné podezření, že protiprávní jednání má svůj původ v prostorách určených k bydlení, může do tohoto obydlí vstoupit příslušník soudní policie, příslušník velkovévodské policie nebo příslušník podle článku 45, který koná z pověření vyšetřujícího soudce, a to v době od půl sedmé ráno do půlnoci.</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rPr>
        <w:t>(3) Při výkonu pravomocí stanovených v odstavcích 1 a 2 jsou dotčení příslušníci a úředníci oprávněni:</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1. přijímat sdělení o všech záznamech a dokumentech týkajících se obalů a obalových odpadů, na které se vztahuje tento zákon;</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odebírat nebo nechat odebrat pro účely ohledání nebo analýzy vzorky obalů a obalových odpadů uvedených v tomto zákoně. Část vzorku, opatřená číslem nebo zapečetěná, se předává provozovateli zařízení, areálu nebo dopravního prostředku nebo držiteli na jeho účet, ledaže by se toho tento subjekt výslovně vzdal nebo že by tomu bránily technické důvody;</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3. zabavit a případně zapečetit obaly a obalové odpady uvedené v tomto zákoně a záznamy a dokumenty, které se k nim vztahují.</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(4) Jakákoli osoba, u které se provádějí opatření stanovená v odstavci 3, a dále nástupci těchto osob, jsou povinni na žádost úředníků odpovědných za tato opatření umožnit provedení úkonů těmito úředníky.</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Osoby uvedené v předchozím pododstavci mohou být přítomny při provádění těchto úkonů.</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(5) Vypracuje se protokol o zjištěních a úkonech.</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(6) Náklady vzniklé v důsledku opatření přijatých podle tohoto článku jsou zahrnuty do nákladů řízení a hradí se podle jeho výsledku.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lastRenderedPageBreak/>
        <w:t>Článek 19 Trestní sankce</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Protiprávní jednání podle čl. 6 odst. 1, čl. 7 odst. 1 pododst. 1 a odst. 3, čl. 8 odst. 1 pododst. 2, čl. 8 odst. 2, čl. 8 odst. 4, čl. 9 a čl. 11 odst. 1 se trestají odnětím svobody v délce osmi dní až 3 let a pokutou ve výši 251 EUR až 750 000 EUR, nebo jen jedním z těchto trestů.</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Stejné tresty se použijí v případě maření správních opatření uložených podle článku 21 nebo jejich nedodržení.</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Článek 20 Správní pokuty</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Ministr je oprávněn uložit správní pokutu ve výši 50 EUR až 10 000 EUR v případě porušení ustanovení čl. 5 odst. 1 a 2, čl. 7 odst. 2 písm. a) pododst. 3, čl. 8 odst. 3, pododst. 3, čl. 12 odst. 2, čl. 14 odst. 1 a 2, článku 15 nebo čl. 16 odst.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Tyto pokuty jsou splatné do dvou měsíců od písemného vyrozumění o rozhodnutí.</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Správní pokuty vybírá lucemburská daňová a majetková správa. Platba probíhá stejně jako v případě registračních poplatků.</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rPr>
        <w:t>Článek 21 Správní opatření</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V případě nedodržení ustanovení sankcionovaných podle čl. 19 </w:t>
      </w:r>
      <w:r>
        <w:rPr>
          <w:strike/>
          <w:color w:val="FF0000"/>
        </w:rPr>
        <w:t>odst. 1</w:t>
      </w:r>
      <w:r>
        <w:rPr>
          <w:color w:val="FF0000"/>
        </w:rPr>
        <w:t xml:space="preserve"> </w:t>
      </w:r>
      <w:r>
        <w:t>tohoto zákona může ministr:</w:t>
      </w:r>
    </w:p>
    <w:p w14:paraId="3FA876A2" w14:textId="77777777" w:rsidR="000147DB" w:rsidRPr="00B972B3" w:rsidRDefault="000147DB" w:rsidP="000147DB">
      <w:pPr>
        <w:spacing w:after="0" w:line="240" w:lineRule="auto"/>
        <w:jc w:val="both"/>
        <w:rPr>
          <w:rFonts w:eastAsia="Times New Roman" w:cs="Arial"/>
          <w:spacing w:val="-4"/>
        </w:rPr>
      </w:pPr>
      <w:r>
        <w:t>stanovit osobě odpovědné za obaly, schválenému subjektu nebo jiné dotčené osobě lhůtu, ve které tyto posledně uvedené osoby musí dodržet tato ustanovení, přičemž tato lhůta nesmí překročit dva roky;</w:t>
      </w:r>
    </w:p>
    <w:p w14:paraId="3CDBEA63" w14:textId="11412CF2" w:rsidR="000147DB" w:rsidRPr="008B68AD" w:rsidRDefault="000147DB" w:rsidP="000147DB">
      <w:pPr>
        <w:autoSpaceDE w:val="0"/>
        <w:autoSpaceDN w:val="0"/>
        <w:adjustRightInd w:val="0"/>
        <w:spacing w:after="0" w:line="276" w:lineRule="auto"/>
        <w:jc w:val="both"/>
        <w:rPr>
          <w:rFonts w:cs="TimesNewRoman"/>
          <w:color w:val="FF0000"/>
          <w:spacing w:val="-4"/>
          <w:sz w:val="24"/>
          <w:szCs w:val="24"/>
        </w:rPr>
      </w:pPr>
      <w:r w:rsidRPr="008B68AD">
        <w:rPr>
          <w:color w:val="FF0000"/>
          <w:spacing w:val="-4"/>
          <w:sz w:val="24"/>
        </w:rPr>
        <w:t>2) zcela nebo částečně pozastavit činnost osoby odpovědné za obaly nebo schváleného subjektu nebo provoz zařízení nebo nechat zařízení zcela nebo zčásti uzavřít a opatřit pečetí nebo zakázat uvádění obalů a obalových odpadů uvedených v tomto zákoně na trh nebo uložit jejich stažení z trhu.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O uložení opatření uvedených v odstavci 1 může požádat kterákoli zúčastněná strana.</w:t>
      </w:r>
    </w:p>
    <w:p w14:paraId="15C47735" w14:textId="77777777" w:rsidR="000147DB" w:rsidRPr="003E7524" w:rsidRDefault="000147DB" w:rsidP="000147DB">
      <w:pPr>
        <w:spacing w:after="0" w:line="240" w:lineRule="auto"/>
        <w:jc w:val="both"/>
        <w:rPr>
          <w:rFonts w:eastAsia="Times New Roman" w:cs="Arial"/>
        </w:rPr>
      </w:pPr>
      <w:r>
        <w:t>(3) Opatření uvedená ve výčtu v odstavci 1 se zruší, pokud osoba odpovědná za obaly, schválený subjekt nebo jiná dotčená osoba dodrží tato ustanovení.</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Článek 22 Opravné prostředky</w:t>
      </w:r>
    </w:p>
    <w:p w14:paraId="777CA2C3" w14:textId="77777777" w:rsidR="000147DB" w:rsidRPr="003E7524" w:rsidRDefault="000147DB" w:rsidP="000147DB">
      <w:pPr>
        <w:spacing w:after="0" w:line="240" w:lineRule="auto"/>
        <w:jc w:val="both"/>
        <w:rPr>
          <w:rFonts w:eastAsia="Times New Roman" w:cs="Arial"/>
        </w:rPr>
      </w:pPr>
      <w:r>
        <w:t>Proti rozhodnutím přijatým na základě tohoto zákona lze podat odvolání ke správnímu soudu. Odvolání musí být podáno v prekluzivní lhůtě čtyřiceti dnů od oznámení rozhodnutí. Odvolání mohou podat i sdružení a organizace uvedené v článku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color w:val="000000"/>
        </w:rPr>
        <w:lastRenderedPageBreak/>
        <w:t>Článek 23 Aktivní legitimace schválených ekologických sdružení</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Sdružení a organizace schválené na základě zákona ze dne 21. března 2012 mohou vykonávat práva náležející občanskoprávnímu subjektu, pokud jde o skutečnosti, které představují protiprávní jednání ve smyslu tohoto zákona a které přímo nebo nepřímo poškozují společný zájem, který tato sdružení a organizace hájí, a to i v případě, že neprokáží hmotněprávní vztah k věci a v případě, že společný zájem, jenž hájí, se zcela kryje se společenským zájmem, jehož ochranu zajišťuje státní zástupce. Totéž platí pro sdružení a organizace s právní osobností podle zahraničního práva, které vykonávají své zákonné činnosti v oblasti ochrany životního prostředí.</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u w:val="single"/>
        </w:rPr>
        <w:t>Článek 24 Přílohy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rPr>
        <w:t>Článek 24 Změny přílohy I směrnice Evropského parlamentu a Rady 94/62/ES ze dne 20. prosince 1994 o obalech a obalových odpadech ve znění aktů Evropské komise v přenesené pravomoci přijatých v souladu s čl. 19 odst. 2 a článkem 21a této směrnice.</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Změny přílohy směrnice Evropského parlamentu a Rady 94/62/ES ze dne 20. prosince 1994 o obalech a obalových odpadech ve znění aktů Evropské komise v přenesené pravomoci přijatých v souladu s ustanovením čl. 19 odst. 2 a článku 21a této směrnice se použijí s účinností od data vstupu příslušných aktů Evropské komise v platnost.</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Ministr zveřejní oznámení v Úředním věstníku Lucemburského velkovévodství a poskytne informace o takto provedených změnách, včetně odkazu na akt vyhlášený v Úředním věstníku Evropské unie.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PŘÍLOHA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color w:val="000000"/>
        </w:rPr>
        <w:t>Základní požadavky na složení a vlastnosti opakovaně použitelných a využitelných obalů, včetně recyklovatelných obalů</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1) Zvláštní požadavky na výrobu a složení obalů</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Obaly musí být vyráběny tak, aby objem a hmotnost obalu byly omezeny na minimální hodnotu přiměřenou pro zachování nezbytné úrovně bezpečnosti, hygieny a přijatelnosti pro balený výrobek i pro spotřebitele.</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b) Obaly musí být navrženy, vyrobeny a uváděny na trh způsobem, který v souladu se zásadou hierarchie způsobů nakládání s odpady umožní jejich opakované použití nebo využití, včetně recyklace, a omezí na minimum jejich dopad na životní prostředí, když se obalové odpady nebo zbytky po operacích nakládání s odpady odstraňují.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c) Obaly se musí být vyráběny tak, aby obsah škodlivých a jiných nebezpečných látek a materiálů, které jsou složkami obalového materiálu nebo kterékoli ze součástí obalu, byl co nejnižší se zřetelem na jejich přítomnost v emisích, popelu nebo výluhu, když se obaly, zbytky po operacích nakládání s odpady nebo obalové odpady spalují nebo skládkují.</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color w:val="000000"/>
        </w:rPr>
        <w:t>2) Zvláštní požadavky na vlastnosti opakovaně použitelných obalů</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Je třeba, aby byly současně splněny tyto požadavky:</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fyzikální vlastnosti a parametry obalů musí za běžně předvídatelných podmínek použití umožňovat určitý počet obrátek nebo cyklů,</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operace s použitými obaly musí být možné vykonávat tak, aby byly dodrženy požadavky na ochranu zdraví a bezpečnost pracovníků,</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musí být splněny zvláštní požadavky týkající se využití obalů, jakmile se obaly již přestanou opakovaně používat a stanou se tak odpadem.</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color w:val="000000"/>
        </w:rPr>
        <w:t>3) Zvláštní požadavky na využitelnost obalů</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Obaly využitelné formou recyklace materiálu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Obaly se musí být vyrobeny způsobem, který umožní recyklaci určitého podílu hmotnosti materiálů použitých při výrobě výrobků určených k prodeji, v souladu s platnými normami Evropské unie. Velikost tohoto podílu se může různit v závislosti na druhu materiálu, z něhož se obal skládá.</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Obaly využitelné formou energetického využití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Obalové odpady určené k energetickému využití musí mít určitou minimální hodnotu výhřevnosti umožňující optimalizaci energetického využití.</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Obaly využitelné formou kompostování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Obalové odpady určené ke kompostování musí mít takovou schopnost biologického rozkladu, která nebrání jejich oddělenému sběru a kompostování nebo působení, jemuž jsou vystaveny.</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rPr>
        <w:t>d) Biologicky rozložitelné obaly</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 xml:space="preserve">Biologicky rozložitelné obaly musí být takové povahy, aby u nich mohl proběhnout fyzikální, chemický, tepelný nebo biologický rozklad, který umožní, aby se převážná část vzniklého kompostu nakonec rozložila na oxid uhličitý, biomasu a vodu.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rPr>
        <w:t>Oxo-rozložitelné plastové obaly se nepovažují za obaly biologicky rozložitelné.</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PŘÍLOHA II</w:t>
      </w:r>
    </w:p>
    <w:p w14:paraId="08D0C795" w14:textId="77777777" w:rsidR="000147DB" w:rsidRPr="003E7524" w:rsidRDefault="000147DB" w:rsidP="00B972B3">
      <w:pPr>
        <w:keepNext/>
        <w:keepLines/>
        <w:spacing w:after="0" w:line="240" w:lineRule="auto"/>
        <w:jc w:val="center"/>
        <w:rPr>
          <w:rFonts w:eastAsia="Times New Roman" w:cs="Arial"/>
          <w:b/>
          <w:bCs/>
        </w:rPr>
      </w:pPr>
      <w:r>
        <w:rPr>
          <w:b/>
        </w:rPr>
        <w:t>Dohoda o životním prostředí</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Na dohody o životním prostředí podle tohoto zákona se vztahují tato pravidla:</w:t>
      </w:r>
    </w:p>
    <w:p w14:paraId="26FA5C49" w14:textId="77777777" w:rsidR="000147DB" w:rsidRPr="003E7524" w:rsidRDefault="000147DB" w:rsidP="000147DB">
      <w:pPr>
        <w:spacing w:after="0" w:line="240" w:lineRule="auto"/>
        <w:jc w:val="both"/>
        <w:rPr>
          <w:rFonts w:eastAsia="Times New Roman" w:cs="Arial"/>
        </w:rPr>
      </w:pPr>
      <w:r>
        <w:t>1) Dohody musí uvádět jejich cíle a dobu trvání.</w:t>
      </w:r>
    </w:p>
    <w:p w14:paraId="6DB322CD" w14:textId="77777777" w:rsidR="000147DB" w:rsidRPr="003E7524" w:rsidRDefault="000147DB" w:rsidP="000147DB">
      <w:pPr>
        <w:spacing w:after="0" w:line="240" w:lineRule="auto"/>
        <w:jc w:val="both"/>
        <w:rPr>
          <w:rFonts w:eastAsia="Times New Roman" w:cs="Arial"/>
        </w:rPr>
      </w:pPr>
      <w:r>
        <w:t>2) Dohody a výsledky dosažené jejich provedením musí být dostupné veřejnosti a ministr je musí sdělit Evropské komisi.</w:t>
      </w:r>
    </w:p>
    <w:p w14:paraId="0C4AFADA" w14:textId="77777777" w:rsidR="000147DB" w:rsidRPr="003E7524" w:rsidRDefault="000147DB" w:rsidP="000147DB">
      <w:pPr>
        <w:spacing w:after="0" w:line="240" w:lineRule="auto"/>
        <w:jc w:val="both"/>
        <w:rPr>
          <w:rFonts w:eastAsia="Times New Roman" w:cs="Arial"/>
        </w:rPr>
      </w:pPr>
      <w:r>
        <w:t>3) Provádění dohod podléhá pravidelné kontrole ze strany správního orgánu.</w:t>
      </w:r>
    </w:p>
    <w:p w14:paraId="338631B9" w14:textId="77777777" w:rsidR="000147DB" w:rsidRPr="003E7524" w:rsidRDefault="000147DB" w:rsidP="000147DB">
      <w:pPr>
        <w:spacing w:after="0" w:line="240" w:lineRule="auto"/>
        <w:jc w:val="both"/>
        <w:rPr>
          <w:rFonts w:eastAsia="Times New Roman" w:cs="Arial"/>
        </w:rPr>
      </w:pPr>
      <w:r>
        <w:t>4) Dohody musí obsahovat opatření a sankce v případě nedodržení jejich ustanovení.</w:t>
      </w:r>
    </w:p>
    <w:p w14:paraId="3E2E4659" w14:textId="77777777" w:rsidR="000147DB" w:rsidRPr="003E7524" w:rsidRDefault="000147DB" w:rsidP="000147DB">
      <w:pPr>
        <w:spacing w:after="0" w:line="240" w:lineRule="auto"/>
        <w:jc w:val="both"/>
        <w:rPr>
          <w:rFonts w:eastAsia="Times New Roman" w:cs="Arial"/>
        </w:rPr>
      </w:pPr>
      <w:r>
        <w:t>5) Dohody se uzavírají na dobu určitou, která nesmí přesáhnout dobu pěti let. Jejich automatické prodloužení není možné.</w:t>
      </w:r>
    </w:p>
    <w:p w14:paraId="104D8A65" w14:textId="77777777" w:rsidR="000147DB" w:rsidRPr="003E7524" w:rsidRDefault="000147DB" w:rsidP="000147DB">
      <w:pPr>
        <w:spacing w:after="0" w:line="240" w:lineRule="auto"/>
        <w:jc w:val="both"/>
        <w:rPr>
          <w:rFonts w:eastAsia="Times New Roman" w:cs="Arial"/>
        </w:rPr>
      </w:pPr>
      <w:r>
        <w:t>6) Dohody zaniknou buď uplynutím doby, na kterou byly uzavřeny, nebo dosažením jejich cílů, nebo na základě vzájemné dohody stran.</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Zákon ze dne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u w:val="single"/>
        </w:rPr>
        <w:t>PŘÍLOHA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color w:val="FF0000"/>
          <w:sz w:val="24"/>
          <w:u w:val="single"/>
        </w:rPr>
        <w:t>Seznam ovoce a zeleniny uvedených v čl. 5 odst. 1 bodě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Čerstvé ovoce</w:t>
            </w:r>
          </w:p>
        </w:tc>
        <w:tc>
          <w:tcPr>
            <w:tcW w:w="4675" w:type="dxa"/>
          </w:tcPr>
          <w:p w14:paraId="5DD24357" w14:textId="77777777" w:rsidR="000147DB" w:rsidRPr="00B972B3" w:rsidRDefault="000147DB" w:rsidP="000147DB">
            <w:pPr>
              <w:rPr>
                <w:b/>
                <w:color w:val="FF0000"/>
                <w:spacing w:val="-4"/>
              </w:rPr>
            </w:pPr>
            <w:r>
              <w:rPr>
                <w:b/>
                <w:color w:val="FF0000"/>
              </w:rPr>
              <w:t>Čerstvá zelenina</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w:t>
            </w:r>
          </w:p>
        </w:tc>
        <w:tc>
          <w:tcPr>
            <w:tcW w:w="4675" w:type="dxa"/>
          </w:tcPr>
          <w:p w14:paraId="08482F53" w14:textId="77777777" w:rsidR="000147DB" w:rsidRPr="00B972B3" w:rsidRDefault="000147DB" w:rsidP="000147DB">
            <w:pPr>
              <w:rPr>
                <w:color w:val="FF0000"/>
                <w:spacing w:val="-4"/>
              </w:rPr>
            </w:pPr>
            <w:r>
              <w:rPr>
                <w:color w:val="FF0000"/>
              </w:rPr>
              <w:t>Česnek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Meruňka</w:t>
            </w:r>
          </w:p>
        </w:tc>
        <w:tc>
          <w:tcPr>
            <w:tcW w:w="4675" w:type="dxa"/>
          </w:tcPr>
          <w:p w14:paraId="3AFF19ED" w14:textId="77777777" w:rsidR="000147DB" w:rsidRPr="00B972B3" w:rsidRDefault="000147DB" w:rsidP="000147DB">
            <w:pPr>
              <w:rPr>
                <w:color w:val="FF0000"/>
                <w:spacing w:val="-4"/>
              </w:rPr>
            </w:pPr>
            <w:r>
              <w:rPr>
                <w:color w:val="FF0000"/>
              </w:rPr>
              <w:t>Artyčok</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Avokádo </w:t>
            </w:r>
          </w:p>
        </w:tc>
        <w:tc>
          <w:tcPr>
            <w:tcW w:w="4675" w:type="dxa"/>
          </w:tcPr>
          <w:p w14:paraId="2478D876" w14:textId="77777777" w:rsidR="000147DB" w:rsidRPr="00B972B3" w:rsidRDefault="000147DB" w:rsidP="000147DB">
            <w:pPr>
              <w:rPr>
                <w:color w:val="FF0000"/>
                <w:spacing w:val="-4"/>
              </w:rPr>
            </w:pPr>
            <w:r>
              <w:rPr>
                <w:color w:val="FF0000"/>
              </w:rPr>
              <w:t>Chřest</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Banán</w:t>
            </w:r>
          </w:p>
        </w:tc>
        <w:tc>
          <w:tcPr>
            <w:tcW w:w="4675" w:type="dxa"/>
          </w:tcPr>
          <w:p w14:paraId="3DDEEA9A" w14:textId="77777777" w:rsidR="000147DB" w:rsidRPr="00B972B3" w:rsidRDefault="000147DB" w:rsidP="000147DB">
            <w:pPr>
              <w:rPr>
                <w:color w:val="FF0000"/>
                <w:spacing w:val="-4"/>
              </w:rPr>
            </w:pPr>
            <w:r>
              <w:rPr>
                <w:color w:val="FF0000"/>
              </w:rPr>
              <w:t>Lilek</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Karambola </w:t>
            </w:r>
          </w:p>
        </w:tc>
        <w:tc>
          <w:tcPr>
            <w:tcW w:w="4675" w:type="dxa"/>
          </w:tcPr>
          <w:p w14:paraId="7AC5C4A8" w14:textId="77777777" w:rsidR="000147DB" w:rsidRPr="00B972B3" w:rsidRDefault="000147DB" w:rsidP="000147DB">
            <w:pPr>
              <w:rPr>
                <w:color w:val="FF0000"/>
                <w:spacing w:val="-4"/>
              </w:rPr>
            </w:pPr>
            <w:r>
              <w:rPr>
                <w:color w:val="FF0000"/>
              </w:rPr>
              <w:t>Řepa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Třešně</w:t>
            </w:r>
          </w:p>
        </w:tc>
        <w:tc>
          <w:tcPr>
            <w:tcW w:w="4675" w:type="dxa"/>
          </w:tcPr>
          <w:p w14:paraId="2B969983" w14:textId="77777777" w:rsidR="000147DB" w:rsidRPr="00B972B3" w:rsidRDefault="000147DB" w:rsidP="000147DB">
            <w:pPr>
              <w:rPr>
                <w:color w:val="FF0000"/>
                <w:spacing w:val="-4"/>
              </w:rPr>
            </w:pPr>
            <w:r>
              <w:rPr>
                <w:color w:val="FF0000"/>
              </w:rPr>
              <w:t xml:space="preserve">Brokolice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Citron</w:t>
            </w:r>
          </w:p>
        </w:tc>
        <w:tc>
          <w:tcPr>
            <w:tcW w:w="4675" w:type="dxa"/>
          </w:tcPr>
          <w:p w14:paraId="47A7B036" w14:textId="77777777" w:rsidR="000147DB" w:rsidRPr="00B972B3" w:rsidRDefault="000147DB" w:rsidP="000147DB">
            <w:pPr>
              <w:rPr>
                <w:color w:val="FF0000"/>
                <w:spacing w:val="-4"/>
              </w:rPr>
            </w:pPr>
            <w:r>
              <w:rPr>
                <w:color w:val="FF0000"/>
              </w:rPr>
              <w:t>Mrkev</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Limetka</w:t>
            </w:r>
          </w:p>
        </w:tc>
        <w:tc>
          <w:tcPr>
            <w:tcW w:w="4675" w:type="dxa"/>
          </w:tcPr>
          <w:p w14:paraId="453BF889" w14:textId="77777777" w:rsidR="000147DB" w:rsidRPr="00B972B3" w:rsidRDefault="000147DB" w:rsidP="000147DB">
            <w:pPr>
              <w:rPr>
                <w:color w:val="FF0000"/>
                <w:spacing w:val="-4"/>
              </w:rPr>
            </w:pPr>
            <w:r>
              <w:rPr>
                <w:color w:val="FF0000"/>
              </w:rPr>
              <w:t>Celer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Klementinka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Kdoule</w:t>
            </w:r>
          </w:p>
        </w:tc>
        <w:tc>
          <w:tcPr>
            <w:tcW w:w="4675" w:type="dxa"/>
          </w:tcPr>
          <w:p w14:paraId="7F3699D7" w14:textId="77777777" w:rsidR="000147DB" w:rsidRPr="00B972B3" w:rsidRDefault="000147DB" w:rsidP="000147DB">
            <w:pPr>
              <w:rPr>
                <w:color w:val="FF0000"/>
                <w:spacing w:val="-4"/>
              </w:rPr>
            </w:pPr>
            <w:r>
              <w:rPr>
                <w:color w:val="FF0000"/>
              </w:rPr>
              <w:t>Růžičková kapusta</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Fík</w:t>
            </w:r>
          </w:p>
        </w:tc>
        <w:tc>
          <w:tcPr>
            <w:tcW w:w="4675" w:type="dxa"/>
          </w:tcPr>
          <w:p w14:paraId="7D013B00" w14:textId="77777777" w:rsidR="000147DB" w:rsidRPr="00B972B3" w:rsidRDefault="000147DB" w:rsidP="000147DB">
            <w:pPr>
              <w:rPr>
                <w:color w:val="FF0000"/>
                <w:spacing w:val="-4"/>
              </w:rPr>
            </w:pPr>
            <w:r>
              <w:rPr>
                <w:color w:val="FF0000"/>
              </w:rPr>
              <w:t xml:space="preserve">Květák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Maracuja</w:t>
            </w:r>
          </w:p>
        </w:tc>
        <w:tc>
          <w:tcPr>
            <w:tcW w:w="4675" w:type="dxa"/>
          </w:tcPr>
          <w:p w14:paraId="20A94445" w14:textId="77777777" w:rsidR="000147DB" w:rsidRPr="00B972B3" w:rsidRDefault="000147DB" w:rsidP="000147DB">
            <w:pPr>
              <w:rPr>
                <w:color w:val="FF0000"/>
                <w:spacing w:val="-4"/>
              </w:rPr>
            </w:pPr>
            <w:r>
              <w:rPr>
                <w:color w:val="FF0000"/>
              </w:rPr>
              <w:t xml:space="preserve">Kedluben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 </w:t>
            </w:r>
          </w:p>
        </w:tc>
        <w:tc>
          <w:tcPr>
            <w:tcW w:w="4675" w:type="dxa"/>
          </w:tcPr>
          <w:p w14:paraId="31DCAFA7" w14:textId="77777777" w:rsidR="000147DB" w:rsidRPr="00B972B3" w:rsidRDefault="000147DB" w:rsidP="000147DB">
            <w:pPr>
              <w:rPr>
                <w:color w:val="FF0000"/>
                <w:spacing w:val="-4"/>
              </w:rPr>
            </w:pPr>
            <w:r>
              <w:rPr>
                <w:color w:val="FF0000"/>
              </w:rPr>
              <w:t>Červené zelí</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Granátové jablko </w:t>
            </w:r>
          </w:p>
        </w:tc>
        <w:tc>
          <w:tcPr>
            <w:tcW w:w="4675" w:type="dxa"/>
          </w:tcPr>
          <w:p w14:paraId="2E7E8615" w14:textId="77777777" w:rsidR="000147DB" w:rsidRPr="00B972B3" w:rsidRDefault="000147DB" w:rsidP="000147DB">
            <w:pPr>
              <w:rPr>
                <w:color w:val="FF0000"/>
                <w:spacing w:val="-4"/>
              </w:rPr>
            </w:pPr>
            <w:r>
              <w:rPr>
                <w:color w:val="FF0000"/>
              </w:rPr>
              <w:t>Kapusta</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lastRenderedPageBreak/>
              <w:t>Kiwi</w:t>
            </w:r>
          </w:p>
        </w:tc>
        <w:tc>
          <w:tcPr>
            <w:tcW w:w="4675" w:type="dxa"/>
          </w:tcPr>
          <w:p w14:paraId="0CB65944" w14:textId="77777777" w:rsidR="000147DB" w:rsidRPr="00B972B3" w:rsidRDefault="000147DB" w:rsidP="000147DB">
            <w:pPr>
              <w:rPr>
                <w:color w:val="FF0000"/>
                <w:spacing w:val="-4"/>
              </w:rPr>
            </w:pPr>
            <w:r>
              <w:rPr>
                <w:color w:val="FF0000"/>
              </w:rPr>
              <w:t>Okurka</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Liči</w:t>
            </w:r>
          </w:p>
        </w:tc>
        <w:tc>
          <w:tcPr>
            <w:tcW w:w="4675" w:type="dxa"/>
          </w:tcPr>
          <w:p w14:paraId="07FD18D1" w14:textId="77777777" w:rsidR="000147DB" w:rsidRPr="00B972B3" w:rsidRDefault="000147DB" w:rsidP="000147DB">
            <w:pPr>
              <w:rPr>
                <w:color w:val="FF0000"/>
                <w:spacing w:val="-4"/>
              </w:rPr>
            </w:pPr>
            <w:r>
              <w:rPr>
                <w:color w:val="FF0000"/>
              </w:rPr>
              <w:t>Tykev</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Mandarinka</w:t>
            </w:r>
          </w:p>
        </w:tc>
        <w:tc>
          <w:tcPr>
            <w:tcW w:w="4675" w:type="dxa"/>
          </w:tcPr>
          <w:p w14:paraId="1E3114C2" w14:textId="77777777" w:rsidR="000147DB" w:rsidRPr="00B972B3" w:rsidRDefault="000147DB" w:rsidP="000147DB">
            <w:pPr>
              <w:rPr>
                <w:color w:val="FF0000"/>
                <w:spacing w:val="-4"/>
              </w:rPr>
            </w:pPr>
            <w:r>
              <w:rPr>
                <w:color w:val="FF0000"/>
              </w:rPr>
              <w:t xml:space="preserve">Cuketa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Fazole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Meloun</w:t>
            </w:r>
          </w:p>
        </w:tc>
        <w:tc>
          <w:tcPr>
            <w:tcW w:w="4675" w:type="dxa"/>
          </w:tcPr>
          <w:p w14:paraId="64BDF842" w14:textId="77777777" w:rsidR="000147DB" w:rsidRPr="00B972B3" w:rsidRDefault="000147DB" w:rsidP="000147DB">
            <w:pPr>
              <w:rPr>
                <w:color w:val="FF0000"/>
                <w:spacing w:val="-4"/>
              </w:rPr>
            </w:pPr>
            <w:r>
              <w:rPr>
                <w:color w:val="FF0000"/>
              </w:rPr>
              <w:t>Endivie</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Mirabelka</w:t>
            </w:r>
          </w:p>
        </w:tc>
        <w:tc>
          <w:tcPr>
            <w:tcW w:w="4675" w:type="dxa"/>
          </w:tcPr>
          <w:p w14:paraId="716EDB7B" w14:textId="77777777" w:rsidR="000147DB" w:rsidRPr="00B972B3" w:rsidRDefault="000147DB" w:rsidP="000147DB">
            <w:pPr>
              <w:rPr>
                <w:color w:val="FF0000"/>
                <w:spacing w:val="-4"/>
              </w:rPr>
            </w:pPr>
            <w:r>
              <w:rPr>
                <w:color w:val="FF0000"/>
              </w:rPr>
              <w:t>Fenykl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Nektarinka</w:t>
            </w:r>
          </w:p>
        </w:tc>
        <w:tc>
          <w:tcPr>
            <w:tcW w:w="4675" w:type="dxa"/>
          </w:tcPr>
          <w:p w14:paraId="34F5A88D" w14:textId="77777777" w:rsidR="000147DB" w:rsidRPr="00B972B3" w:rsidRDefault="000147DB" w:rsidP="000147DB">
            <w:pPr>
              <w:rPr>
                <w:color w:val="FF0000"/>
                <w:spacing w:val="-4"/>
              </w:rPr>
            </w:pPr>
            <w:r>
              <w:rPr>
                <w:color w:val="FF0000"/>
              </w:rPr>
              <w:t>Kukuřice</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Pomeranč</w:t>
            </w:r>
          </w:p>
        </w:tc>
        <w:tc>
          <w:tcPr>
            <w:tcW w:w="4675" w:type="dxa"/>
          </w:tcPr>
          <w:p w14:paraId="00AE1AA5" w14:textId="77777777" w:rsidR="000147DB" w:rsidRPr="00B972B3" w:rsidRDefault="000147DB" w:rsidP="000147DB">
            <w:pPr>
              <w:rPr>
                <w:color w:val="FF0000"/>
                <w:spacing w:val="-4"/>
              </w:rPr>
            </w:pPr>
            <w:r>
              <w:rPr>
                <w:color w:val="FF0000"/>
              </w:rPr>
              <w:t>Tuřín</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Papája</w:t>
            </w:r>
          </w:p>
        </w:tc>
        <w:tc>
          <w:tcPr>
            <w:tcW w:w="4675" w:type="dxa"/>
          </w:tcPr>
          <w:p w14:paraId="075DB470" w14:textId="77777777" w:rsidR="000147DB" w:rsidRPr="00B972B3" w:rsidRDefault="000147DB" w:rsidP="000147DB">
            <w:pPr>
              <w:rPr>
                <w:color w:val="FF0000"/>
                <w:spacing w:val="-4"/>
              </w:rPr>
            </w:pPr>
            <w:r>
              <w:rPr>
                <w:color w:val="FF0000"/>
              </w:rPr>
              <w:t>Cibule</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Pórek</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Broskev</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Physalis</w:t>
            </w:r>
          </w:p>
        </w:tc>
        <w:tc>
          <w:tcPr>
            <w:tcW w:w="4675" w:type="dxa"/>
          </w:tcPr>
          <w:p w14:paraId="6052EBF3" w14:textId="77777777" w:rsidR="000147DB" w:rsidRPr="00B972B3" w:rsidRDefault="000147DB" w:rsidP="000147DB">
            <w:pPr>
              <w:rPr>
                <w:color w:val="FF0000"/>
                <w:spacing w:val="-4"/>
              </w:rPr>
            </w:pPr>
            <w:r>
              <w:rPr>
                <w:color w:val="FF0000"/>
              </w:rPr>
              <w:t>Brambora</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Pitahaja</w:t>
            </w:r>
          </w:p>
        </w:tc>
        <w:tc>
          <w:tcPr>
            <w:tcW w:w="4675" w:type="dxa"/>
          </w:tcPr>
          <w:p w14:paraId="0C08F9BD" w14:textId="77777777" w:rsidR="000147DB" w:rsidRPr="00B972B3" w:rsidRDefault="000147DB" w:rsidP="000147DB">
            <w:pPr>
              <w:rPr>
                <w:color w:val="FF0000"/>
                <w:spacing w:val="-4"/>
              </w:rPr>
            </w:pPr>
            <w:r>
              <w:rPr>
                <w:color w:val="FF0000"/>
              </w:rPr>
              <w:t>Dýně</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Tomel viržinský / kaki</w:t>
            </w:r>
          </w:p>
        </w:tc>
        <w:tc>
          <w:tcPr>
            <w:tcW w:w="4675" w:type="dxa"/>
          </w:tcPr>
          <w:p w14:paraId="764A6ACA" w14:textId="77777777" w:rsidR="000147DB" w:rsidRPr="00B972B3" w:rsidRDefault="000147DB" w:rsidP="000147DB">
            <w:pPr>
              <w:rPr>
                <w:color w:val="FF0000"/>
                <w:spacing w:val="-4"/>
              </w:rPr>
            </w:pPr>
            <w:r>
              <w:rPr>
                <w:color w:val="FF0000"/>
              </w:rPr>
              <w:t xml:space="preserve">Ředkev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Hruška</w:t>
            </w:r>
          </w:p>
        </w:tc>
        <w:tc>
          <w:tcPr>
            <w:tcW w:w="4675" w:type="dxa"/>
          </w:tcPr>
          <w:p w14:paraId="64399CC8" w14:textId="77777777" w:rsidR="000147DB" w:rsidRPr="00B972B3" w:rsidRDefault="000147DB" w:rsidP="000147DB">
            <w:pPr>
              <w:rPr>
                <w:color w:val="FF0000"/>
                <w:spacing w:val="-4"/>
              </w:rPr>
            </w:pPr>
            <w:r>
              <w:rPr>
                <w:color w:val="FF0000"/>
              </w:rPr>
              <w:t xml:space="preserve">Rebarbora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Rajče</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Jablko</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Švestka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Rozinka</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8B68AD"/>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2020-08-13T05:50:00Z</dcterms:modified>
</cp:coreProperties>
</file>