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F328C" w14:textId="5D563B00" w:rsidR="00FE5842" w:rsidRPr="00471E09" w:rsidRDefault="00FE5842" w:rsidP="00471E09">
      <w:pPr>
        <w:spacing w:after="0" w:line="240" w:lineRule="auto"/>
        <w:rPr>
          <w:sz w:val="20"/>
          <w:szCs w:val="20"/>
          <w:rFonts w:ascii="Courier New" w:hAnsi="Courier New" w:cs="Courier New"/>
        </w:rPr>
      </w:pPr>
      <w:bookmarkStart w:id="0" w:name="_Hlk46997595"/>
      <w:r>
        <w:rPr>
          <w:sz w:val="20"/>
          <w:szCs w:val="20"/>
          <w:rFonts w:ascii="Courier New" w:hAnsi="Courier New"/>
        </w:rPr>
        <w:t xml:space="preserve">1.</w:t>
      </w:r>
      <w:r>
        <w:rPr>
          <w:sz w:val="20"/>
          <w:szCs w:val="20"/>
          <w:rFonts w:ascii="Courier New" w:hAnsi="Courier New"/>
        </w:rPr>
        <w:t xml:space="preserve"> </w:t>
      </w:r>
      <w:r>
        <w:rPr>
          <w:sz w:val="20"/>
          <w:szCs w:val="20"/>
          <w:rFonts w:ascii="Courier New" w:hAnsi="Courier New"/>
        </w:rPr>
        <w:t xml:space="preserve">------IND- 2020 0485 L-- DA- ------ 20200812 --- --- PROJET</w:t>
      </w:r>
    </w:p>
    <w:bookmarkEnd w:id="0"/>
    <w:p w14:paraId="064DCE1A" w14:textId="2EE2449E" w:rsidR="000147DB" w:rsidRPr="003E7524" w:rsidRDefault="000147DB" w:rsidP="002F5A31">
      <w:pPr>
        <w:keepNext/>
        <w:keepLines/>
        <w:spacing w:after="200" w:line="276" w:lineRule="auto"/>
        <w:jc w:val="center"/>
        <w:rPr>
          <w:b/>
          <w:sz w:val="24"/>
          <w:szCs w:val="24"/>
          <w:rFonts w:ascii="Times New Roman" w:eastAsia="Times New Roman" w:hAnsi="Times New Roman" w:cs="Times New Roman"/>
        </w:rPr>
      </w:pPr>
      <w:r>
        <w:rPr>
          <w:b/>
          <w:sz w:val="24"/>
          <w:szCs w:val="24"/>
          <w:rFonts w:ascii="Times New Roman" w:hAnsi="Times New Roman"/>
        </w:rPr>
        <w:t xml:space="preserve">Lov af 21. marts 2017 om emballage og emballageaffald</w:t>
      </w:r>
    </w:p>
    <w:p w14:paraId="71E8730A" w14:textId="77777777" w:rsidR="000147DB" w:rsidRPr="003E7524" w:rsidRDefault="000147DB" w:rsidP="002F5A31">
      <w:pPr>
        <w:keepNext/>
        <w:keepLines/>
        <w:autoSpaceDE w:val="0"/>
        <w:autoSpaceDN w:val="0"/>
        <w:adjustRightInd w:val="0"/>
        <w:spacing w:after="120" w:line="276" w:lineRule="auto"/>
        <w:jc w:val="center"/>
        <w:rPr>
          <w:b/>
          <w:sz w:val="24"/>
          <w:szCs w:val="24"/>
          <w:rFonts w:cs="Times New Roman"/>
        </w:rPr>
      </w:pPr>
      <w:r>
        <w:rPr>
          <w:b/>
          <w:sz w:val="24"/>
          <w:szCs w:val="24"/>
        </w:rPr>
        <w:t xml:space="preserve">Koordineret tekst</w:t>
      </w:r>
    </w:p>
    <w:p w14:paraId="7D923E4A" w14:textId="77777777" w:rsidR="000147DB" w:rsidRPr="003E7524" w:rsidRDefault="000147DB" w:rsidP="002F5A31">
      <w:pPr>
        <w:keepNext/>
        <w:keepLines/>
        <w:autoSpaceDE w:val="0"/>
        <w:autoSpaceDN w:val="0"/>
        <w:adjustRightInd w:val="0"/>
        <w:spacing w:after="120" w:line="276" w:lineRule="auto"/>
        <w:jc w:val="center"/>
        <w:rPr>
          <w:rFonts w:cs="Times New Roman"/>
          <w:b/>
          <w:sz w:val="24"/>
          <w:szCs w:val="24"/>
          <w:lang w:val="fr-LU"/>
        </w:rPr>
      </w:pPr>
    </w:p>
    <w:p w14:paraId="6E6CA03B" w14:textId="77777777" w:rsidR="000147DB" w:rsidRPr="003E7524" w:rsidRDefault="000147DB" w:rsidP="002F5A31">
      <w:pPr>
        <w:keepNext/>
        <w:keepLines/>
        <w:spacing w:after="0" w:line="240" w:lineRule="auto"/>
        <w:jc w:val="both"/>
        <w:rPr>
          <w:rFonts w:eastAsia="Times New Roman" w:cs="Arial"/>
          <w:b/>
          <w:lang w:val="fr-FR" w:eastAsia="fr-FR"/>
        </w:rPr>
      </w:pPr>
    </w:p>
    <w:p w14:paraId="584BE14E" w14:textId="77777777" w:rsidR="000147DB" w:rsidRPr="003E7524" w:rsidRDefault="000147DB" w:rsidP="002F5A31">
      <w:pPr>
        <w:keepNext/>
        <w:keepLines/>
        <w:spacing w:after="0" w:line="240" w:lineRule="auto"/>
        <w:jc w:val="both"/>
        <w:rPr>
          <w:rFonts w:eastAsia="Times New Roman" w:cs="Arial"/>
          <w:b/>
          <w:lang w:val="fr-FR" w:eastAsia="fr-FR"/>
        </w:rPr>
      </w:pPr>
    </w:p>
    <w:p w14:paraId="720F607F" w14:textId="77777777" w:rsidR="000147DB" w:rsidRPr="003E7524" w:rsidRDefault="000147DB" w:rsidP="002F5A31">
      <w:pPr>
        <w:keepNext/>
        <w:keepLines/>
        <w:spacing w:after="0" w:line="240" w:lineRule="auto"/>
        <w:jc w:val="both"/>
        <w:rPr>
          <w:rFonts w:eastAsia="Times New Roman" w:cs="Arial"/>
          <w:b/>
          <w:color w:val="FF0000"/>
          <w:lang w:val="fr-FR" w:eastAsia="fr-FR"/>
        </w:rPr>
      </w:pPr>
    </w:p>
    <w:p w14:paraId="52F5EF4E" w14:textId="77777777" w:rsidR="000147DB" w:rsidRPr="003E7524" w:rsidRDefault="000147DB" w:rsidP="002F5A31">
      <w:pPr>
        <w:keepNext/>
        <w:keepLines/>
        <w:spacing w:after="0" w:line="240" w:lineRule="auto"/>
        <w:jc w:val="both"/>
        <w:rPr>
          <w:rFonts w:eastAsia="Times New Roman" w:cs="Arial"/>
          <w:b/>
          <w:color w:val="FF0000"/>
          <w:lang w:val="fr-FR" w:eastAsia="fr-FR"/>
        </w:rPr>
      </w:pPr>
    </w:p>
    <w:p w14:paraId="3FEA7740" w14:textId="31B3FC85" w:rsidR="000147DB" w:rsidRPr="003E7524" w:rsidRDefault="000147DB" w:rsidP="002F5A31">
      <w:pPr>
        <w:keepNext/>
        <w:keepLines/>
        <w:spacing w:beforeLines="100" w:before="240" w:after="240" w:line="240" w:lineRule="auto"/>
        <w:jc w:val="both"/>
        <w:rPr>
          <w:color w:val="FF0000"/>
          <w:sz w:val="24"/>
          <w:szCs w:val="24"/>
          <w:rFonts w:eastAsia="Calibri" w:cs="TimesLTStd-Roman"/>
        </w:rPr>
      </w:pPr>
      <w:r>
        <w:rPr>
          <w:color w:val="FF0000"/>
          <w:sz w:val="24"/>
          <w:szCs w:val="24"/>
          <w:u w:val="single"/>
        </w:rPr>
        <w:t xml:space="preserve">Artikel 1.</w:t>
      </w:r>
      <w:r>
        <w:rPr>
          <w:color w:val="FF0000"/>
          <w:sz w:val="24"/>
          <w:szCs w:val="24"/>
          <w:u w:val="single"/>
        </w:rPr>
        <w:t xml:space="preserve"> </w:t>
      </w:r>
      <w:r>
        <w:rPr>
          <w:color w:val="FF0000"/>
          <w:sz w:val="24"/>
          <w:szCs w:val="24"/>
          <w:u w:val="single"/>
        </w:rPr>
        <w:t xml:space="preserve">Formål</w:t>
      </w:r>
    </w:p>
    <w:p w14:paraId="20EDAC04" w14:textId="77777777" w:rsidR="000147DB" w:rsidRPr="003E7524" w:rsidRDefault="000147DB" w:rsidP="000147DB">
      <w:pPr>
        <w:spacing w:beforeLines="100" w:before="240" w:after="240" w:line="240" w:lineRule="auto"/>
        <w:jc w:val="both"/>
        <w:rPr>
          <w:color w:val="FF0000"/>
          <w:sz w:val="24"/>
          <w:szCs w:val="24"/>
          <w:rFonts w:eastAsia="Calibri" w:cs="TimesLTStd-Roman"/>
        </w:rPr>
      </w:pPr>
      <w:r>
        <w:rPr>
          <w:color w:val="FF0000"/>
          <w:sz w:val="24"/>
          <w:szCs w:val="24"/>
        </w:rPr>
        <w:t xml:space="preserve"> </w:t>
      </w:r>
      <w:r>
        <w:rPr>
          <w:color w:val="FF0000"/>
          <w:sz w:val="24"/>
          <w:szCs w:val="24"/>
        </w:rPr>
        <w:t xml:space="preserve">Nærværende lov indeholder foranstaltninger, der som første prioritet tilsigter begrænsning af emballageaffald og, som andre grundlæggende principper, genbrug og forberedelse til genbrug, genanvendelse og andre former for nyttiggørelse af emballageaffald og følgelig reduktion af den endelige bortskaffelse af dette affald med henblik på at bidrage til overgangen til en cirkulær økonomi.</w:t>
      </w:r>
    </w:p>
    <w:p w14:paraId="58ECE028" w14:textId="77777777" w:rsidR="000147DB" w:rsidRPr="003E7524" w:rsidRDefault="000147DB" w:rsidP="000147DB">
      <w:pPr>
        <w:spacing w:after="0" w:line="240" w:lineRule="auto"/>
        <w:jc w:val="both"/>
        <w:rPr>
          <w:rFonts w:eastAsia="Times New Roman" w:cs="Arial"/>
          <w:lang w:val="fr-FR" w:eastAsia="fr-FR"/>
        </w:rPr>
      </w:pPr>
    </w:p>
    <w:p w14:paraId="12603C0B" w14:textId="77777777" w:rsidR="000147DB" w:rsidRPr="003E7524" w:rsidRDefault="000147DB" w:rsidP="002F5A31">
      <w:pPr>
        <w:keepNext/>
        <w:keepLines/>
        <w:spacing w:after="0" w:line="240" w:lineRule="auto"/>
        <w:jc w:val="both"/>
        <w:rPr>
          <w:rFonts w:eastAsia="Times New Roman" w:cs="Arial"/>
        </w:rPr>
      </w:pPr>
      <w:r>
        <w:rPr>
          <w:b/>
          <w:bCs/>
        </w:rPr>
        <w:t xml:space="preserve">Artikel 2.</w:t>
      </w:r>
      <w:r>
        <w:rPr>
          <w:b/>
          <w:bCs/>
        </w:rPr>
        <w:t xml:space="preserve"> </w:t>
      </w:r>
      <w:r>
        <w:rPr>
          <w:b/>
          <w:bCs/>
          <w:iCs/>
        </w:rPr>
        <w:t xml:space="preserve">Anvendelsesområde</w:t>
      </w:r>
    </w:p>
    <w:p w14:paraId="10EC3FDA" w14:textId="77777777" w:rsidR="000147DB" w:rsidRPr="003E7524" w:rsidRDefault="000147DB" w:rsidP="000147DB">
      <w:pPr>
        <w:spacing w:after="0" w:line="240" w:lineRule="auto"/>
        <w:jc w:val="both"/>
        <w:rPr>
          <w:rFonts w:eastAsia="Times New Roman" w:cs="Arial"/>
        </w:rPr>
      </w:pPr>
      <w:r>
        <w:t xml:space="preserve">Nærværende lov finder anvendelse på al emballage, der markedsføres i Luxembourg, og på alt emballageaffald, hvad enten det anvendes eller kasseres af industrien, forretninger, kontorer, værksteder, tjenester, husstande eller i en helt anden forbindelse, og uanset hvilke materialer det er sammensat af.</w:t>
      </w:r>
    </w:p>
    <w:p w14:paraId="525A371B" w14:textId="77777777" w:rsidR="000147DB" w:rsidRPr="003E7524" w:rsidRDefault="000147DB" w:rsidP="000147DB">
      <w:pPr>
        <w:spacing w:after="0" w:line="240" w:lineRule="auto"/>
        <w:jc w:val="both"/>
        <w:rPr>
          <w:rFonts w:eastAsia="Times New Roman" w:cs="Arial"/>
          <w:lang w:val="fr-FR" w:eastAsia="fr-FR"/>
        </w:rPr>
      </w:pPr>
    </w:p>
    <w:p w14:paraId="6A00E764" w14:textId="77777777" w:rsidR="000147DB" w:rsidRPr="003E7524" w:rsidRDefault="000147DB" w:rsidP="000147DB">
      <w:pPr>
        <w:spacing w:after="0" w:line="240" w:lineRule="auto"/>
        <w:jc w:val="center"/>
        <w:rPr>
          <w:rFonts w:eastAsia="Calibri" w:cs="Arial"/>
          <w:color w:val="FF0000"/>
          <w:lang w:val="fr-FR"/>
        </w:rPr>
      </w:pPr>
    </w:p>
    <w:p w14:paraId="3FB9C656" w14:textId="3BDDB8AC" w:rsidR="000147DB" w:rsidRPr="003E7524" w:rsidRDefault="000147DB" w:rsidP="002F5A31">
      <w:pPr>
        <w:keepNext/>
        <w:keepLines/>
        <w:autoSpaceDE w:val="0"/>
        <w:autoSpaceDN w:val="0"/>
        <w:adjustRightInd w:val="0"/>
        <w:spacing w:after="0" w:line="240" w:lineRule="auto"/>
        <w:jc w:val="both"/>
        <w:rPr>
          <w:color w:val="FF0000"/>
          <w:sz w:val="24"/>
          <w:szCs w:val="24"/>
          <w:u w:val="single"/>
          <w:rFonts w:eastAsia="Calibri" w:cs="TimesLTStd-Roman"/>
        </w:rPr>
      </w:pPr>
      <w:r>
        <w:rPr>
          <w:color w:val="FF0000"/>
          <w:sz w:val="24"/>
          <w:szCs w:val="24"/>
          <w:u w:val="single"/>
        </w:rPr>
        <w:t xml:space="preserve">Artikel 3.</w:t>
      </w:r>
      <w:r>
        <w:rPr>
          <w:color w:val="FF0000"/>
          <w:sz w:val="24"/>
          <w:szCs w:val="24"/>
          <w:u w:val="single"/>
        </w:rPr>
        <w:t xml:space="preserve"> </w:t>
      </w:r>
      <w:r>
        <w:rPr>
          <w:color w:val="FF0000"/>
          <w:sz w:val="24"/>
          <w:szCs w:val="24"/>
          <w:u w:val="single"/>
        </w:rPr>
        <w:t xml:space="preserve">Definitioner</w:t>
      </w:r>
    </w:p>
    <w:p w14:paraId="54FAB75E"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lang w:val="fr-LU"/>
        </w:rPr>
      </w:pPr>
    </w:p>
    <w:p w14:paraId="31598118" w14:textId="77777777" w:rsidR="000147DB" w:rsidRPr="003E7524" w:rsidRDefault="000147DB" w:rsidP="002F5A31">
      <w:pPr>
        <w:keepNext/>
        <w:keepLines/>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I nærværende lov forstås ved:</w:t>
      </w:r>
    </w:p>
    <w:p w14:paraId="51BA376E"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1. "økonomiske aktører": leverandører af emballagematerialer, fabrikanter, forarbejdningsvirksomheder, påfyldningsvirksomheder og brugere, importører, forhandlere og distributører, offentlige myndigheder og offentlige organer på emballageområdet</w:t>
      </w:r>
    </w:p>
    <w:p w14:paraId="6FED5C43"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2. "miljøaftale": enhver formel aftale mellem den minister, der har ansvar for miljøet, herefter "ministeren", og de emballageansvarlige eller anerkendte organisationer, som bør være åben for alle økonomiske aktører, der ønsker at efterkomme de fastlagte betingelser i aftalen med henblik på at bidrage til at opfylde målene som beskrevet i artikel 1</w:t>
      </w:r>
    </w:p>
    <w:p w14:paraId="7FF9665B"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3. "emballering": anbringelse af en fødevare i en indpakning eller beholder i direkte berøring med den pågældende fødevare og selve denne indpakning eller beholder</w:t>
      </w:r>
    </w:p>
    <w:p w14:paraId="1DD8A02E" w14:textId="77777777" w:rsidR="000147DB" w:rsidRPr="00471E09"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4. "emballageaffald", enhver form for emballage eller emballagemateriale, som er omfattet af definitionen på affald i artikel 4 i lov af 21. marts 2012 om affald og ressourcer, herefter "lov af 21. marts 2012", med undtagelse af produktionsreststoffer</w:t>
      </w:r>
    </w:p>
    <w:p w14:paraId="1A85C693" w14:textId="77777777" w:rsidR="000147DB" w:rsidRPr="003E7524" w:rsidRDefault="000147DB" w:rsidP="000147DB">
      <w:pPr>
        <w:autoSpaceDE w:val="0"/>
        <w:autoSpaceDN w:val="0"/>
        <w:adjustRightInd w:val="0"/>
        <w:spacing w:after="0" w:line="240" w:lineRule="auto"/>
        <w:jc w:val="both"/>
        <w:rPr>
          <w:b/>
          <w:color w:val="FF0000"/>
          <w:sz w:val="24"/>
          <w:szCs w:val="24"/>
          <w:rFonts w:cs="TimesLTStd-Roman"/>
        </w:rPr>
      </w:pPr>
      <w:r>
        <w:rPr>
          <w:color w:val="FF0000"/>
          <w:sz w:val="24"/>
          <w:szCs w:val="24"/>
        </w:rPr>
        <w:t xml:space="preserve">5. "husholdningsemballageaffald", emballageaffald, som udgør kommunalt husholdningsaffald i henhold til lov af 21. marts 2012</w:t>
      </w:r>
    </w:p>
    <w:p w14:paraId="191FC248"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6. "emballageaffald, som ikke er fra husholdninger", emballageaffald, som udgør kommunalt husholdningsaffald i henhold til lov af 21. marts 2012</w:t>
      </w:r>
    </w:p>
    <w:p w14:paraId="726D0591"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7. "emballage": ethvert produkt fremstillet af materialer af enhver art beregnet til pakning, beskyttelse, håndtering, levering og præsentation af varer lige fra råvarer til færdigvarer.</w:t>
      </w:r>
    </w:p>
    <w:p w14:paraId="5B7B7B78"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2B3C84BC"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Alle engangsartikler, der anvendes til samme formål, skal betragtes som emballage.</w:t>
      </w:r>
    </w:p>
    <w:p w14:paraId="4BBCE77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29092297" w14:textId="77777777" w:rsidR="000147DB" w:rsidRPr="003E7524" w:rsidRDefault="000147DB" w:rsidP="002F5A31">
      <w:pPr>
        <w:keepNext/>
        <w:keepLines/>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Emballage består udelukkende af:</w:t>
      </w:r>
    </w:p>
    <w:p w14:paraId="5E80CA94" w14:textId="77777777" w:rsidR="000147DB" w:rsidRPr="003E7524" w:rsidRDefault="000147DB" w:rsidP="000147DB">
      <w:pPr>
        <w:autoSpaceDE w:val="0"/>
        <w:autoSpaceDN w:val="0"/>
        <w:adjustRightInd w:val="0"/>
        <w:spacing w:after="0" w:line="240" w:lineRule="auto"/>
        <w:ind w:left="720"/>
        <w:jc w:val="both"/>
        <w:rPr>
          <w:color w:val="FF0000"/>
          <w:sz w:val="24"/>
          <w:szCs w:val="24"/>
          <w:rFonts w:eastAsia="Calibri" w:cs="TimesLTStd-Roman"/>
        </w:rPr>
      </w:pPr>
      <w:r>
        <w:rPr>
          <w:color w:val="FF0000"/>
          <w:sz w:val="24"/>
          <w:szCs w:val="24"/>
        </w:rPr>
        <w:t xml:space="preserve">a) salgsemballage eller primæremballage, dvs. emballage udviklet til at udgøre en salgsemballage til den endelige bruger eller forbrugeren på salgsstedet</w:t>
      </w:r>
    </w:p>
    <w:p w14:paraId="0DE873CC" w14:textId="77777777" w:rsidR="000147DB" w:rsidRPr="003E7524" w:rsidRDefault="000147DB" w:rsidP="000147DB">
      <w:pPr>
        <w:autoSpaceDE w:val="0"/>
        <w:autoSpaceDN w:val="0"/>
        <w:adjustRightInd w:val="0"/>
        <w:spacing w:after="0" w:line="240" w:lineRule="auto"/>
        <w:ind w:left="720"/>
        <w:jc w:val="both"/>
        <w:rPr>
          <w:color w:val="FF0000"/>
          <w:sz w:val="24"/>
          <w:szCs w:val="24"/>
          <w:rFonts w:eastAsia="Calibri" w:cs="TimesLTStd-Roman"/>
        </w:rPr>
      </w:pPr>
      <w:r>
        <w:rPr>
          <w:color w:val="FF0000"/>
          <w:sz w:val="24"/>
          <w:szCs w:val="24"/>
        </w:rPr>
        <w:t xml:space="preserve">b) samleemballage eller sekundær emballage, dvs. emballage udviklet til at udgøre en gruppe af et bestemt antal salgsemballager på salgsstedet, hvad enten den sælges uforandret til den endelige bruger eller forbrugeren, eller den kun anvendes som pynt på hylderne på salgsstedet. Den kan fjernes fra produktet, uden at dets kendetegn forandres</w:t>
      </w:r>
    </w:p>
    <w:p w14:paraId="29AF1F65" w14:textId="77777777" w:rsidR="000147DB" w:rsidRPr="003E7524" w:rsidRDefault="000147DB" w:rsidP="000147DB">
      <w:pPr>
        <w:autoSpaceDE w:val="0"/>
        <w:autoSpaceDN w:val="0"/>
        <w:adjustRightInd w:val="0"/>
        <w:spacing w:after="0" w:line="240" w:lineRule="auto"/>
        <w:ind w:left="720"/>
        <w:jc w:val="both"/>
        <w:rPr>
          <w:color w:val="FF0000"/>
          <w:sz w:val="24"/>
          <w:szCs w:val="24"/>
          <w:rFonts w:eastAsia="Calibri" w:cs="TimesLTStd-Roman"/>
        </w:rPr>
      </w:pPr>
      <w:r>
        <w:rPr>
          <w:color w:val="FF0000"/>
          <w:sz w:val="24"/>
          <w:szCs w:val="24"/>
        </w:rPr>
        <w:t xml:space="preserve">c) transportemballage eller tertiær emballage, dvs. emballage udviklet på en sådan måde, at håndtering og transport af et vist antal salgsemballager eller samleemballager gøres nemmere med henblik på at undgå skader forårsaget af fysisk håndtering eller transport.</w:t>
      </w:r>
      <w:r>
        <w:rPr>
          <w:color w:val="FF0000"/>
          <w:sz w:val="24"/>
          <w:szCs w:val="24"/>
        </w:rPr>
        <w:t xml:space="preserve"> </w:t>
      </w:r>
      <w:r>
        <w:rPr>
          <w:color w:val="FF0000"/>
          <w:sz w:val="24"/>
          <w:szCs w:val="24"/>
        </w:rPr>
        <w:t xml:space="preserve">Transportemballage omfatter ikke vej-, jernbane-, skibs- og luftfragtcontainere.</w:t>
      </w:r>
    </w:p>
    <w:p w14:paraId="3E5427B4"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3D83FF34" w14:textId="77777777" w:rsidR="000147DB" w:rsidRPr="003E7524" w:rsidRDefault="000147DB" w:rsidP="002F5A31">
      <w:pPr>
        <w:keepNext/>
        <w:keepLines/>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Definitionen af begrebet "emballage" bør ydermere baseres på følgende kriterier:</w:t>
      </w:r>
    </w:p>
    <w:p w14:paraId="0BE24D6D" w14:textId="77777777" w:rsidR="000147DB" w:rsidRPr="003E7524" w:rsidRDefault="000147DB" w:rsidP="000147DB">
      <w:pPr>
        <w:autoSpaceDE w:val="0"/>
        <w:autoSpaceDN w:val="0"/>
        <w:adjustRightInd w:val="0"/>
        <w:spacing w:after="0" w:line="240" w:lineRule="auto"/>
        <w:ind w:left="720"/>
        <w:jc w:val="both"/>
        <w:rPr>
          <w:color w:val="FF0000"/>
          <w:sz w:val="24"/>
          <w:szCs w:val="24"/>
          <w:rFonts w:eastAsia="Calibri" w:cs="TimesLTStd-Roman"/>
        </w:rPr>
      </w:pPr>
      <w:r>
        <w:rPr>
          <w:color w:val="FF0000"/>
          <w:sz w:val="24"/>
          <w:szCs w:val="24"/>
        </w:rPr>
        <w:t xml:space="preserve">i)</w:t>
      </w:r>
      <w:r>
        <w:rPr>
          <w:color w:val="FF0000"/>
          <w:sz w:val="24"/>
          <w:szCs w:val="24"/>
        </w:rPr>
        <w:t xml:space="preserve"> </w:t>
      </w:r>
      <w:r>
        <w:rPr>
          <w:color w:val="FF0000"/>
          <w:sz w:val="24"/>
          <w:szCs w:val="24"/>
        </w:rPr>
        <w:t xml:space="preserve">En artikel betragtes som emballage, hvis den lever op til ovenstående definition, uden hensyntagen til andre funktioner, som emballagen også måtte have, medmindre artiklen udgør en integrerende del af et produkt, og den er nødvendig med henblik på at indeholde, støtte eller opbevare produktet under hele dets levetid, og at alle elementerne er bestemt til brug, forbrug eller bortskaffelse sammen.</w:t>
      </w:r>
    </w:p>
    <w:p w14:paraId="03C118C8" w14:textId="77777777" w:rsidR="000147DB" w:rsidRPr="003E7524" w:rsidRDefault="000147DB" w:rsidP="000147DB">
      <w:pPr>
        <w:autoSpaceDE w:val="0"/>
        <w:autoSpaceDN w:val="0"/>
        <w:adjustRightInd w:val="0"/>
        <w:spacing w:after="0" w:line="240" w:lineRule="auto"/>
        <w:ind w:left="720"/>
        <w:jc w:val="both"/>
        <w:rPr>
          <w:color w:val="FF0000"/>
          <w:sz w:val="24"/>
          <w:szCs w:val="24"/>
          <w:rFonts w:eastAsia="Calibri" w:cs="TimesLTStd-Roman"/>
        </w:rPr>
      </w:pPr>
      <w:r>
        <w:rPr>
          <w:color w:val="FF0000"/>
          <w:sz w:val="24"/>
          <w:szCs w:val="24"/>
        </w:rPr>
        <w:t xml:space="preserve">ii)</w:t>
      </w:r>
      <w:r>
        <w:rPr>
          <w:color w:val="FF0000"/>
          <w:sz w:val="24"/>
          <w:szCs w:val="24"/>
        </w:rPr>
        <w:t xml:space="preserve"> </w:t>
      </w:r>
      <w:r>
        <w:rPr>
          <w:color w:val="FF0000"/>
          <w:sz w:val="24"/>
          <w:szCs w:val="24"/>
        </w:rPr>
        <w:t xml:space="preserve">Artikler, der er udformet og beregnet til at blive påfyldt på salgsstedet, og engangsartikler, der sælges påfyldt, eller som er udformet og beregnet til at blive påfyldt på salgsstedet, betragtes som emballage, forudsat at de opfylder en emballagefunktion.</w:t>
      </w:r>
    </w:p>
    <w:p w14:paraId="21E05D64" w14:textId="77777777" w:rsidR="000147DB" w:rsidRPr="003E7524" w:rsidRDefault="000147DB" w:rsidP="000147DB">
      <w:pPr>
        <w:autoSpaceDE w:val="0"/>
        <w:autoSpaceDN w:val="0"/>
        <w:adjustRightInd w:val="0"/>
        <w:spacing w:after="0" w:line="240" w:lineRule="auto"/>
        <w:ind w:left="720"/>
        <w:jc w:val="both"/>
        <w:rPr>
          <w:color w:val="FF0000"/>
          <w:sz w:val="24"/>
          <w:szCs w:val="24"/>
          <w:rFonts w:eastAsia="Calibri" w:cs="TimesLTStd-Roman"/>
        </w:rPr>
      </w:pPr>
      <w:r>
        <w:rPr>
          <w:color w:val="FF0000"/>
          <w:sz w:val="24"/>
          <w:szCs w:val="24"/>
        </w:rPr>
        <w:t xml:space="preserve">iii)</w:t>
      </w:r>
      <w:r>
        <w:rPr>
          <w:color w:val="FF0000"/>
          <w:sz w:val="24"/>
          <w:szCs w:val="24"/>
        </w:rPr>
        <w:t xml:space="preserve"> </w:t>
      </w:r>
      <w:r>
        <w:rPr>
          <w:color w:val="FF0000"/>
          <w:sz w:val="24"/>
          <w:szCs w:val="24"/>
        </w:rPr>
        <w:t xml:space="preserve">Emballagekomponenter og hjælpeelementer, der er integreret i emballagen, betragtes som dele af den emballage, hvori de er integreret.</w:t>
      </w:r>
      <w:r>
        <w:rPr>
          <w:color w:val="FF0000"/>
          <w:sz w:val="24"/>
          <w:szCs w:val="24"/>
        </w:rPr>
        <w:t xml:space="preserve"> </w:t>
      </w:r>
      <w:r>
        <w:rPr>
          <w:color w:val="FF0000"/>
          <w:sz w:val="24"/>
          <w:szCs w:val="24"/>
        </w:rPr>
        <w:t xml:space="preserve">Hjælpeelementer, der er fastgjort direkte eller knyttet til et produkt, og som opfylder en emballagefunktion, betragtes som emballage, medmindre de indgår som en uadskillelig del af et produkt, og alle elementer er bestemt til forbrug eller bortskaffelse sammen.</w:t>
      </w:r>
    </w:p>
    <w:p w14:paraId="376B89A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FR"/>
        </w:rPr>
      </w:pPr>
    </w:p>
    <w:p w14:paraId="338D0B69"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De artikler, der er anført i bilag I til Europa-Parlamentets og Rådets direktiv 94/62/EF af 20. december 1994 om emballage og emballageaffald, som ændret ved Europa-Kommissionens delegerede retsakter i overensstemmelse med artikel 19, stk. 2, og artikel 21a i dette direktiv, illustrerer anvendelsen af disse kriterier.</w:t>
      </w:r>
    </w:p>
    <w:p w14:paraId="44FB8E04"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8. "genbrugelig emballage", emballage, som er udformet, fremstillet og markedsført med henblik på at udføre flere strækninger eller rotationer i dens levetid og fyldes på ny eller genanvendes til samme brug, som den er fremstillet til</w:t>
      </w:r>
    </w:p>
    <w:p w14:paraId="01840540"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9. "kompositemballage", emballage bestående af to eller flere lag af forskellige typer materialer, som ikke kan adskilles ved håndkraft, og som udgør en enhed bestående af en indvendig beholder og en udvendig skal, der fyldes, opbevares, transporteres og tømmes som sådan</w:t>
      </w:r>
    </w:p>
    <w:p w14:paraId="40CA1AE7" w14:textId="77777777" w:rsidR="000147DB" w:rsidRPr="003E7524" w:rsidRDefault="000147DB" w:rsidP="000147DB">
      <w:pPr>
        <w:autoSpaceDE w:val="0"/>
        <w:autoSpaceDN w:val="0"/>
        <w:adjustRightInd w:val="0"/>
        <w:spacing w:after="0" w:line="240" w:lineRule="auto"/>
        <w:jc w:val="both"/>
        <w:rPr>
          <w:color w:val="FF0000"/>
          <w:sz w:val="24"/>
          <w:szCs w:val="24"/>
          <w:rFonts w:cs="TimesNewRoman"/>
        </w:rPr>
      </w:pPr>
      <w:r>
        <w:rPr>
          <w:color w:val="FF0000"/>
          <w:sz w:val="24"/>
          <w:szCs w:val="24"/>
        </w:rPr>
        <w:t xml:space="preserve">10. "central forvaltning", system, der i forbindelse med et autoriseret organ består i at modtage emballageaffald fra et indsamlingssted med frivillig aflevering med henblik på genanvendelse</w:t>
      </w:r>
    </w:p>
    <w:p w14:paraId="2476E1AB"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11. "håndtering af emballageaffald": håndtering af affald som defineret i artikel 4 i lov af 21. marts 2012</w:t>
      </w:r>
    </w:p>
    <w:p w14:paraId="7FBC2293"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12. "emballagematerialer": enkelt eller sammensat naturligt eller kunstigt materiale, der udgør en emballage</w:t>
      </w:r>
    </w:p>
    <w:p w14:paraId="6F877037"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13. "tilgængeliggørelse på markedet": levering af et produkt med henblik på distribution, forbrug eller anvendelse på det luxembourgske marked som led i erhvervsvirksomhed mod eller uden vederlag</w:t>
      </w:r>
      <w:r>
        <w:rPr>
          <w:color w:val="FF0000"/>
          <w:sz w:val="24"/>
          <w:szCs w:val="24"/>
        </w:rPr>
        <w:t xml:space="preserve"> </w:t>
      </w:r>
    </w:p>
    <w:p w14:paraId="39E8CFEA"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14. "markedsføring": første tilgængeliggørelse af et produkt på det luxembourgske marked</w:t>
      </w:r>
    </w:p>
    <w:p w14:paraId="337D0712"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15. "autoriseret organ": juridisk person, der er autoriseret i henhold til lov af 21. marts 2012, og som bærer de forpligtelser, der hidrører fra det udvidede producentansvar</w:t>
      </w:r>
      <w:r>
        <w:rPr>
          <w:color w:val="FF0000"/>
          <w:sz w:val="24"/>
          <w:szCs w:val="24"/>
        </w:rPr>
        <w:t xml:space="preserve"> </w:t>
      </w:r>
    </w:p>
    <w:p w14:paraId="3063727E" w14:textId="5A2948D3"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16. "plast", en polymer som omhandlet i artikel 3, nr. 5), under henvisning til Europa-Parlamentets og Rådets forordning (EF) nr. 1907/2006 af 18. december 2006 om registrering, vurdering og godkendelse af samt begrænsninger for kemikalier (REACH), om oprettelse af et europæisk kemikalieagentur og om ændring af direktiv 1999/45/EF og ophævelse af Rådets forordning (EØF) nr. 793/93 og Kommissionens forordning (EF) nr. 1488/94 samt Rådets direktiv 76/769/EØF og Kommissionens direktiv 91/155/EØF, 93/67/EØF, 93/105/EF og 2000/21/EF, som kan være tilsat additiver eller andre stoffer, og som kan fungere som en strukturel hovedbestanddel i bæreposer</w:t>
      </w:r>
    </w:p>
    <w:p w14:paraId="722C1B32"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17. "organisk genanvendelse": aerob (kompostering) eller anaerob (biometanisering) behandling med mikroorganismer under kontrollerede forhold af biologisk nedbrydelige dele af emballageaffald, med fremstilling af stabiliserede jordforbedringsmidler eller metan.</w:t>
      </w:r>
      <w:r>
        <w:rPr>
          <w:color w:val="FF0000"/>
          <w:sz w:val="24"/>
          <w:szCs w:val="24"/>
        </w:rPr>
        <w:t xml:space="preserve"> </w:t>
      </w:r>
      <w:r>
        <w:rPr>
          <w:color w:val="FF0000"/>
          <w:sz w:val="24"/>
          <w:szCs w:val="24"/>
        </w:rPr>
        <w:t xml:space="preserve">Nedgravning i et deponeringsanlæg kan ikke betragtes som en form for organisk genanvendelse</w:t>
      </w:r>
    </w:p>
    <w:p w14:paraId="211C3BAF" w14:textId="77777777" w:rsidR="000147DB" w:rsidRPr="00471E09" w:rsidRDefault="000147DB" w:rsidP="000147DB">
      <w:pPr>
        <w:autoSpaceDE w:val="0"/>
        <w:autoSpaceDN w:val="0"/>
        <w:adjustRightInd w:val="0"/>
        <w:spacing w:after="0"/>
        <w:jc w:val="both"/>
        <w:rPr>
          <w:color w:val="FF0000"/>
          <w:sz w:val="24"/>
          <w:szCs w:val="24"/>
          <w:rFonts w:eastAsia="Calibri" w:cs="TimesLTStd-Roman"/>
        </w:rPr>
      </w:pPr>
      <w:r>
        <w:rPr>
          <w:color w:val="FF0000"/>
          <w:sz w:val="24"/>
          <w:szCs w:val="24"/>
        </w:rPr>
        <w:t xml:space="preserve">18. "emballageansvarlig": enhver fysisk eller juridisk person, hvad enten denne er etableret i Storhertugdømmet Luxembourg eller ej, og som erhvervsmæssigt markedsfører emballerede produkter på det luxembourgske marked, uanset hvilken salgsmetode der anvendes, herunder brug af aftaler vedrørende fjernsalg som omhandlet i artikel L.222-1 i Code de Consommation.</w:t>
      </w:r>
    </w:p>
    <w:p w14:paraId="532A7F6A"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Hvad angår serviceemballage, anses enhver person, der erhvervsmæssigt producerer eller importerer serviceemballage med henblik på markedsføring på det luxembourgske marked, som emballageansvarlig</w:t>
      </w:r>
    </w:p>
    <w:p w14:paraId="2066F35B"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19. "plastbæreposer": bæreposer med eller uden hank fremstillet af plast, som udleveres til forbrugerne på salgssteder for varer og produkter</w:t>
      </w:r>
    </w:p>
    <w:p w14:paraId="2892A87A"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20. "letvægtsplastbæreposer", plastbæreposer af en tykkelse på under 50 mikron</w:t>
      </w:r>
    </w:p>
    <w:p w14:paraId="1D560F90"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21. "meget lette plastbæreposer", plastbæreposer af en tykkelse på under 15 mikron,</w:t>
      </w:r>
    </w:p>
    <w:p w14:paraId="099FC67B"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som er nødvendige til hygiejnebrug, eller der leveres løst som indre emballage til fødevarer, når dette bidrager til at forhindre fødevarespild</w:t>
      </w:r>
    </w:p>
    <w:p w14:paraId="518E14E1"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22. "oxo-nedbrydelige plastbæreposer": plastbæreposer fremstillet af plastmaterialer, der indeholder tilsætningsstoffer, som forårsager opdeling af plastmateriale til mikrofragmenter</w:t>
      </w:r>
    </w:p>
    <w:p w14:paraId="3F38912D" w14:textId="7CDBAB0E"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23. "pantsystem": retursystem, hvor køberen betaler et beløb, som tilbagebetales, når den brugte emballage tilbageleveres</w:t>
      </w:r>
    </w:p>
    <w:p w14:paraId="7826512C"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24. "markedsandel": procentdel for en bestemt periode af emballagerne til flydende levnedsmidler, som i tælleren omfatter mængden af flydende levnedsmidler, der er blevet markedsført, emballeret i genanvendelig emballage og forbrugt på det nationale område, og i nævneren den samlede mængde flydende levnedsmidler, som er blevet markedsført og forbrugt på det nationale område</w:t>
      </w:r>
    </w:p>
    <w:p w14:paraId="7104FF6A"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25. "genanvendelsesprocent": procentdel for en bestemt periode af emballageaffald, der i tælleren omfatter vægten af det emballageaffald, som rent faktisk genanvendes, og i nævneren den samlede vægt af emballage, der kan genanvendes, som er blevet markedsført på det luxembourgske marked af en emballageansvarlig og forbrugt på det nationale område.</w:t>
      </w:r>
    </w:p>
    <w:p w14:paraId="67C77E37"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Denne definition omfatter ikke emballage, som genvindes i henhold til denne lov</w:t>
      </w:r>
    </w:p>
    <w:p w14:paraId="6B41F5CB"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26. "nyttiggørelsesprocent": procentdel for en bestemt periode af emballageaffald, der i tælleren omfatter vægten af det emballageaffald, som rent faktisk nyttiggøres, og i nævneren den samlede vægt af emballage, der kan nyttiggøres, som er blevet markedsført på det luxembourgske marked af en emballageansvarlig og forbrugt på det nationale område.</w:t>
      </w:r>
    </w:p>
    <w:p w14:paraId="5C7F6993"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Denne definition omfatter ikke emballage, som genvindes i henhold til denne lov</w:t>
      </w:r>
    </w:p>
    <w:p w14:paraId="1F021DEC"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27. "energiudnyttelse": anvendelse af brændbart emballageaffald til energifremstilling ved direkte forbrænding sammen med eller uden andet affald, men med anvendelse af varmen.</w:t>
      </w:r>
    </w:p>
    <w:p w14:paraId="2F42A154"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szCs w:val="24"/>
        </w:rPr>
        <w:t xml:space="preserve">Denne definition omfatter ikke emballage, som genvindes i henhold til denne lov.</w:t>
      </w:r>
    </w:p>
    <w:p w14:paraId="2A33EF01"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szCs w:val="24"/>
        </w:rPr>
        <w:t xml:space="preserve">Definitionerne af "affald", "kommunalt affald", "kommunalt husholdningsaffald", "kommunalt affald, som ikke er husholdningsaffald", "affaldshåndtering", "indsamling", "særskilt indsamling", "forebyggelse", "genbrug", "forberedelse med henblik på genbrug", "behandling", "nyttiggørelse", "genanvendelse", "genanvendelse af høj kvalitet", "bortskaffelse", "ressourcecenter" og "ordningen vedrørende princippet om producentansvar" i artikel 4 i lov af 21. marts 2012 finder anvendelse.</w:t>
      </w:r>
    </w:p>
    <w:p w14:paraId="2564CAE3" w14:textId="77777777" w:rsidR="000147DB" w:rsidRPr="003E7524" w:rsidRDefault="000147DB" w:rsidP="000147DB">
      <w:pPr>
        <w:spacing w:after="0" w:line="240" w:lineRule="auto"/>
        <w:jc w:val="both"/>
        <w:rPr>
          <w:rFonts w:eastAsia="Times New Roman" w:cs="Arial"/>
          <w:lang w:val="fr-LU" w:eastAsia="fr-FR"/>
        </w:rPr>
      </w:pPr>
    </w:p>
    <w:p w14:paraId="26C831EB" w14:textId="77777777" w:rsidR="000147DB" w:rsidRPr="003E7524" w:rsidRDefault="000147DB" w:rsidP="000147DB">
      <w:pPr>
        <w:spacing w:after="0" w:line="240" w:lineRule="auto"/>
        <w:jc w:val="both"/>
        <w:rPr>
          <w:rFonts w:eastAsia="Times New Roman" w:cs="Arial"/>
          <w:lang w:val="fr-FR" w:eastAsia="fr-FR"/>
        </w:rPr>
      </w:pPr>
    </w:p>
    <w:p w14:paraId="692FDAD6" w14:textId="77777777" w:rsidR="000147DB" w:rsidRPr="003E7524" w:rsidRDefault="000147DB" w:rsidP="002F5A31">
      <w:pPr>
        <w:keepNext/>
        <w:keepLines/>
        <w:spacing w:after="0" w:line="240" w:lineRule="auto"/>
        <w:jc w:val="both"/>
        <w:rPr>
          <w:b/>
          <w:iCs/>
          <w:rFonts w:eastAsia="Times New Roman" w:cs="Arial"/>
        </w:rPr>
      </w:pPr>
      <w:r>
        <w:rPr>
          <w:b/>
          <w:iCs/>
        </w:rPr>
        <w:t xml:space="preserve">Artikel 4.</w:t>
      </w:r>
      <w:r>
        <w:rPr>
          <w:b/>
          <w:iCs/>
        </w:rPr>
        <w:t xml:space="preserve"> </w:t>
      </w:r>
      <w:r>
        <w:rPr>
          <w:b/>
          <w:iCs/>
        </w:rPr>
        <w:t xml:space="preserve">Forebyggelse og genbrug og miljøaftaler</w:t>
      </w:r>
    </w:p>
    <w:p w14:paraId="6BEB351B" w14:textId="77777777" w:rsidR="000147DB" w:rsidRPr="003E7524" w:rsidRDefault="000147DB" w:rsidP="002F5A31">
      <w:pPr>
        <w:keepNext/>
        <w:keepLines/>
        <w:spacing w:after="0" w:line="240" w:lineRule="auto"/>
        <w:jc w:val="both"/>
        <w:rPr>
          <w:rFonts w:eastAsia="Times New Roman" w:cs="Arial"/>
          <w:b/>
          <w:iCs/>
          <w:lang w:val="fr-FR" w:eastAsia="fr-FR"/>
        </w:rPr>
      </w:pPr>
    </w:p>
    <w:p w14:paraId="39614631" w14:textId="77777777" w:rsidR="000147DB" w:rsidRPr="003E7524" w:rsidRDefault="000147DB" w:rsidP="002F5A31">
      <w:pPr>
        <w:keepNext/>
        <w:keepLines/>
        <w:spacing w:after="0" w:line="240" w:lineRule="auto"/>
        <w:jc w:val="both"/>
        <w:rPr>
          <w:rFonts w:eastAsia="Times New Roman" w:cs="Arial"/>
          <w:color w:val="FF0000"/>
          <w:lang w:val="fr-FR" w:eastAsia="fr-FR"/>
        </w:rPr>
      </w:pPr>
    </w:p>
    <w:p w14:paraId="63CEA987"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szCs w:val="24"/>
        </w:rPr>
        <w:t xml:space="preserve">Ud over foranstaltningerne til at forebygge produktion af emballageaffald, der vedtages i henhold til artikel 9, og uden at dette berører stk. 2, kan ministeren indgå miljøaftaler, der opfylder målsætninger som beskrevet i artikel 1, og som først og fremmest har til formål at reducere de miljømæssige indvirkninger af emballage og at forebygge produktionen af emballageaffald.</w:t>
      </w:r>
      <w:r>
        <w:rPr>
          <w:color w:val="FF0000"/>
          <w:sz w:val="24"/>
          <w:szCs w:val="24"/>
        </w:rPr>
        <w:t xml:space="preserve"> </w:t>
      </w:r>
      <w:r>
        <w:rPr>
          <w:color w:val="FF0000"/>
          <w:sz w:val="24"/>
          <w:szCs w:val="24"/>
        </w:rPr>
        <w:t xml:space="preserve">Disse aftaler kan omfatte informations- og oplysningskampagner til offentligheden.</w:t>
      </w:r>
    </w:p>
    <w:p w14:paraId="0A4A972F" w14:textId="77777777" w:rsidR="000147DB" w:rsidRPr="003E7524" w:rsidRDefault="000147DB" w:rsidP="000147DB">
      <w:pPr>
        <w:spacing w:after="0" w:line="240" w:lineRule="auto"/>
        <w:jc w:val="both"/>
        <w:rPr>
          <w:rFonts w:eastAsia="Times New Roman" w:cs="Arial"/>
          <w:color w:val="FF0000"/>
          <w:lang w:val="fr-FR" w:eastAsia="fr-FR"/>
        </w:rPr>
      </w:pPr>
    </w:p>
    <w:p w14:paraId="6A969234" w14:textId="77777777" w:rsidR="000147DB" w:rsidRPr="003E7524" w:rsidRDefault="000147DB" w:rsidP="000147DB">
      <w:pPr>
        <w:spacing w:after="0" w:line="240" w:lineRule="auto"/>
        <w:jc w:val="both"/>
        <w:rPr>
          <w:rFonts w:eastAsia="Times New Roman" w:cs="Arial"/>
          <w:lang w:val="fr-FR" w:eastAsia="fr-FR"/>
        </w:rPr>
      </w:pPr>
    </w:p>
    <w:p w14:paraId="2D73D492" w14:textId="77777777" w:rsidR="000147DB" w:rsidRPr="003E7524" w:rsidRDefault="000147DB" w:rsidP="000147DB">
      <w:pPr>
        <w:spacing w:after="0" w:line="240" w:lineRule="auto"/>
        <w:jc w:val="both"/>
        <w:rPr>
          <w:rFonts w:eastAsia="Times New Roman" w:cs="Arial"/>
        </w:rPr>
      </w:pPr>
      <w:r>
        <w:t xml:space="preserve">Hvad angår produktionen af emballage og andre produkter, kan miljøaftalerne tilskynde til anvendelse af materialer fra genanvendt emballageaffald ved at forbedre markedsforholdene for disse materialer.</w:t>
      </w:r>
    </w:p>
    <w:p w14:paraId="4FAEAC4C" w14:textId="77777777" w:rsidR="000147DB" w:rsidRPr="003E7524" w:rsidRDefault="000147DB" w:rsidP="000147DB">
      <w:pPr>
        <w:spacing w:after="0" w:line="240" w:lineRule="auto"/>
        <w:jc w:val="both"/>
        <w:rPr>
          <w:rFonts w:eastAsia="Times New Roman" w:cs="Arial"/>
        </w:rPr>
      </w:pPr>
      <w:r>
        <w:t xml:space="preserve">Med hensyn til emballage til flydende levnedsmidler og andre produkter kan miljøaftalerne fastsætte bestemmelser og betingelser for fremme af produktion og markedsføring af genbrugsemballage og opstille mål for markedsandele.</w:t>
      </w:r>
      <w:r>
        <w:t xml:space="preserve"> </w:t>
      </w:r>
      <w:r>
        <w:t xml:space="preserve">Nærværende lov er ikke i modstrid med vedligeholdelse eller indførelse af ordninger, som sikrer genbrug af emballage i form af et pantsystem eller på en anden passende måde og i overensstemmelse med målene i artikel 1.</w:t>
      </w:r>
    </w:p>
    <w:p w14:paraId="7B14AF7B" w14:textId="77777777" w:rsidR="000147DB" w:rsidRPr="003E7524" w:rsidRDefault="000147DB" w:rsidP="000147DB">
      <w:pPr>
        <w:spacing w:after="0" w:line="240" w:lineRule="auto"/>
        <w:jc w:val="both"/>
        <w:rPr>
          <w:rFonts w:eastAsia="Times New Roman" w:cs="Arial"/>
        </w:rPr>
      </w:pPr>
      <w:r>
        <w:t xml:space="preserve">2. Andre forebyggende foranstaltninger, herunder undersøgelser og pilotprojekter, kan fastlægges af den nationale plan for affaldshåndtering og i givet fald en specifik plan i medfør af lov af 21. marts 2012.</w:t>
      </w:r>
    </w:p>
    <w:p w14:paraId="639CF3A6" w14:textId="77777777" w:rsidR="000147DB" w:rsidRPr="003E7524" w:rsidRDefault="000147DB" w:rsidP="000147DB">
      <w:pPr>
        <w:spacing w:after="0" w:line="240" w:lineRule="auto"/>
        <w:jc w:val="both"/>
        <w:rPr>
          <w:rFonts w:eastAsia="Times New Roman" w:cs="Arial"/>
          <w:lang w:val="fr-FR" w:eastAsia="fr-FR"/>
        </w:rPr>
      </w:pPr>
    </w:p>
    <w:p w14:paraId="173C0BC9" w14:textId="77777777" w:rsidR="000147DB" w:rsidRPr="003E7524" w:rsidRDefault="000147DB" w:rsidP="000147DB">
      <w:pPr>
        <w:spacing w:after="0" w:line="240" w:lineRule="auto"/>
        <w:jc w:val="both"/>
        <w:rPr>
          <w:rFonts w:eastAsia="Times New Roman" w:cs="Arial"/>
          <w:lang w:val="fr-FR" w:eastAsia="fr-FR"/>
        </w:rPr>
      </w:pPr>
    </w:p>
    <w:p w14:paraId="759CE7BF" w14:textId="77777777" w:rsidR="000147DB" w:rsidRPr="003E7524" w:rsidRDefault="000147DB" w:rsidP="000147DB">
      <w:pPr>
        <w:spacing w:after="0" w:line="240" w:lineRule="auto"/>
        <w:jc w:val="both"/>
        <w:rPr>
          <w:rFonts w:eastAsia="Times New Roman" w:cs="Arial"/>
          <w:strike/>
          <w:lang w:val="fr-FR" w:eastAsia="fr-FR"/>
        </w:rPr>
      </w:pPr>
    </w:p>
    <w:p w14:paraId="1F738067" w14:textId="77777777" w:rsidR="000147DB" w:rsidRPr="00471E09" w:rsidRDefault="000147DB" w:rsidP="002F5A31">
      <w:pPr>
        <w:keepNext/>
        <w:keepLines/>
        <w:spacing w:beforeLines="100" w:before="240" w:after="240" w:line="240" w:lineRule="auto"/>
        <w:jc w:val="both"/>
        <w:rPr>
          <w:b/>
          <w:color w:val="FF0000"/>
          <w:sz w:val="24"/>
          <w:szCs w:val="24"/>
          <w:u w:val="single"/>
          <w:rFonts w:eastAsia="Calibri" w:cs="TimesNewRoman"/>
        </w:rPr>
      </w:pPr>
      <w:r>
        <w:rPr>
          <w:b/>
          <w:color w:val="FF0000"/>
          <w:sz w:val="24"/>
          <w:szCs w:val="24"/>
          <w:u w:val="single"/>
        </w:rPr>
        <w:t xml:space="preserve">Artikel 5.</w:t>
      </w:r>
      <w:r>
        <w:rPr>
          <w:b/>
          <w:color w:val="FF0000"/>
          <w:sz w:val="24"/>
          <w:szCs w:val="24"/>
          <w:u w:val="single"/>
        </w:rPr>
        <w:t xml:space="preserve"> </w:t>
      </w:r>
      <w:r>
        <w:rPr>
          <w:b/>
          <w:color w:val="FF0000"/>
          <w:sz w:val="24"/>
          <w:szCs w:val="24"/>
          <w:u w:val="single"/>
        </w:rPr>
        <w:t xml:space="preserve">Reduktion af emballage</w:t>
      </w:r>
      <w:r>
        <w:rPr>
          <w:b/>
          <w:color w:val="FF0000"/>
          <w:sz w:val="24"/>
          <w:szCs w:val="24"/>
          <w:u w:val="single"/>
        </w:rPr>
        <w:t xml:space="preserve"> </w:t>
      </w:r>
    </w:p>
    <w:p w14:paraId="2D11A631" w14:textId="77777777" w:rsidR="000147DB" w:rsidRPr="003E7524" w:rsidRDefault="000147DB" w:rsidP="002F5A31">
      <w:pPr>
        <w:keepNext/>
        <w:keepLines/>
        <w:spacing w:beforeLines="100" w:before="240" w:after="240" w:line="240" w:lineRule="auto"/>
        <w:jc w:val="both"/>
        <w:rPr>
          <w:color w:val="FF0000"/>
          <w:sz w:val="24"/>
          <w:szCs w:val="24"/>
          <w:rFonts w:eastAsia="Calibri" w:cs="TimesNewRoman"/>
        </w:rPr>
      </w:pPr>
      <w:r>
        <w:rPr>
          <w:color w:val="FF0000"/>
          <w:sz w:val="24"/>
          <w:szCs w:val="24"/>
        </w:rPr>
        <w:t xml:space="preserve">Med henblik på varig reduktion af emballageforbruget på det luxembourgske område:</w:t>
      </w:r>
    </w:p>
    <w:p w14:paraId="1921772D" w14:textId="2F6CC734" w:rsidR="000147DB" w:rsidRPr="00471E09" w:rsidRDefault="000147DB" w:rsidP="000147DB">
      <w:pPr>
        <w:pStyle w:val="Liste10"/>
        <w:spacing w:before="240"/>
        <w:ind w:left="360" w:hanging="427"/>
        <w:rPr>
          <w:color w:val="FF0000"/>
          <w:sz w:val="24"/>
          <w:szCs w:val="24"/>
          <w:rFonts w:cs="TimesNewRoman"/>
        </w:rPr>
      </w:pPr>
      <w:r>
        <w:rPr>
          <w:color w:val="FF0000"/>
          <w:sz w:val="24"/>
          <w:szCs w:val="24"/>
        </w:rPr>
        <w:t xml:space="preserve">1.</w:t>
        <w:tab/>
        <w:t xml:space="preserve">i) Fra den 1. januar 2022 er enhver detailhandel, der udbyder friske frugter og grøntsager som anført i bilag III, herunder skrællede og overskårne frugter og grøntsager, til salg, forpligtet til at udbyde dem uden emballage, som helt eller delvist består af plastmateriale.</w:t>
      </w:r>
      <w:r>
        <w:rPr>
          <w:color w:val="FF0000"/>
          <w:sz w:val="24"/>
          <w:szCs w:val="24"/>
        </w:rPr>
        <w:t xml:space="preserve"> </w:t>
      </w:r>
      <w:r>
        <w:rPr>
          <w:color w:val="FF0000"/>
          <w:sz w:val="24"/>
          <w:szCs w:val="24"/>
        </w:rPr>
        <w:t xml:space="preserve">Denne forpligtelse gælder ikke frugt og grøntsager pakket i partier på 1,5 kilogram eller mere.</w:t>
      </w:r>
      <w:r>
        <w:rPr>
          <w:color w:val="FF0000"/>
          <w:sz w:val="24"/>
          <w:szCs w:val="24"/>
        </w:rPr>
        <w:t xml:space="preserve"> </w:t>
      </w:r>
    </w:p>
    <w:p w14:paraId="33E5B6DD" w14:textId="77777777" w:rsidR="000147DB" w:rsidRPr="003E7524" w:rsidRDefault="000147DB" w:rsidP="000147DB">
      <w:pPr>
        <w:pStyle w:val="Liste10"/>
        <w:spacing w:before="240"/>
        <w:ind w:left="360"/>
        <w:rPr>
          <w:rFonts w:cs="TimesNewRoman"/>
          <w:b/>
          <w:sz w:val="24"/>
          <w:szCs w:val="24"/>
          <w:lang w:val="fr-LU" w:eastAsia="fr-BE"/>
        </w:rPr>
      </w:pPr>
    </w:p>
    <w:p w14:paraId="0EA51AFF" w14:textId="633BD9CF" w:rsidR="000147DB" w:rsidRPr="003E7524" w:rsidRDefault="000147DB" w:rsidP="002F5A31">
      <w:pPr>
        <w:tabs>
          <w:tab w:val="left" w:pos="284"/>
        </w:tabs>
        <w:spacing w:beforeLines="100" w:before="240" w:after="240" w:line="240" w:lineRule="auto"/>
        <w:jc w:val="both"/>
        <w:rPr>
          <w:color w:val="FF0000"/>
          <w:sz w:val="24"/>
          <w:szCs w:val="24"/>
          <w:rFonts w:eastAsia="Calibri" w:cs="TimesNewRoman"/>
        </w:rPr>
      </w:pPr>
      <w:r>
        <w:rPr>
          <w:color w:val="FF0000"/>
          <w:sz w:val="24"/>
          <w:szCs w:val="24"/>
        </w:rPr>
        <w:t xml:space="preserve">2. Det årlige forbrug af letvægtsplastbæreposer må ikke overstige halvfems kilogram pr. 31. december 2019 og fyrre enheder pr. person fra den 31. december 2025.</w:t>
      </w:r>
      <w:r>
        <w:rPr>
          <w:color w:val="FF0000"/>
          <w:sz w:val="24"/>
          <w:szCs w:val="24"/>
        </w:rPr>
        <w:t xml:space="preserve"> </w:t>
      </w:r>
      <w:r>
        <w:rPr>
          <w:color w:val="FF0000"/>
          <w:sz w:val="24"/>
          <w:szCs w:val="24"/>
        </w:rPr>
        <w:t xml:space="preserve">Meget lette plastbæreposer i henhold til artikel 3, nr. 5), er undtaget fra dette.</w:t>
      </w:r>
    </w:p>
    <w:p w14:paraId="6F0972E3"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szCs w:val="24"/>
        </w:rPr>
        <w:t xml:space="preserve">3. Der udleveres ingen gratis plastbæreposer på salgsstederne for varer eller produkter.</w:t>
      </w:r>
      <w:r>
        <w:rPr>
          <w:color w:val="FF0000"/>
          <w:sz w:val="24"/>
          <w:szCs w:val="24"/>
        </w:rPr>
        <w:t xml:space="preserve"> </w:t>
      </w:r>
      <w:r>
        <w:rPr>
          <w:color w:val="FF0000"/>
          <w:sz w:val="24"/>
          <w:szCs w:val="24"/>
        </w:rPr>
        <w:t xml:space="preserve">Meget lette plastbæreposer i henhold til artikel 3, nr. 5), er undtaget fra dette.</w:t>
      </w:r>
    </w:p>
    <w:p w14:paraId="58896EE4" w14:textId="77777777" w:rsidR="000147DB" w:rsidRPr="003E7524" w:rsidRDefault="000147DB" w:rsidP="002F5A31">
      <w:pPr>
        <w:keepNext/>
        <w:keepLines/>
        <w:spacing w:beforeLines="100" w:before="240" w:after="240" w:line="240" w:lineRule="auto"/>
        <w:jc w:val="both"/>
        <w:rPr>
          <w:color w:val="FF0000"/>
          <w:sz w:val="24"/>
          <w:szCs w:val="24"/>
          <w:rFonts w:cs="TimesNewRoman"/>
        </w:rPr>
      </w:pPr>
      <w:r>
        <w:rPr>
          <w:color w:val="FF0000"/>
          <w:sz w:val="24"/>
          <w:szCs w:val="24"/>
        </w:rPr>
        <w:t xml:space="preserve">4. Følgende serviceemballage må ikke udleveres gratis på salgsstederne for varer eller produkter i henhold til følgende tidsplan:</w:t>
      </w:r>
      <w:r>
        <w:rPr>
          <w:color w:val="FF0000"/>
          <w:sz w:val="24"/>
          <w:szCs w:val="24"/>
        </w:rPr>
        <w:t xml:space="preserve"> </w:t>
      </w:r>
    </w:p>
    <w:p w14:paraId="2B70078E" w14:textId="77777777" w:rsidR="000147DB" w:rsidRPr="003E7524" w:rsidRDefault="000147DB" w:rsidP="000147DB">
      <w:pPr>
        <w:spacing w:beforeLines="100" w:before="240" w:after="240" w:line="240" w:lineRule="auto"/>
        <w:jc w:val="both"/>
        <w:rPr>
          <w:color w:val="FF0000"/>
          <w:sz w:val="24"/>
          <w:szCs w:val="24"/>
          <w:rFonts w:cs="TimesNewRoman"/>
        </w:rPr>
      </w:pPr>
      <w:r>
        <w:rPr>
          <w:color w:val="FF0000"/>
          <w:sz w:val="24"/>
          <w:szCs w:val="24"/>
        </w:rPr>
        <w:t xml:space="preserve">fra den 1. januar 2023: bæreposer, uanset hvilket materiale de består af</w:t>
      </w:r>
    </w:p>
    <w:p w14:paraId="03DEAD8E" w14:textId="77777777" w:rsidR="000147DB" w:rsidRPr="00471E09" w:rsidRDefault="000147DB" w:rsidP="000147DB">
      <w:pPr>
        <w:spacing w:beforeLines="100" w:before="240" w:after="240" w:line="240" w:lineRule="auto"/>
        <w:jc w:val="both"/>
        <w:rPr>
          <w:color w:val="FF0000"/>
          <w:sz w:val="24"/>
          <w:szCs w:val="24"/>
          <w:rFonts w:eastAsia="Calibri" w:cs="TimesNewRoman"/>
        </w:rPr>
      </w:pPr>
      <w:r>
        <w:rPr>
          <w:color w:val="FF0000"/>
          <w:sz w:val="24"/>
          <w:szCs w:val="24"/>
        </w:rPr>
        <w:t xml:space="preserve">fra den 1. januar 2024: serviceemballage, som udgør udstyr, der er beregnet til en enkelt anvendelse som anført i bilaget, del A i lov af…om vurdering af bestemte plastprodukters indvirkning på miljøet, uanset hvilket materiale de består af</w:t>
      </w:r>
    </w:p>
    <w:p w14:paraId="10B4C155" w14:textId="77777777" w:rsidR="000147DB" w:rsidRPr="003E7524" w:rsidRDefault="000147DB" w:rsidP="000147DB">
      <w:pPr>
        <w:spacing w:beforeLines="100" w:before="240" w:after="240" w:line="240" w:lineRule="auto"/>
        <w:jc w:val="both"/>
        <w:rPr>
          <w:color w:val="FF0000"/>
          <w:sz w:val="24"/>
          <w:szCs w:val="24"/>
          <w:rFonts w:cs="TimesNewRoman"/>
        </w:rPr>
      </w:pPr>
      <w:r>
        <w:rPr>
          <w:color w:val="FF0000"/>
          <w:sz w:val="24"/>
          <w:szCs w:val="24"/>
        </w:rPr>
        <w:t xml:space="preserve">fra den 1. januar 2025: serviceemballage.</w:t>
      </w:r>
    </w:p>
    <w:p w14:paraId="01699BD2" w14:textId="77777777" w:rsidR="000147DB" w:rsidRPr="00471E09" w:rsidRDefault="000147DB" w:rsidP="000147DB">
      <w:pPr>
        <w:spacing w:beforeLines="100" w:before="240" w:after="240" w:line="240" w:lineRule="auto"/>
        <w:jc w:val="both"/>
        <w:rPr>
          <w:bCs/>
          <w:color w:val="FF0000"/>
          <w:sz w:val="24"/>
          <w:szCs w:val="24"/>
          <w:rFonts w:eastAsia="Calibri" w:cstheme="minorHAnsi"/>
        </w:rPr>
      </w:pPr>
      <w:r>
        <w:rPr>
          <w:color w:val="FF0000"/>
          <w:sz w:val="24"/>
          <w:szCs w:val="24"/>
        </w:rPr>
        <w:t xml:space="preserve">2. </w:t>
      </w:r>
      <w:r>
        <w:rPr>
          <w:color w:val="FF0000"/>
          <w:sz w:val="24"/>
          <w:szCs w:val="24"/>
          <w:bCs/>
        </w:rPr>
        <w:t xml:space="preserve">Produkter, der er omhandlet i stk. </w:t>
      </w:r>
      <w:r>
        <w:rPr>
          <w:color w:val="FF0000"/>
          <w:sz w:val="24"/>
          <w:szCs w:val="24"/>
        </w:rPr>
        <w:t xml:space="preserve">1</w:t>
      </w:r>
      <w:r>
        <w:rPr>
          <w:color w:val="FF0000"/>
          <w:sz w:val="24"/>
          <w:szCs w:val="24"/>
          <w:bCs/>
        </w:rPr>
        <w:t xml:space="preserve">, nr. 3) og 4), skal have en afskrækkende pris, som er anført særskilt og synligt på salgsstedet og på fakturaen.</w:t>
      </w:r>
      <w:r>
        <w:rPr>
          <w:color w:val="FF0000"/>
          <w:sz w:val="24"/>
          <w:szCs w:val="24"/>
          <w:bCs/>
        </w:rPr>
        <w:t xml:space="preserve"> </w:t>
      </w:r>
      <w:r>
        <w:rPr>
          <w:color w:val="FF0000"/>
          <w:sz w:val="24"/>
          <w:szCs w:val="24"/>
          <w:bCs/>
        </w:rPr>
        <w:t xml:space="preserve">Mindsteprisen kan fastsættes i en miljøaftale.</w:t>
      </w:r>
    </w:p>
    <w:p w14:paraId="4B8B74C5" w14:textId="77777777" w:rsidR="000147DB" w:rsidRPr="003E7524" w:rsidRDefault="000147DB" w:rsidP="000147DB">
      <w:pPr>
        <w:spacing w:after="0" w:line="240" w:lineRule="auto"/>
        <w:jc w:val="both"/>
        <w:rPr>
          <w:rFonts w:eastAsia="Times New Roman" w:cs="Arial"/>
          <w:color w:val="FF0000"/>
          <w:lang w:val="fr-FR" w:eastAsia="fr-FR"/>
        </w:rPr>
      </w:pPr>
    </w:p>
    <w:p w14:paraId="400B8D39" w14:textId="77777777" w:rsidR="000147DB" w:rsidRPr="003E7524" w:rsidRDefault="000147DB" w:rsidP="002F5A31">
      <w:pPr>
        <w:keepNext/>
        <w:keepLines/>
        <w:spacing w:beforeLines="100" w:before="240" w:after="240" w:line="240" w:lineRule="auto"/>
        <w:jc w:val="both"/>
        <w:rPr>
          <w:color w:val="FF0000"/>
          <w:sz w:val="24"/>
          <w:szCs w:val="24"/>
          <w:u w:val="single"/>
          <w:rFonts w:eastAsia="Calibri" w:cs="TimesNewRoman"/>
        </w:rPr>
      </w:pPr>
      <w:r>
        <w:rPr>
          <w:color w:val="FF0000"/>
          <w:sz w:val="24"/>
          <w:szCs w:val="24"/>
          <w:u w:val="single"/>
        </w:rPr>
        <w:t xml:space="preserve">Artikel 5a.</w:t>
      </w:r>
      <w:r>
        <w:rPr>
          <w:color w:val="FF0000"/>
          <w:sz w:val="24"/>
          <w:szCs w:val="24"/>
          <w:u w:val="single"/>
        </w:rPr>
        <w:t xml:space="preserve"> </w:t>
      </w:r>
      <w:r>
        <w:rPr>
          <w:color w:val="FF0000"/>
          <w:sz w:val="24"/>
          <w:szCs w:val="24"/>
          <w:u w:val="single"/>
        </w:rPr>
        <w:t xml:space="preserve">Genbrug</w:t>
      </w:r>
      <w:r>
        <w:rPr>
          <w:color w:val="FF0000"/>
          <w:sz w:val="24"/>
          <w:szCs w:val="24"/>
          <w:u w:val="single"/>
        </w:rPr>
        <w:t xml:space="preserve"> </w:t>
      </w:r>
    </w:p>
    <w:p w14:paraId="163598FA" w14:textId="77777777" w:rsidR="000147DB" w:rsidRPr="003E7524" w:rsidRDefault="000147DB" w:rsidP="000147DB">
      <w:pPr>
        <w:jc w:val="both"/>
        <w:rPr>
          <w:color w:val="FF0000"/>
          <w:sz w:val="24"/>
        </w:rPr>
      </w:pPr>
      <w:r>
        <w:rPr>
          <w:color w:val="FF0000"/>
          <w:sz w:val="24"/>
        </w:rPr>
        <w:t xml:space="preserve">Ifølge affaldshierarkiet i artikel 9 i lov af 21. marts 2012 kan ministeren indgå miljøaftaler med henblik på at tilskynde til øgning af andelen af genbrugsemballage, der bringes i omsætning, og af miljøvenlige systemer til genbrug af emballage.</w:t>
      </w:r>
    </w:p>
    <w:p w14:paraId="213A7D6C" w14:textId="77777777" w:rsidR="000147DB" w:rsidRPr="003E7524" w:rsidRDefault="000147DB" w:rsidP="002F5A31">
      <w:pPr>
        <w:keepNext/>
        <w:keepLines/>
        <w:jc w:val="both"/>
        <w:rPr>
          <w:color w:val="FF0000"/>
          <w:sz w:val="24"/>
        </w:rPr>
      </w:pPr>
      <w:r>
        <w:rPr>
          <w:color w:val="FF0000"/>
          <w:sz w:val="24"/>
        </w:rPr>
        <w:t xml:space="preserve">Disse aftaler kan bl.a. omfatte:</w:t>
      </w:r>
      <w:r>
        <w:rPr>
          <w:color w:val="FF0000"/>
          <w:sz w:val="24"/>
        </w:rPr>
        <w:t xml:space="preserve"> </w:t>
      </w:r>
    </w:p>
    <w:p w14:paraId="5BEA6077" w14:textId="77777777" w:rsidR="000147DB" w:rsidRPr="003E7524" w:rsidRDefault="000147DB" w:rsidP="000147DB">
      <w:pPr>
        <w:jc w:val="both"/>
        <w:rPr>
          <w:color w:val="FF0000"/>
          <w:sz w:val="24"/>
        </w:rPr>
      </w:pPr>
      <w:r>
        <w:rPr>
          <w:color w:val="FF0000"/>
          <w:sz w:val="24"/>
        </w:rPr>
        <w:t xml:space="preserve">1. brug af pantsystemer</w:t>
      </w:r>
    </w:p>
    <w:p w14:paraId="498392F7" w14:textId="77777777" w:rsidR="000147DB" w:rsidRPr="003E7524" w:rsidRDefault="000147DB" w:rsidP="000147DB">
      <w:pPr>
        <w:jc w:val="both"/>
        <w:rPr>
          <w:color w:val="FF0000"/>
          <w:sz w:val="24"/>
        </w:rPr>
      </w:pPr>
      <w:r>
        <w:rPr>
          <w:color w:val="FF0000"/>
          <w:sz w:val="24"/>
        </w:rPr>
        <w:t xml:space="preserve">2. fastsættelse af kvalitative eller kvantitative mål</w:t>
      </w:r>
    </w:p>
    <w:p w14:paraId="57A9F07C" w14:textId="77777777" w:rsidR="000147DB" w:rsidRPr="003E7524" w:rsidRDefault="000147DB" w:rsidP="000147DB">
      <w:pPr>
        <w:jc w:val="both"/>
        <w:rPr>
          <w:color w:val="FF0000"/>
          <w:sz w:val="24"/>
        </w:rPr>
      </w:pPr>
      <w:r>
        <w:rPr>
          <w:color w:val="FF0000"/>
          <w:sz w:val="24"/>
        </w:rPr>
        <w:t xml:space="preserve">3. brug af økonomiske incitamenter</w:t>
      </w:r>
    </w:p>
    <w:p w14:paraId="2D7BAE53" w14:textId="77777777" w:rsidR="000147DB" w:rsidRPr="003E7524" w:rsidRDefault="000147DB" w:rsidP="000147DB">
      <w:pPr>
        <w:jc w:val="both"/>
        <w:rPr>
          <w:color w:val="FF0000"/>
          <w:sz w:val="24"/>
        </w:rPr>
      </w:pPr>
      <w:r>
        <w:rPr>
          <w:color w:val="FF0000"/>
          <w:sz w:val="24"/>
        </w:rPr>
        <w:t xml:space="preserve">4. fastsættelse af en minimumsandel af genbrugsemballage, som bringes i omsætning hvert år for hver emballagestrøm.</w:t>
      </w:r>
    </w:p>
    <w:p w14:paraId="7CDB617E" w14:textId="77777777" w:rsidR="000147DB" w:rsidRPr="003E7524" w:rsidRDefault="000147DB" w:rsidP="000147DB">
      <w:pPr>
        <w:spacing w:after="0" w:line="240" w:lineRule="auto"/>
        <w:jc w:val="both"/>
        <w:rPr>
          <w:rFonts w:eastAsia="Times New Roman" w:cs="Arial"/>
          <w:lang w:val="fr-LU" w:eastAsia="fr-FR"/>
        </w:rPr>
      </w:pPr>
    </w:p>
    <w:p w14:paraId="07381996" w14:textId="77777777" w:rsidR="000147DB" w:rsidRPr="003E7524" w:rsidRDefault="000147DB" w:rsidP="000147DB">
      <w:pPr>
        <w:spacing w:after="0" w:line="240" w:lineRule="auto"/>
        <w:jc w:val="both"/>
        <w:rPr>
          <w:rFonts w:eastAsia="Times New Roman" w:cs="Arial"/>
          <w:lang w:val="fr-FR" w:eastAsia="fr-FR"/>
        </w:rPr>
      </w:pPr>
    </w:p>
    <w:p w14:paraId="0E3A37E2" w14:textId="77777777" w:rsidR="000147DB" w:rsidRPr="003E7524" w:rsidRDefault="000147DB" w:rsidP="002F5A31">
      <w:pPr>
        <w:pStyle w:val="Liste10"/>
        <w:keepNext/>
        <w:keepLines/>
        <w:spacing w:before="240"/>
        <w:rPr>
          <w:b/>
          <w:color w:val="FF0000"/>
          <w:sz w:val="24"/>
          <w:szCs w:val="24"/>
          <w:rFonts w:cs="TimesNewRoman"/>
        </w:rPr>
      </w:pPr>
      <w:r>
        <w:rPr>
          <w:color w:val="FF0000"/>
          <w:sz w:val="24"/>
          <w:szCs w:val="24"/>
          <w:u w:val="single"/>
        </w:rPr>
        <w:t xml:space="preserve">Artikel 6.</w:t>
      </w:r>
      <w:r>
        <w:rPr>
          <w:color w:val="FF0000"/>
          <w:sz w:val="24"/>
          <w:szCs w:val="24"/>
          <w:u w:val="single"/>
        </w:rPr>
        <w:t xml:space="preserve"> </w:t>
      </w:r>
      <w:r>
        <w:rPr>
          <w:color w:val="FF0000"/>
          <w:sz w:val="24"/>
          <w:szCs w:val="24"/>
          <w:u w:val="single"/>
        </w:rPr>
        <w:t xml:space="preserve">Nyttiggørelse og genanvendelse</w:t>
      </w:r>
    </w:p>
    <w:p w14:paraId="6A7E88E7" w14:textId="77777777" w:rsidR="000147DB" w:rsidRPr="003E7524" w:rsidRDefault="000147DB" w:rsidP="002F5A31">
      <w:pPr>
        <w:pStyle w:val="Liste10"/>
        <w:keepNext/>
        <w:keepLines/>
        <w:spacing w:before="240"/>
        <w:rPr>
          <w:b/>
          <w:color w:val="FF0000"/>
          <w:sz w:val="24"/>
          <w:szCs w:val="24"/>
          <w:rFonts w:cs="TimesNewRoman"/>
        </w:rPr>
      </w:pPr>
      <w:r>
        <w:rPr>
          <w:color w:val="FF0000"/>
          <w:sz w:val="24"/>
          <w:szCs w:val="24"/>
        </w:rPr>
        <w:t xml:space="preserve">De affaldsansvarlige er forpligtet til at nå følgende minimumsmål:</w:t>
      </w:r>
      <w:r>
        <w:rPr>
          <w:color w:val="FF0000"/>
          <w:sz w:val="24"/>
          <w:szCs w:val="24"/>
        </w:rPr>
        <w:t xml:space="preserve"> </w:t>
      </w:r>
    </w:p>
    <w:p w14:paraId="135701C7" w14:textId="77777777" w:rsidR="000147DB" w:rsidRPr="003E7524" w:rsidRDefault="000147DB" w:rsidP="000147DB">
      <w:pPr>
        <w:pStyle w:val="Liste10"/>
        <w:spacing w:before="240"/>
        <w:rPr>
          <w:b/>
          <w:color w:val="FF0000"/>
          <w:sz w:val="24"/>
          <w:szCs w:val="24"/>
          <w:rFonts w:cs="TimesNewRoman"/>
        </w:rPr>
      </w:pPr>
      <w:r>
        <w:rPr>
          <w:color w:val="FF0000"/>
          <w:sz w:val="24"/>
          <w:szCs w:val="24"/>
        </w:rPr>
        <w:t xml:space="preserve">1) 65 vægtprocent af affaldsemballagen nyttiggøres eller forbrændes på affaldsforbrændingsanlæg med energiudnyttelse.</w:t>
      </w:r>
    </w:p>
    <w:p w14:paraId="0BEBEC70" w14:textId="77777777" w:rsidR="000147DB" w:rsidRPr="003E7524" w:rsidRDefault="000147DB" w:rsidP="000147DB">
      <w:pPr>
        <w:pStyle w:val="Liste10"/>
        <w:spacing w:before="240"/>
        <w:rPr>
          <w:b/>
          <w:color w:val="FF0000"/>
          <w:sz w:val="24"/>
          <w:szCs w:val="24"/>
          <w:rFonts w:cs="TimesNewRoman"/>
        </w:rPr>
      </w:pPr>
      <w:r>
        <w:rPr>
          <w:color w:val="FF0000"/>
          <w:sz w:val="24"/>
          <w:szCs w:val="24"/>
        </w:rPr>
        <w:t xml:space="preserve">2) 60 vægtprocent af affaldsemballagen genanvendes med følgende minimumsgenanvendelsesmål for materialer, der indgår i emballageaffaldet:</w:t>
      </w:r>
      <w:r>
        <w:rPr>
          <w:color w:val="FF0000"/>
          <w:sz w:val="24"/>
          <w:szCs w:val="24"/>
        </w:rPr>
        <w:t xml:space="preserve"> </w:t>
      </w:r>
      <w:r>
        <w:rPr>
          <w:color w:val="FF0000"/>
          <w:sz w:val="24"/>
          <w:szCs w:val="24"/>
        </w:rPr>
        <w:t xml:space="preserve">60 vægtprocent for glas, 60 vægtprocent for papir og karton, 50 vægtprocent for metaller, 22,5 vægtprocent for plast, idet der kun medregnes materiale, der genanvendes som plast, og 15 vægtprocent for træ.</w:t>
      </w:r>
    </w:p>
    <w:p w14:paraId="74DA408D" w14:textId="77777777" w:rsidR="000147DB" w:rsidRPr="003E7524" w:rsidRDefault="000147DB" w:rsidP="000147DB">
      <w:pPr>
        <w:pStyle w:val="Liste10"/>
        <w:spacing w:before="240"/>
        <w:rPr>
          <w:b/>
          <w:color w:val="FF0000"/>
          <w:sz w:val="24"/>
          <w:szCs w:val="24"/>
          <w:rFonts w:cs="TimesNewRoman"/>
        </w:rPr>
      </w:pPr>
      <w:r>
        <w:rPr>
          <w:color w:val="FF0000"/>
          <w:sz w:val="24"/>
          <w:szCs w:val="24"/>
        </w:rPr>
        <w:t xml:space="preserve">3) Senest den 31. december 2025 skal mindst 65 vægtprocent af alt emballageaffald genanvendes.</w:t>
      </w:r>
    </w:p>
    <w:p w14:paraId="73EB6671" w14:textId="77777777" w:rsidR="000147DB" w:rsidRPr="003E7524" w:rsidRDefault="000147DB" w:rsidP="002F5A31">
      <w:pPr>
        <w:pStyle w:val="Liste10"/>
        <w:keepNext/>
        <w:keepLines/>
        <w:spacing w:before="240"/>
        <w:rPr>
          <w:b/>
          <w:color w:val="FF0000"/>
          <w:sz w:val="24"/>
          <w:szCs w:val="24"/>
          <w:rFonts w:cs="TimesNewRoman"/>
        </w:rPr>
      </w:pPr>
      <w:r>
        <w:rPr>
          <w:color w:val="FF0000"/>
          <w:sz w:val="24"/>
          <w:szCs w:val="24"/>
        </w:rPr>
        <w:t xml:space="preserve">4) Senest den 31. december 2025 skal følgende minimumsgenanvendelsesmål for følgende specifikke materialer, der indgår i emballageaffald, nås:</w:t>
      </w:r>
    </w:p>
    <w:p w14:paraId="28C5FBC2" w14:textId="77777777" w:rsidR="000147DB" w:rsidRPr="003E7524" w:rsidRDefault="000147DB" w:rsidP="000147DB">
      <w:pPr>
        <w:pStyle w:val="Liste10"/>
        <w:spacing w:before="240"/>
        <w:ind w:left="851"/>
        <w:rPr>
          <w:b/>
          <w:color w:val="FF0000"/>
          <w:sz w:val="24"/>
          <w:szCs w:val="24"/>
          <w:rFonts w:cs="TimesNewRoman"/>
        </w:rPr>
      </w:pPr>
      <w:r>
        <w:rPr>
          <w:color w:val="FF0000"/>
          <w:sz w:val="24"/>
          <w:szCs w:val="24"/>
        </w:rPr>
        <w:t xml:space="preserve">a) 50 % for plast</w:t>
      </w:r>
    </w:p>
    <w:p w14:paraId="4E57FAF2" w14:textId="77777777" w:rsidR="000147DB" w:rsidRPr="003E7524" w:rsidRDefault="000147DB" w:rsidP="000147DB">
      <w:pPr>
        <w:pStyle w:val="Liste10"/>
        <w:spacing w:before="240"/>
        <w:ind w:left="851"/>
        <w:rPr>
          <w:b/>
          <w:color w:val="FF0000"/>
          <w:sz w:val="24"/>
          <w:szCs w:val="24"/>
          <w:rFonts w:cs="TimesNewRoman"/>
        </w:rPr>
      </w:pPr>
      <w:r>
        <w:rPr>
          <w:color w:val="FF0000"/>
          <w:sz w:val="24"/>
          <w:szCs w:val="24"/>
        </w:rPr>
        <w:t xml:space="preserve">b) 25 % for træ</w:t>
      </w:r>
    </w:p>
    <w:p w14:paraId="2042FBF8" w14:textId="77777777" w:rsidR="000147DB" w:rsidRPr="003E7524" w:rsidRDefault="000147DB" w:rsidP="000147DB">
      <w:pPr>
        <w:pStyle w:val="Liste10"/>
        <w:spacing w:before="240"/>
        <w:ind w:left="851"/>
        <w:rPr>
          <w:b/>
          <w:color w:val="FF0000"/>
          <w:sz w:val="24"/>
          <w:szCs w:val="24"/>
          <w:rFonts w:cs="TimesNewRoman"/>
        </w:rPr>
      </w:pPr>
      <w:r>
        <w:rPr>
          <w:color w:val="FF0000"/>
          <w:sz w:val="24"/>
          <w:szCs w:val="24"/>
        </w:rPr>
        <w:t xml:space="preserve">c) 70 % for jernholdige metaller</w:t>
      </w:r>
    </w:p>
    <w:p w14:paraId="44C91BB4" w14:textId="77777777" w:rsidR="000147DB" w:rsidRPr="003E7524" w:rsidRDefault="000147DB" w:rsidP="000147DB">
      <w:pPr>
        <w:pStyle w:val="Liste10"/>
        <w:spacing w:before="240"/>
        <w:ind w:left="851"/>
        <w:rPr>
          <w:b/>
          <w:color w:val="FF0000"/>
          <w:sz w:val="24"/>
          <w:szCs w:val="24"/>
          <w:rFonts w:cs="TimesNewRoman"/>
        </w:rPr>
      </w:pPr>
      <w:r>
        <w:rPr>
          <w:color w:val="FF0000"/>
          <w:sz w:val="24"/>
          <w:szCs w:val="24"/>
        </w:rPr>
        <w:t xml:space="preserve">d) 50 % for aluminium</w:t>
      </w:r>
    </w:p>
    <w:p w14:paraId="7238B496" w14:textId="77777777" w:rsidR="000147DB" w:rsidRPr="003E7524" w:rsidRDefault="000147DB" w:rsidP="000147DB">
      <w:pPr>
        <w:pStyle w:val="Liste10"/>
        <w:spacing w:before="240"/>
        <w:ind w:left="851"/>
        <w:rPr>
          <w:b/>
          <w:color w:val="FF0000"/>
          <w:sz w:val="24"/>
          <w:szCs w:val="24"/>
          <w:rFonts w:cs="TimesNewRoman"/>
        </w:rPr>
      </w:pPr>
      <w:r>
        <w:rPr>
          <w:color w:val="FF0000"/>
          <w:sz w:val="24"/>
          <w:szCs w:val="24"/>
        </w:rPr>
        <w:t xml:space="preserve">e) 70 % for glas</w:t>
      </w:r>
    </w:p>
    <w:p w14:paraId="0474C36D" w14:textId="77777777" w:rsidR="000147DB" w:rsidRPr="003E7524" w:rsidRDefault="000147DB" w:rsidP="000147DB">
      <w:pPr>
        <w:pStyle w:val="Liste10"/>
        <w:spacing w:before="240"/>
        <w:ind w:left="851"/>
        <w:rPr>
          <w:b/>
          <w:color w:val="FF0000"/>
          <w:sz w:val="24"/>
          <w:szCs w:val="24"/>
          <w:rFonts w:cs="TimesNewRoman"/>
        </w:rPr>
      </w:pPr>
      <w:r>
        <w:rPr>
          <w:color w:val="FF0000"/>
          <w:sz w:val="24"/>
          <w:szCs w:val="24"/>
        </w:rPr>
        <w:t xml:space="preserve">f) 75 % for papir og karton.</w:t>
      </w:r>
    </w:p>
    <w:p w14:paraId="0E79D37D" w14:textId="77777777" w:rsidR="000147DB" w:rsidRPr="00471E09" w:rsidRDefault="000147DB" w:rsidP="000147DB">
      <w:pPr>
        <w:pStyle w:val="Liste10"/>
        <w:spacing w:before="240"/>
        <w:rPr>
          <w:color w:val="FF0000"/>
          <w:sz w:val="24"/>
          <w:szCs w:val="24"/>
          <w:rFonts w:cs="TimesNewRoman"/>
        </w:rPr>
      </w:pPr>
      <w:r>
        <w:rPr>
          <w:color w:val="FF0000"/>
          <w:sz w:val="24"/>
          <w:szCs w:val="24"/>
        </w:rPr>
        <w:t xml:space="preserve">5) Senest den 31. december 2030 genanvendes mindst 70 vægtprocent af alt emballageaffald.</w:t>
      </w:r>
    </w:p>
    <w:p w14:paraId="72B3204C" w14:textId="77777777" w:rsidR="000147DB" w:rsidRPr="00471E09" w:rsidRDefault="000147DB" w:rsidP="002F5A31">
      <w:pPr>
        <w:pStyle w:val="Liste10"/>
        <w:keepNext/>
        <w:keepLines/>
        <w:spacing w:before="240"/>
        <w:rPr>
          <w:color w:val="FF0000"/>
          <w:sz w:val="24"/>
          <w:szCs w:val="24"/>
          <w:rFonts w:cs="TimesNewRoman"/>
        </w:rPr>
      </w:pPr>
      <w:r>
        <w:rPr>
          <w:color w:val="FF0000"/>
          <w:sz w:val="24"/>
          <w:szCs w:val="24"/>
        </w:rPr>
        <w:t xml:space="preserve">6) Senest den 31. december 2030 skal følgende minimumsgenanvendelsesmål for specifikke materialer, der indgår i emballageaffald, nås:</w:t>
      </w:r>
    </w:p>
    <w:p w14:paraId="5CEB0529" w14:textId="77777777" w:rsidR="000147DB" w:rsidRPr="003E7524" w:rsidRDefault="000147DB" w:rsidP="000147DB">
      <w:pPr>
        <w:pStyle w:val="Liste10"/>
        <w:spacing w:before="240"/>
        <w:ind w:left="851"/>
        <w:rPr>
          <w:b/>
          <w:color w:val="FF0000"/>
          <w:sz w:val="24"/>
          <w:szCs w:val="24"/>
          <w:rFonts w:cs="TimesNewRoman"/>
        </w:rPr>
      </w:pPr>
      <w:r>
        <w:rPr>
          <w:color w:val="FF0000"/>
          <w:sz w:val="24"/>
          <w:szCs w:val="24"/>
        </w:rPr>
        <w:t xml:space="preserve">a) 55 % for plast</w:t>
      </w:r>
    </w:p>
    <w:p w14:paraId="3F31D1FB" w14:textId="77777777" w:rsidR="000147DB" w:rsidRPr="003E7524" w:rsidRDefault="000147DB" w:rsidP="000147DB">
      <w:pPr>
        <w:pStyle w:val="Liste10"/>
        <w:spacing w:before="240"/>
        <w:ind w:left="851"/>
        <w:rPr>
          <w:b/>
          <w:color w:val="FF0000"/>
          <w:sz w:val="24"/>
          <w:szCs w:val="24"/>
          <w:rFonts w:cs="TimesNewRoman"/>
        </w:rPr>
      </w:pPr>
      <w:r>
        <w:rPr>
          <w:color w:val="FF0000"/>
          <w:sz w:val="24"/>
          <w:szCs w:val="24"/>
        </w:rPr>
        <w:t xml:space="preserve">b) 30 % for træ</w:t>
      </w:r>
    </w:p>
    <w:p w14:paraId="75516D16" w14:textId="77777777" w:rsidR="000147DB" w:rsidRPr="003E7524" w:rsidRDefault="000147DB" w:rsidP="000147DB">
      <w:pPr>
        <w:pStyle w:val="Liste10"/>
        <w:spacing w:before="240"/>
        <w:ind w:left="851"/>
        <w:rPr>
          <w:b/>
          <w:color w:val="FF0000"/>
          <w:sz w:val="24"/>
          <w:szCs w:val="24"/>
          <w:rFonts w:cs="TimesNewRoman"/>
        </w:rPr>
      </w:pPr>
      <w:r>
        <w:rPr>
          <w:color w:val="FF0000"/>
          <w:sz w:val="24"/>
          <w:szCs w:val="24"/>
        </w:rPr>
        <w:t xml:space="preserve">c) 80 % for jernholdige metaller</w:t>
      </w:r>
    </w:p>
    <w:p w14:paraId="4FD2DC34" w14:textId="77777777" w:rsidR="000147DB" w:rsidRPr="003E7524" w:rsidRDefault="000147DB" w:rsidP="000147DB">
      <w:pPr>
        <w:pStyle w:val="Liste10"/>
        <w:spacing w:before="240"/>
        <w:ind w:left="851"/>
        <w:rPr>
          <w:b/>
          <w:color w:val="FF0000"/>
          <w:sz w:val="24"/>
          <w:szCs w:val="24"/>
          <w:rFonts w:cs="TimesNewRoman"/>
        </w:rPr>
      </w:pPr>
      <w:r>
        <w:rPr>
          <w:color w:val="FF0000"/>
          <w:sz w:val="24"/>
          <w:szCs w:val="24"/>
        </w:rPr>
        <w:t xml:space="preserve">d) 60 % for aluminium</w:t>
      </w:r>
    </w:p>
    <w:p w14:paraId="6756906E" w14:textId="77777777" w:rsidR="000147DB" w:rsidRPr="003E7524" w:rsidRDefault="000147DB" w:rsidP="000147DB">
      <w:pPr>
        <w:pStyle w:val="Liste10"/>
        <w:spacing w:before="240"/>
        <w:ind w:left="851"/>
        <w:rPr>
          <w:b/>
          <w:color w:val="FF0000"/>
          <w:sz w:val="24"/>
          <w:szCs w:val="24"/>
          <w:rFonts w:cs="TimesNewRoman"/>
        </w:rPr>
      </w:pPr>
      <w:r>
        <w:rPr>
          <w:color w:val="FF0000"/>
          <w:sz w:val="24"/>
          <w:szCs w:val="24"/>
        </w:rPr>
        <w:t xml:space="preserve">e) 75 % for glas</w:t>
      </w:r>
    </w:p>
    <w:p w14:paraId="7EEFA81F" w14:textId="77777777" w:rsidR="000147DB" w:rsidRPr="003E7524" w:rsidRDefault="000147DB" w:rsidP="000147DB">
      <w:pPr>
        <w:pStyle w:val="Liste10"/>
        <w:spacing w:before="240"/>
        <w:ind w:left="851"/>
        <w:rPr>
          <w:b/>
          <w:color w:val="FF0000"/>
          <w:sz w:val="24"/>
          <w:szCs w:val="24"/>
          <w:rFonts w:cs="TimesNewRoman"/>
        </w:rPr>
      </w:pPr>
      <w:r>
        <w:rPr>
          <w:color w:val="FF0000"/>
          <w:sz w:val="24"/>
          <w:szCs w:val="24"/>
        </w:rPr>
        <w:t xml:space="preserve">f) 85 % for papir og karton.</w:t>
      </w:r>
    </w:p>
    <w:p w14:paraId="4B119723" w14:textId="77777777" w:rsidR="000147DB" w:rsidRPr="00471E09" w:rsidRDefault="000147DB" w:rsidP="000147DB">
      <w:pPr>
        <w:pStyle w:val="Liste10"/>
        <w:spacing w:before="240"/>
        <w:rPr>
          <w:color w:val="FF0000"/>
          <w:sz w:val="24"/>
          <w:szCs w:val="24"/>
          <w:rFonts w:cs="TimesNewRoman"/>
        </w:rPr>
      </w:pPr>
      <w:r>
        <w:rPr>
          <w:color w:val="FF0000"/>
          <w:sz w:val="24"/>
          <w:szCs w:val="24"/>
        </w:rPr>
        <w:t xml:space="preserve">Med forbehold af artikel 14 sørger Miljøstyrelsen for, at disse forpligtelser og målsætninger gøres til genstand for en oplysningskampagne, der er rettet mod såvel offentligheden som de økonomiske aktører.</w:t>
      </w:r>
    </w:p>
    <w:p w14:paraId="7CDFE683" w14:textId="77777777" w:rsidR="000147DB" w:rsidRPr="003E7524" w:rsidRDefault="000147DB" w:rsidP="000147DB">
      <w:pPr>
        <w:spacing w:after="0" w:line="240" w:lineRule="auto"/>
        <w:jc w:val="both"/>
        <w:rPr>
          <w:rFonts w:eastAsia="Times New Roman" w:cs="Arial"/>
          <w:color w:val="FF0000"/>
          <w:lang w:val="fr-LU" w:eastAsia="fr-FR"/>
        </w:rPr>
      </w:pPr>
    </w:p>
    <w:p w14:paraId="349B36C3" w14:textId="77777777" w:rsidR="000147DB" w:rsidRPr="003E7524" w:rsidRDefault="000147DB" w:rsidP="002F5A31">
      <w:pPr>
        <w:keepNext/>
        <w:keepLines/>
        <w:spacing w:beforeLines="100" w:before="240" w:after="240" w:line="240" w:lineRule="auto"/>
        <w:jc w:val="both"/>
        <w:rPr>
          <w:color w:val="FF0000"/>
          <w:sz w:val="24"/>
          <w:szCs w:val="24"/>
          <w:rFonts w:eastAsia="Calibri" w:cs="TimesNewRoman"/>
        </w:rPr>
      </w:pPr>
      <w:r>
        <w:rPr>
          <w:color w:val="FF0000"/>
          <w:sz w:val="24"/>
          <w:szCs w:val="24"/>
          <w:u w:val="single"/>
        </w:rPr>
        <w:t xml:space="preserve">Artikel 6a.</w:t>
      </w:r>
      <w:r>
        <w:rPr>
          <w:color w:val="FF0000"/>
          <w:sz w:val="24"/>
          <w:szCs w:val="24"/>
          <w:u w:val="single"/>
        </w:rPr>
        <w:t xml:space="preserve"> </w:t>
      </w:r>
      <w:r>
        <w:rPr>
          <w:color w:val="FF0000"/>
          <w:sz w:val="24"/>
          <w:szCs w:val="24"/>
          <w:u w:val="single"/>
        </w:rPr>
        <w:t xml:space="preserve">Regler for beregning af, om målsætningerne er nået</w:t>
      </w:r>
    </w:p>
    <w:p w14:paraId="4190A464" w14:textId="77777777" w:rsidR="000147DB" w:rsidRPr="003E7524" w:rsidRDefault="000147DB" w:rsidP="002F5A31">
      <w:pPr>
        <w:keepNext/>
        <w:keepLines/>
        <w:spacing w:beforeLines="100" w:before="240" w:after="240" w:line="240" w:lineRule="auto"/>
        <w:jc w:val="both"/>
        <w:rPr>
          <w:color w:val="FF0000"/>
          <w:sz w:val="24"/>
          <w:szCs w:val="24"/>
          <w:rFonts w:eastAsia="Calibri" w:cs="TimesNewRoman"/>
        </w:rPr>
      </w:pPr>
      <w:r>
        <w:rPr>
          <w:color w:val="FF0000"/>
          <w:sz w:val="24"/>
          <w:szCs w:val="24"/>
        </w:rPr>
        <w:t xml:space="preserve">Stk. 1. Med henblik på beregning af, om målene i artikel 6, stk. 1, nr. 3) til 6), er nået:</w:t>
      </w:r>
    </w:p>
    <w:p w14:paraId="64FF6A17" w14:textId="77777777" w:rsidR="000147DB" w:rsidRPr="003E7524" w:rsidRDefault="000147DB" w:rsidP="000147DB">
      <w:pPr>
        <w:spacing w:beforeLines="100" w:before="240" w:after="240" w:line="240" w:lineRule="auto"/>
        <w:ind w:left="720"/>
        <w:jc w:val="both"/>
        <w:rPr>
          <w:color w:val="FF0000"/>
          <w:sz w:val="24"/>
          <w:szCs w:val="24"/>
          <w:rFonts w:eastAsia="Calibri" w:cs="TimesNewRoman"/>
        </w:rPr>
      </w:pPr>
      <w:r>
        <w:rPr>
          <w:color w:val="FF0000"/>
          <w:sz w:val="24"/>
          <w:szCs w:val="24"/>
        </w:rPr>
        <w:t xml:space="preserve">1. Vægten af det emballageaffald, som produceres og genanvendes, beregnes i løbet af et givet kalenderår.</w:t>
      </w:r>
      <w:r>
        <w:rPr>
          <w:color w:val="FF0000"/>
          <w:sz w:val="24"/>
          <w:szCs w:val="24"/>
        </w:rPr>
        <w:t xml:space="preserve"> </w:t>
      </w:r>
      <w:r>
        <w:rPr>
          <w:color w:val="FF0000"/>
          <w:sz w:val="24"/>
          <w:szCs w:val="24"/>
        </w:rPr>
        <w:t xml:space="preserve">Mængden af produceret emballageaffald kan betragtes som svarende til den emballagemængde, der bringes i omsætning i løbet af samme år.</w:t>
      </w:r>
    </w:p>
    <w:p w14:paraId="3595E56C" w14:textId="77777777" w:rsidR="000147DB" w:rsidRPr="003E7524" w:rsidRDefault="000147DB" w:rsidP="000147DB">
      <w:pPr>
        <w:spacing w:beforeLines="100" w:before="240" w:after="240" w:line="240" w:lineRule="auto"/>
        <w:ind w:left="720"/>
        <w:jc w:val="both"/>
        <w:rPr>
          <w:color w:val="FF0000"/>
          <w:sz w:val="24"/>
          <w:szCs w:val="24"/>
          <w:rFonts w:eastAsia="Calibri" w:cs="TimesNewRoman"/>
        </w:rPr>
      </w:pPr>
      <w:r>
        <w:rPr>
          <w:color w:val="FF0000"/>
          <w:sz w:val="24"/>
          <w:szCs w:val="24"/>
        </w:rPr>
        <w:t xml:space="preserve">2. Vægten af genanvendt emballageaffald beregnes som vægten af den emballage, der er blevet til affald, og som efter at være blevet underkastet alle de nødvendige procedurer med henblik på kontrol og sortering samt andre indledende procedurer, som er nødvendige for at fjerne det affald, der ikke er omfattet af de videre oparbejdningsprocesser, og sikre en genanvendelse af høj kvalitet, kommer ind i den genanvendelsesproces, hvor affaldet rent faktisk genbehandles som produkter, materialer eller stoffer.</w:t>
      </w:r>
    </w:p>
    <w:p w14:paraId="528F3DBE"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szCs w:val="24"/>
        </w:rPr>
        <w:t xml:space="preserve">Stk. 2. Med henblik på stk. 1, nr. 1), beregnes vægten af genanvendt emballageaffald, når affaldet kommer ind i genanvendelsesprocessen.</w:t>
      </w:r>
    </w:p>
    <w:p w14:paraId="5C40963C" w14:textId="77777777" w:rsidR="000147DB" w:rsidRPr="003E7524" w:rsidRDefault="000147DB" w:rsidP="002F5A31">
      <w:pPr>
        <w:keepNext/>
        <w:keepLines/>
        <w:spacing w:beforeLines="100" w:before="240" w:after="240" w:line="240" w:lineRule="auto"/>
        <w:jc w:val="both"/>
        <w:rPr>
          <w:color w:val="FF0000"/>
          <w:sz w:val="24"/>
          <w:szCs w:val="24"/>
          <w:rFonts w:eastAsia="Calibri" w:cs="TimesNewRoman"/>
        </w:rPr>
      </w:pPr>
      <w:r>
        <w:rPr>
          <w:color w:val="FF0000"/>
          <w:sz w:val="24"/>
          <w:szCs w:val="24"/>
        </w:rPr>
        <w:t xml:space="preserve">Uanset afsnit 1 kan vægten af genanvendt emballageaffald beregnes efter hver sorteringsproces, forudsat at:</w:t>
      </w:r>
    </w:p>
    <w:p w14:paraId="34D0716F" w14:textId="77777777" w:rsidR="000147DB" w:rsidRPr="003E7524" w:rsidRDefault="000147DB" w:rsidP="000147DB">
      <w:pPr>
        <w:spacing w:beforeLines="100" w:before="240" w:after="240" w:line="240" w:lineRule="auto"/>
        <w:ind w:left="851"/>
        <w:jc w:val="both"/>
        <w:rPr>
          <w:color w:val="FF0000"/>
          <w:sz w:val="24"/>
          <w:szCs w:val="24"/>
          <w:rFonts w:eastAsia="Calibri" w:cs="TimesNewRoman"/>
        </w:rPr>
      </w:pPr>
      <w:r>
        <w:rPr>
          <w:color w:val="FF0000"/>
          <w:sz w:val="24"/>
          <w:szCs w:val="24"/>
        </w:rPr>
        <w:t xml:space="preserve">1. affaldet genanvendes, efter at det er kommet ud af sorteringsprocessen</w:t>
      </w:r>
    </w:p>
    <w:p w14:paraId="3B9C8FE8" w14:textId="77777777" w:rsidR="000147DB" w:rsidRPr="003E7524" w:rsidRDefault="000147DB" w:rsidP="000147DB">
      <w:pPr>
        <w:spacing w:beforeLines="100" w:before="240" w:after="240" w:line="240" w:lineRule="auto"/>
        <w:ind w:left="851"/>
        <w:jc w:val="both"/>
        <w:rPr>
          <w:color w:val="FF0000"/>
          <w:sz w:val="24"/>
          <w:szCs w:val="24"/>
          <w:rFonts w:eastAsia="Calibri" w:cs="TimesNewRoman"/>
        </w:rPr>
      </w:pPr>
      <w:r>
        <w:rPr>
          <w:color w:val="FF0000"/>
          <w:sz w:val="24"/>
          <w:szCs w:val="24"/>
        </w:rPr>
        <w:t xml:space="preserve">2. vægten af de materialer eller stoffer, som fjernes vha. andre processer, der går forud for genanvendelsesprocessen, og som herefter ikke genanvendes, ikke er inkluderet i vægten af det affald, der erklæres som værende blevet genanvendt.</w:t>
      </w:r>
    </w:p>
    <w:p w14:paraId="0049964B"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szCs w:val="24"/>
        </w:rPr>
        <w:t xml:space="preserve">Stk. 3. For at sikre, at reglerne for beregning overholdes, og at alle oplysninger indberettes til den kompetente myndighed, oprettes der et elektronisk register i henhold til artikel 34 i lov af 21. marts 2012.</w:t>
      </w:r>
      <w:r>
        <w:rPr>
          <w:color w:val="FF0000"/>
          <w:sz w:val="24"/>
          <w:szCs w:val="24"/>
        </w:rPr>
        <w:t xml:space="preserve"> </w:t>
      </w:r>
    </w:p>
    <w:p w14:paraId="22177B03"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szCs w:val="24"/>
        </w:rPr>
        <w:t xml:space="preserve">Stk. 4. Mængden af emballageaffald, som efter en forberedelsesproces, inden det genanvendes, ikke længere er affald, kan betragtes som genanvendt, såfremt affaldet er beregnet til derefter at bliver oparbejdet til produkter, materialer eller stoffer til det oprindelige formål eller til andre formål.</w:t>
      </w:r>
      <w:r>
        <w:rPr>
          <w:color w:val="FF0000"/>
          <w:sz w:val="24"/>
          <w:szCs w:val="24"/>
        </w:rPr>
        <w:t xml:space="preserve"> </w:t>
      </w:r>
      <w:r>
        <w:rPr>
          <w:color w:val="FF0000"/>
          <w:sz w:val="24"/>
          <w:szCs w:val="24"/>
        </w:rPr>
        <w:t xml:space="preserve">Det affald, som ophører med at være affald, der er beregnet til at blive anvendt som brændstof eller andre midler til energifremstilling, eller at blive brændt, tilbagefyldt eller deponeret på lossepladser, tages dog ikke i betragtning med hensyn til at nå målene for genanvendelse.</w:t>
      </w:r>
    </w:p>
    <w:p w14:paraId="79D6EBAB"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szCs w:val="24"/>
        </w:rPr>
        <w:t xml:space="preserve">Stk. 5. Med henblik på beregningen af, om målsætningerne i artikel 6, stk. 1, nr. 3) til 6), er blevet nået, kan </w:t>
      </w:r>
      <w:r>
        <w:rPr>
          <w:color w:val="FF0000"/>
          <w:sz w:val="24"/>
          <w:szCs w:val="24"/>
        </w:rPr>
        <w:t xml:space="preserve">Miljøstyrelsen tage højde for genanvendelsen af særskilte metaller efter forbrændingen af affaldet svarende til mængden af forbrændt emballage, og forudsat at de genvundne metaller svarer til bestemte kvalitetskriterier i gennemførelsesretsakten, som er vedtaget i henhold til artikel 11</w:t>
      </w:r>
      <w:r>
        <w:rPr>
          <w:color w:val="FF0000"/>
          <w:sz w:val="24"/>
          <w:szCs w:val="24"/>
          <w:i/>
        </w:rPr>
        <w:t xml:space="preserve">a</w:t>
      </w:r>
      <w:r>
        <w:rPr>
          <w:color w:val="FF0000"/>
          <w:sz w:val="24"/>
          <w:szCs w:val="24"/>
        </w:rPr>
        <w:t xml:space="preserve">, stk. 9, i direktiv 2008/98/EF.</w:t>
      </w:r>
    </w:p>
    <w:p w14:paraId="451BF595"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szCs w:val="24"/>
        </w:rPr>
        <w:t xml:space="preserve">Stk. 6. Emballageaffald, som sendes til en anden EU-medlemsstat med henblik på genanvendelse i denne medlemsstat, tages i betragtning med hensyn til opfyldelsen af målsætningerne i artikel 6, stk. 1</w:t>
      </w:r>
      <w:r>
        <w:rPr>
          <w:color w:val="FF0000"/>
          <w:sz w:val="24"/>
          <w:szCs w:val="24"/>
        </w:rPr>
        <w:t xml:space="preserve">, nr. 3) til 6), i Luxembourg.</w:t>
      </w:r>
    </w:p>
    <w:p w14:paraId="5CA935B6"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szCs w:val="24"/>
        </w:rPr>
        <w:t xml:space="preserve">Stk. 7. Emballageaffald, som eksporteres fra Den Europæiske Union, tages ikke i betragtning i beregningen til vurdering af, om målene i artikel 6, stk. 1, er nået, undtagen hvis betingelserne i stk. 3 er opfyldt, og hvis eksportøren, i overensstemmelse med Europa-Parlamentets og Rådets forordning (EF) nr. 1013/2006 af 14. juni 2006 om overførsel af affald kan påvise, at overførslen af affaldet opfylder kravene i nævnte forordning, og at behandlingen af emballageaffaldet uden for Den Europæiske Union fandt sted under omstændigheder, der i det væsentlige svarer til de relevante krav i miljølovgivningen.</w:t>
      </w:r>
    </w:p>
    <w:p w14:paraId="627E6620" w14:textId="77777777" w:rsidR="000147DB" w:rsidRPr="003E7524" w:rsidRDefault="000147DB" w:rsidP="000147DB">
      <w:pPr>
        <w:spacing w:after="0" w:line="240" w:lineRule="auto"/>
        <w:jc w:val="center"/>
        <w:rPr>
          <w:rFonts w:eastAsia="Calibri" w:cs="Arial"/>
          <w:lang w:val="fr-FR"/>
        </w:rPr>
      </w:pPr>
    </w:p>
    <w:p w14:paraId="2620BFC1" w14:textId="77777777" w:rsidR="000147DB" w:rsidRPr="003E7524" w:rsidRDefault="000147DB" w:rsidP="000147DB">
      <w:pPr>
        <w:spacing w:after="0" w:line="240" w:lineRule="auto"/>
        <w:jc w:val="both"/>
        <w:rPr>
          <w:rFonts w:eastAsia="Times New Roman" w:cs="Arial"/>
          <w:strike/>
          <w:color w:val="FF0000"/>
          <w:lang w:val="fr-FR" w:eastAsia="fr-FR"/>
        </w:rPr>
      </w:pPr>
    </w:p>
    <w:p w14:paraId="516918B1" w14:textId="77777777" w:rsidR="000147DB" w:rsidRPr="003E7524" w:rsidRDefault="000147DB" w:rsidP="000147DB">
      <w:pPr>
        <w:spacing w:after="0" w:line="240" w:lineRule="auto"/>
        <w:jc w:val="center"/>
        <w:rPr>
          <w:rFonts w:eastAsia="Calibri" w:cs="Arial"/>
          <w:color w:val="FF0000"/>
          <w:lang w:val="fr-FR"/>
        </w:rPr>
      </w:pPr>
    </w:p>
    <w:p w14:paraId="47E52660" w14:textId="77777777" w:rsidR="000147DB" w:rsidRPr="003E7524" w:rsidRDefault="000147DB" w:rsidP="002F5A31">
      <w:pPr>
        <w:keepNext/>
        <w:keepLines/>
        <w:shd w:val="clear" w:color="auto" w:fill="FFFFFF"/>
        <w:spacing w:before="142" w:after="28"/>
        <w:jc w:val="both"/>
        <w:rPr>
          <w:color w:val="FF0000"/>
          <w:sz w:val="24"/>
          <w:szCs w:val="24"/>
          <w:rFonts w:eastAsia="Calibri" w:cs="TimesNewRoman"/>
        </w:rPr>
      </w:pPr>
      <w:r>
        <w:rPr>
          <w:color w:val="FF0000"/>
          <w:sz w:val="24"/>
          <w:szCs w:val="24"/>
          <w:u w:val="single"/>
        </w:rPr>
        <w:t xml:space="preserve">Artikel 7.</w:t>
      </w:r>
      <w:r>
        <w:rPr>
          <w:color w:val="FF0000"/>
          <w:sz w:val="24"/>
          <w:szCs w:val="24"/>
          <w:u w:val="single"/>
        </w:rPr>
        <w:t xml:space="preserve"> </w:t>
      </w:r>
      <w:r>
        <w:rPr>
          <w:color w:val="FF0000"/>
          <w:sz w:val="24"/>
          <w:szCs w:val="24"/>
          <w:u w:val="single"/>
        </w:rPr>
        <w:t xml:space="preserve">Returnerings-, indsamlings- og genanvendelsessystemer</w:t>
      </w:r>
    </w:p>
    <w:p w14:paraId="3CFE162E" w14:textId="77777777" w:rsidR="000147DB" w:rsidRPr="003E7524" w:rsidRDefault="000147DB" w:rsidP="002F5A31">
      <w:pPr>
        <w:keepNext/>
        <w:keepLines/>
        <w:shd w:val="clear" w:color="auto" w:fill="FFFFFF"/>
        <w:spacing w:before="100" w:beforeAutospacing="1" w:after="0" w:line="240" w:lineRule="auto"/>
        <w:jc w:val="both"/>
        <w:rPr>
          <w:color w:val="FF0000"/>
          <w:sz w:val="24"/>
          <w:szCs w:val="24"/>
          <w:rFonts w:eastAsia="Calibri" w:cs="TimesNewRoman"/>
        </w:rPr>
      </w:pPr>
      <w:r>
        <w:rPr>
          <w:color w:val="FF0000"/>
          <w:sz w:val="24"/>
          <w:szCs w:val="24"/>
        </w:rPr>
        <w:t xml:space="preserve">Stk. 1 For at nå målsætningerne i artikel 1 og i overensstemmelse med stk. 2 er de emballageansvarlige, samtidig med at de opfylder hygiejnekravene, forpligtet til at sikre:</w:t>
      </w:r>
    </w:p>
    <w:p w14:paraId="7AA5AC5D" w14:textId="77777777" w:rsidR="000147DB" w:rsidRPr="003E7524" w:rsidRDefault="000147DB" w:rsidP="000147DB">
      <w:pPr>
        <w:shd w:val="clear" w:color="auto" w:fill="FFFFFF"/>
        <w:spacing w:before="100" w:beforeAutospacing="1" w:after="0" w:line="240" w:lineRule="auto"/>
        <w:ind w:left="720"/>
        <w:jc w:val="both"/>
        <w:rPr>
          <w:color w:val="FF0000"/>
          <w:sz w:val="24"/>
          <w:szCs w:val="24"/>
          <w:rFonts w:eastAsia="Calibri" w:cs="TimesNewRoman"/>
        </w:rPr>
      </w:pPr>
      <w:r>
        <w:rPr>
          <w:color w:val="FF0000"/>
          <w:sz w:val="24"/>
          <w:szCs w:val="24"/>
        </w:rPr>
        <w:t xml:space="preserve">1. returnering eller indsamling af brugt emballage eller emballageaffald fra forbrugeren, enhver anden slutbruger eller affaldsstrømmen med henblik på at lede dem hen mod de mest hensigtsmæssige affaldshåndteringsløsninger</w:t>
      </w:r>
    </w:p>
    <w:p w14:paraId="40D25AD4" w14:textId="77777777" w:rsidR="000147DB" w:rsidRPr="003E7524" w:rsidRDefault="000147DB" w:rsidP="000147DB">
      <w:pPr>
        <w:shd w:val="clear" w:color="auto" w:fill="FFFFFF"/>
        <w:spacing w:before="100" w:beforeAutospacing="1" w:after="0" w:line="240" w:lineRule="auto"/>
        <w:ind w:left="720"/>
        <w:jc w:val="both"/>
        <w:rPr>
          <w:color w:val="FF0000"/>
          <w:sz w:val="24"/>
          <w:szCs w:val="24"/>
          <w:rFonts w:eastAsia="Calibri" w:cs="TimesNewRoman"/>
        </w:rPr>
      </w:pPr>
      <w:r>
        <w:rPr>
          <w:color w:val="FF0000"/>
          <w:sz w:val="24"/>
          <w:szCs w:val="24"/>
        </w:rPr>
        <w:t xml:space="preserve">2. genbrug, forberedelse til genbrug eller nyttiggørelse, herunder genanvendelse, af indsamlet emballage eller emballageaffald.</w:t>
      </w:r>
    </w:p>
    <w:p w14:paraId="60F35859" w14:textId="77777777"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szCs w:val="24"/>
        </w:rPr>
        <w:t xml:space="preserve">Disse systemer er åbne for deltagelse af økonomiske aktører fra de berørte sektorer og for deltagelse af de ansvarlige offentlige myndigheder.</w:t>
      </w:r>
      <w:r>
        <w:rPr>
          <w:color w:val="FF0000"/>
          <w:sz w:val="24"/>
          <w:szCs w:val="24"/>
        </w:rPr>
        <w:t xml:space="preserve"> </w:t>
      </w:r>
      <w:r>
        <w:rPr>
          <w:color w:val="FF0000"/>
          <w:sz w:val="24"/>
          <w:szCs w:val="24"/>
        </w:rPr>
        <w:t xml:space="preserve">De finder også anvendelse på importerede produkter på ikkediskriminerende betingelser, herunder hvad angår bestemmelserne og de eventuelt pålagte takster for at få adgang til systemerne, og er udviklet til at undgå handelshindringer og konkurrencefordrejning.</w:t>
      </w:r>
    </w:p>
    <w:p w14:paraId="7291264C" w14:textId="77777777"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szCs w:val="24"/>
        </w:rPr>
        <w:t xml:space="preserve">Stk. 2. For at begrænse bortskaffelsen af emballageaffald i form af kommunalt affald og opnå et højt niveau for særskilt indsamling af emballageaffald finder følgende bestemmelser anvendelse:</w:t>
      </w:r>
    </w:p>
    <w:p w14:paraId="457714E4" w14:textId="77777777" w:rsidR="000147DB" w:rsidRPr="003E7524" w:rsidRDefault="000147DB" w:rsidP="002F5A31">
      <w:pPr>
        <w:keepNext/>
        <w:keepLines/>
        <w:shd w:val="clear" w:color="auto" w:fill="FFFFFF"/>
        <w:spacing w:before="100" w:beforeAutospacing="1" w:after="0" w:line="240" w:lineRule="auto"/>
        <w:jc w:val="both"/>
        <w:rPr>
          <w:color w:val="FF0000"/>
          <w:sz w:val="24"/>
          <w:szCs w:val="24"/>
          <w:rFonts w:eastAsia="Calibri" w:cs="TimesNewRoman"/>
        </w:rPr>
      </w:pPr>
      <w:r>
        <w:rPr>
          <w:color w:val="FF0000"/>
          <w:sz w:val="24"/>
          <w:szCs w:val="24"/>
        </w:rPr>
        <w:t xml:space="preserve">a) For husholdningsemballageaffald:</w:t>
      </w:r>
    </w:p>
    <w:p w14:paraId="04693C3C" w14:textId="77777777" w:rsidR="000147DB" w:rsidRPr="003E7524" w:rsidRDefault="000147DB" w:rsidP="000147DB">
      <w:pPr>
        <w:spacing w:before="200" w:after="85" w:line="240" w:lineRule="auto"/>
        <w:ind w:left="375"/>
        <w:jc w:val="both"/>
        <w:rPr>
          <w:color w:val="FF0000"/>
          <w:sz w:val="24"/>
          <w:szCs w:val="24"/>
          <w:rFonts w:eastAsia="Calibri" w:cs="TimesNewRoman"/>
        </w:rPr>
      </w:pPr>
      <w:r>
        <w:rPr>
          <w:color w:val="FF0000"/>
          <w:sz w:val="24"/>
          <w:szCs w:val="24"/>
        </w:rPr>
        <w:t xml:space="preserve">Uanset de forpligtelser, som påhviler kommuner eller kommunale sammenslutninger, der har ansvaret for håndtering af kommunalt husholdningsaffald i henhold til lov af 21. marts 2012, skal kommuner eller kommunale sammenslutninger sikre, at systemerne til særskilt indsamling er til rådighed.</w:t>
      </w:r>
      <w:r>
        <w:rPr>
          <w:color w:val="FF0000"/>
          <w:sz w:val="24"/>
          <w:szCs w:val="24"/>
        </w:rPr>
        <w:t xml:space="preserve"> </w:t>
      </w:r>
      <w:r>
        <w:rPr>
          <w:color w:val="FF0000"/>
          <w:sz w:val="24"/>
          <w:szCs w:val="24"/>
        </w:rPr>
        <w:t xml:space="preserve">Kommuner eller kommunale sammenslutninger skal sikre, i givet fald i samarbejde med autoriserede organer, at de offentlige infrastrukturer til særskilt indsamling af emballageaffald, hvor de sidste indehavere som minimum kan returnere deres affald gratis, er til rådighed og tilgængelige.</w:t>
      </w:r>
    </w:p>
    <w:p w14:paraId="54386F43" w14:textId="77777777" w:rsidR="000147DB" w:rsidRPr="003E7524" w:rsidRDefault="000147DB" w:rsidP="000147DB">
      <w:pPr>
        <w:spacing w:before="200" w:after="85" w:line="240" w:lineRule="auto"/>
        <w:ind w:left="375"/>
        <w:jc w:val="both"/>
        <w:rPr>
          <w:color w:val="FF0000"/>
          <w:sz w:val="24"/>
          <w:szCs w:val="24"/>
          <w:rFonts w:eastAsia="Calibri" w:cs="TimesNewRoman"/>
        </w:rPr>
      </w:pPr>
      <w:r>
        <w:rPr>
          <w:color w:val="FF0000"/>
          <w:sz w:val="24"/>
          <w:szCs w:val="24"/>
        </w:rPr>
        <w:t xml:space="preserve">De autoriserede organer har autorisation til at organisere og drive de alternative eller supplerende systemer til returnering af husholdningsemballageaffald, forudsat at systemerne er i overensstemmelse med målsætningerne i nærværende lov, sikrer den samme territoriale dækning som de systemer, der er oprettet af kommuner eller kommunale sammenslutninger, og som minimum sikrer gratis returnering af husholdningsemballageaffald.</w:t>
      </w:r>
    </w:p>
    <w:p w14:paraId="1411304A" w14:textId="77777777" w:rsidR="000147DB" w:rsidRPr="003E7524" w:rsidRDefault="000147DB" w:rsidP="000147DB">
      <w:pPr>
        <w:shd w:val="clear" w:color="auto" w:fill="FFFFFF"/>
        <w:spacing w:before="100" w:beforeAutospacing="1" w:after="0" w:line="240" w:lineRule="auto"/>
        <w:ind w:left="375"/>
        <w:jc w:val="both"/>
        <w:rPr>
          <w:color w:val="FF0000"/>
          <w:sz w:val="24"/>
          <w:szCs w:val="24"/>
          <w:rFonts w:eastAsia="Calibri" w:cs="TimesNewRoman"/>
        </w:rPr>
      </w:pPr>
      <w:r>
        <w:rPr>
          <w:color w:val="FF0000"/>
          <w:sz w:val="24"/>
          <w:szCs w:val="24"/>
        </w:rPr>
        <w:t xml:space="preserve">Brugerne af husholdningsemballage er forpligtet til at benytte særskilte returnerings- og indsamlingssystemer til husholdningsemballageaffald, som de har fået stillet til rådighed af kommuner eller kommunale sammenslutninger eller af de autoriserede organer.</w:t>
      </w:r>
    </w:p>
    <w:p w14:paraId="72763D47" w14:textId="77777777"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szCs w:val="24"/>
        </w:rPr>
        <w:t xml:space="preserve">b) For emballageaffald, som ikke er fra husholdninger:</w:t>
      </w:r>
    </w:p>
    <w:p w14:paraId="3D19C80D" w14:textId="77777777" w:rsidR="000147DB" w:rsidRPr="003E7524" w:rsidRDefault="000147DB" w:rsidP="000147DB">
      <w:pPr>
        <w:shd w:val="clear" w:color="auto" w:fill="FFFFFF"/>
        <w:spacing w:before="100" w:beforeAutospacing="1" w:after="0" w:line="240" w:lineRule="auto"/>
        <w:ind w:left="375"/>
        <w:jc w:val="both"/>
        <w:rPr>
          <w:color w:val="FF0000"/>
          <w:sz w:val="24"/>
          <w:szCs w:val="24"/>
          <w:rFonts w:eastAsia="Calibri" w:cs="TimesNewRoman"/>
        </w:rPr>
      </w:pPr>
      <w:r>
        <w:rPr>
          <w:color w:val="FF0000"/>
          <w:sz w:val="24"/>
          <w:szCs w:val="24"/>
        </w:rPr>
        <w:t xml:space="preserve">De ansvarlige for affald, som ikke er fra husholdninger, står for indsamling og nyttiggørelse af dette affald inden for rammerne af en udvidet producentansvarsordning som omhandlet i artikel 8 i nærværende lov.</w:t>
      </w:r>
    </w:p>
    <w:p w14:paraId="211C6CEC" w14:textId="165B29C7" w:rsidR="000147DB" w:rsidRPr="00471E09"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szCs w:val="24"/>
        </w:rPr>
        <w:t xml:space="preserve">Stk. 3. Anlæg og virksomheder som nævnt i artikel 30, stk. 1, i </w:t>
      </w:r>
      <w:hyperlink r:id="rId4" w:history="1">
        <w:r>
          <w:rPr>
            <w:color w:val="FF0000"/>
            <w:sz w:val="24"/>
            <w:szCs w:val="24"/>
          </w:rPr>
          <w:t xml:space="preserve">lov af 21. marts 2012</w:t>
        </w:r>
      </w:hyperlink>
      <w:r>
        <w:rPr>
          <w:color w:val="FF0000"/>
          <w:sz w:val="24"/>
          <w:szCs w:val="24"/>
        </w:rPr>
        <w:t xml:space="preserve"> kan kun indsamle eller transportere emballageaffald bestående af husholdningsaffald, såfremt de er bemyndiget hertil af de autoriserede organer.</w:t>
      </w:r>
    </w:p>
    <w:p w14:paraId="5A8B572D" w14:textId="03908A6C"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szCs w:val="24"/>
        </w:rPr>
        <w:t xml:space="preserve"> </w:t>
      </w:r>
      <w:r>
        <w:rPr>
          <w:color w:val="FF0000"/>
          <w:sz w:val="24"/>
          <w:szCs w:val="24"/>
        </w:rPr>
        <w:t xml:space="preserve">Stk. 4. Emballage fra drikkevarer bestemt til konsum, som markedsføres på det luxembourgske marked, er underkastet et samlet nationalt pantsystem.</w:t>
      </w:r>
      <w:r>
        <w:rPr>
          <w:color w:val="FF0000"/>
          <w:sz w:val="24"/>
          <w:szCs w:val="24"/>
        </w:rPr>
        <w:t xml:space="preserve"> </w:t>
      </w:r>
      <w:r>
        <w:rPr>
          <w:color w:val="FF0000"/>
          <w:sz w:val="24"/>
          <w:szCs w:val="24"/>
        </w:rPr>
        <w:t xml:space="preserve">Pantbeløbet svinger mellem 10 cent og 1 euro alt efter emballagens type.</w:t>
      </w:r>
      <w:r>
        <w:rPr>
          <w:color w:val="FF0000"/>
          <w:sz w:val="24"/>
          <w:szCs w:val="24"/>
        </w:rPr>
        <w:t xml:space="preserve"> </w:t>
      </w:r>
      <w:r>
        <w:rPr>
          <w:color w:val="FF0000"/>
          <w:sz w:val="24"/>
          <w:szCs w:val="24"/>
        </w:rPr>
        <w:t xml:space="preserve">Datoen og bestemmelserne for iværksættelsen af pantsystemet fastlægges ved storhertugelig anordning.</w:t>
      </w:r>
      <w:r>
        <w:rPr>
          <w:color w:val="FF0000"/>
          <w:sz w:val="24"/>
          <w:szCs w:val="24"/>
        </w:rPr>
        <w:t xml:space="preserve"> </w:t>
      </w:r>
    </w:p>
    <w:p w14:paraId="2E9C3117" w14:textId="77777777" w:rsidR="000147DB" w:rsidRPr="003E7524" w:rsidRDefault="000147DB" w:rsidP="000147DB">
      <w:pPr>
        <w:spacing w:after="0" w:line="240" w:lineRule="auto"/>
        <w:jc w:val="both"/>
        <w:rPr>
          <w:rFonts w:eastAsia="Times New Roman" w:cs="Arial"/>
          <w:b/>
          <w:bCs/>
          <w:lang w:val="fr-LU" w:eastAsia="fr-FR"/>
        </w:rPr>
      </w:pPr>
    </w:p>
    <w:p w14:paraId="39140DBB" w14:textId="77777777" w:rsidR="000147DB" w:rsidRPr="003E7524" w:rsidRDefault="000147DB" w:rsidP="000147DB">
      <w:pPr>
        <w:spacing w:after="0" w:line="240" w:lineRule="auto"/>
        <w:jc w:val="both"/>
        <w:rPr>
          <w:rFonts w:eastAsia="Times New Roman" w:cs="Arial"/>
          <w:b/>
          <w:bCs/>
          <w:lang w:val="fr-FR" w:eastAsia="fr-FR"/>
        </w:rPr>
      </w:pPr>
    </w:p>
    <w:p w14:paraId="515F989F" w14:textId="77777777" w:rsidR="000147DB" w:rsidRPr="003E7524" w:rsidRDefault="000147DB" w:rsidP="000147DB">
      <w:pPr>
        <w:spacing w:after="0" w:line="240" w:lineRule="auto"/>
        <w:jc w:val="both"/>
        <w:rPr>
          <w:rFonts w:eastAsia="Times New Roman" w:cs="Arial"/>
          <w:strike/>
          <w:color w:val="FF0000"/>
          <w:lang w:val="fr-FR" w:eastAsia="fr-FR"/>
        </w:rPr>
      </w:pPr>
    </w:p>
    <w:p w14:paraId="5B6EF5DC" w14:textId="77777777" w:rsidR="000147DB" w:rsidRPr="003E7524" w:rsidRDefault="000147DB" w:rsidP="002F5A31">
      <w:pPr>
        <w:keepNext/>
        <w:keepLines/>
        <w:shd w:val="clear" w:color="auto" w:fill="FFFFFF"/>
        <w:spacing w:before="100" w:beforeAutospacing="1" w:after="0" w:line="240" w:lineRule="auto"/>
        <w:jc w:val="both"/>
        <w:rPr>
          <w:color w:val="FF0000"/>
          <w:sz w:val="24"/>
          <w:szCs w:val="24"/>
          <w:rFonts w:eastAsia="Calibri" w:cs="TimesNewRoman"/>
        </w:rPr>
      </w:pPr>
      <w:r>
        <w:rPr>
          <w:color w:val="FF0000"/>
          <w:sz w:val="24"/>
          <w:szCs w:val="24"/>
        </w:rPr>
        <w:t xml:space="preserve">Artikel 8.</w:t>
      </w:r>
      <w:r>
        <w:rPr>
          <w:color w:val="FF0000"/>
          <w:sz w:val="24"/>
          <w:szCs w:val="24"/>
          <w:u w:val="single"/>
        </w:rPr>
        <w:t xml:space="preserve"> </w:t>
      </w:r>
      <w:r>
        <w:rPr>
          <w:color w:val="FF0000"/>
          <w:sz w:val="24"/>
          <w:szCs w:val="24"/>
          <w:u w:val="single"/>
        </w:rPr>
        <w:t xml:space="preserve">Emballageansvarlige og autoriserede organer</w:t>
      </w:r>
    </w:p>
    <w:p w14:paraId="4ADADA8E" w14:textId="77777777"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szCs w:val="24"/>
        </w:rPr>
        <w:t xml:space="preserve">Stk. 1. For at opfylde de pålagte forpligtelser i medfør af nærværende lov samt dem i henhold til loven om vurdering af visse plastprodukters indvirkning på miljøet, er den emballageansvarlige underkastet den udvidede producentansvarsordning, der er omhandlet i artikel 19 i lov af 21. marts 2012.</w:t>
      </w:r>
      <w:r>
        <w:rPr>
          <w:color w:val="FF0000"/>
          <w:sz w:val="24"/>
          <w:szCs w:val="24"/>
        </w:rPr>
        <w:t xml:space="preserve"> </w:t>
      </w:r>
    </w:p>
    <w:p w14:paraId="48FF4710" w14:textId="77777777"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szCs w:val="24"/>
        </w:rPr>
        <w:t xml:space="preserve">Hvad angår genbrugelig husholdningsemballage, for hvilken der findes et retursystem, kan denne indgå aftale med et autoriseret organ om hel eller delvis varetagelse af denne forpligtelse.</w:t>
      </w:r>
      <w:r>
        <w:rPr>
          <w:color w:val="FF0000"/>
          <w:sz w:val="24"/>
          <w:szCs w:val="24"/>
        </w:rPr>
        <w:t xml:space="preserve"> </w:t>
      </w:r>
      <w:r>
        <w:rPr>
          <w:color w:val="FF0000"/>
          <w:sz w:val="24"/>
          <w:szCs w:val="24"/>
        </w:rPr>
        <w:t xml:space="preserve">Med hensyn til andet husholdningsaffald skal denne indgå aftale med et autoriseret organ vedrørende varetagelsen af denne forpligtelse.</w:t>
      </w:r>
      <w:r>
        <w:rPr>
          <w:color w:val="FF0000"/>
          <w:sz w:val="24"/>
          <w:szCs w:val="24"/>
        </w:rPr>
        <w:t xml:space="preserve"> </w:t>
      </w:r>
      <w:r>
        <w:rPr>
          <w:color w:val="FF0000"/>
          <w:sz w:val="24"/>
          <w:szCs w:val="24"/>
        </w:rPr>
        <w:t xml:space="preserve">I forbindelse med emballage, som ikke er fra husholdninger, skal denne indgå aftale med et autoriseret organ om hel eller delvis varetagelse af denne forpligtelse.</w:t>
      </w:r>
      <w:r>
        <w:rPr>
          <w:color w:val="FF0000"/>
          <w:sz w:val="24"/>
          <w:szCs w:val="24"/>
        </w:rPr>
        <w:t xml:space="preserve"> </w:t>
      </w:r>
    </w:p>
    <w:p w14:paraId="0456039D" w14:textId="77777777"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szCs w:val="24"/>
        </w:rPr>
        <w:t xml:space="preserve">Stk. 2. Vedrørende emballageaffald, som er omfattet af den centrale forvaltning, står de autoriserede organer hver på deres område for finansieringen af affaldshåndteringen, herunder processerne til forberedelse med henblik på genbrug, fra indsamlingsstedet med frivillig aflevering.</w:t>
      </w:r>
    </w:p>
    <w:p w14:paraId="72D5467E" w14:textId="77777777"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szCs w:val="24"/>
        </w:rPr>
        <w:t xml:space="preserve">Med hensyn til det emballageaffald, som ikke falder ind under den centrale forvaltning, aftales reglerne for de autoriserede organers finansielle bidrag til den særskilte indsamling af dette affald mellem disse organer og de berørte kommuner.</w:t>
      </w:r>
      <w:r>
        <w:rPr>
          <w:color w:val="FF0000"/>
          <w:sz w:val="24"/>
          <w:szCs w:val="24"/>
        </w:rPr>
        <w:t xml:space="preserve"> </w:t>
      </w:r>
      <w:r>
        <w:rPr>
          <w:color w:val="FF0000"/>
          <w:sz w:val="24"/>
          <w:szCs w:val="24"/>
        </w:rPr>
        <w:t xml:space="preserve">Alle omkostningerne i forbindelse med forvaltning af affaldet, herunder processerne til forberedelse med henblik på genbrug, skal dækkes af bidragene fra de emballageansvarlige.</w:t>
      </w:r>
    </w:p>
    <w:p w14:paraId="7AFE5345" w14:textId="77777777" w:rsidR="000147DB" w:rsidRPr="003E7524" w:rsidRDefault="000147DB" w:rsidP="002F5A31">
      <w:pPr>
        <w:keepNext/>
        <w:keepLines/>
        <w:shd w:val="clear" w:color="auto" w:fill="FFFFFF"/>
        <w:spacing w:before="100" w:beforeAutospacing="1" w:after="0" w:line="240" w:lineRule="auto"/>
        <w:jc w:val="both"/>
        <w:rPr>
          <w:color w:val="FF0000"/>
          <w:sz w:val="24"/>
          <w:szCs w:val="24"/>
          <w:rFonts w:eastAsia="Calibri" w:cs="TimesNewRoman"/>
        </w:rPr>
      </w:pPr>
      <w:r>
        <w:rPr>
          <w:color w:val="FF0000"/>
          <w:sz w:val="24"/>
          <w:szCs w:val="24"/>
        </w:rPr>
        <w:t xml:space="preserve">Stk. 3. Derudover er det autoriserede organ forpligtet til:</w:t>
      </w:r>
    </w:p>
    <w:p w14:paraId="09CD75E1" w14:textId="77777777"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szCs w:val="24"/>
        </w:rPr>
        <w:t xml:space="preserve">1. at beregne bidragene fra dets kontrahenter med henblik på at finansiere omkostningerne til nuværende og fremtidige indsamlinger, sortering af det indsamlede emballageaffald, processerne til forberedelse med henblik på genbrug, behandling af emballageaffaldet samt omkostningerne til oplysning af indehaverne af affaldet og videregivelse og indsamling af oplysninger.</w:t>
      </w:r>
      <w:r>
        <w:rPr>
          <w:color w:val="FF0000"/>
          <w:sz w:val="24"/>
          <w:szCs w:val="24"/>
        </w:rPr>
        <w:t xml:space="preserve"> </w:t>
      </w:r>
      <w:r>
        <w:rPr>
          <w:color w:val="FF0000"/>
          <w:sz w:val="24"/>
          <w:szCs w:val="24"/>
        </w:rPr>
        <w:t xml:space="preserve">De omkostninger, der er taget i betragtning, må ikke overstige de omkostninger, som er nødvendige for en omkostningseffektiv service</w:t>
      </w:r>
    </w:p>
    <w:p w14:paraId="2A2FFD4D" w14:textId="77777777"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szCs w:val="24"/>
        </w:rPr>
        <w:t xml:space="preserve">2. at indgå kontrakt med de kommuner eller kommunale sammenslutninger, der har ansvaret for håndtering af kommunalt husholdningsaffald, og som navnlig fastlægger regler og tekniske vilkår for indsamling af det pågældende emballageaffald og for varetagelse af emballageaffald.</w:t>
      </w:r>
      <w:r>
        <w:rPr>
          <w:color w:val="FF0000"/>
          <w:sz w:val="24"/>
          <w:szCs w:val="24"/>
        </w:rPr>
        <w:t xml:space="preserve"> </w:t>
      </w:r>
    </w:p>
    <w:p w14:paraId="0E152E2B" w14:textId="77777777"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szCs w:val="24"/>
        </w:rPr>
        <w:t xml:space="preserve">Kontrakten kan under ingen omstændigheder have negative virkninger for de beføjelser, som kommunerne eller de kommunale sammenslutninger, der har ansvaret for håndtering af kommunalt husholdningsaffald på området, har</w:t>
      </w:r>
    </w:p>
    <w:p w14:paraId="5D98EE21"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szCs w:val="24"/>
        </w:rPr>
        <w:t xml:space="preserve">3. at oplyse ministeren om de kontrakter, der er indgået med de kommuner eller kommunale sammenslutninger, som har ansvaret for håndtering af kommunalt husholdningsaffald, hvert år og i forbindelse med den rapport, som omtales i artikel 35, stk. 2, i lov af 21. marts 2012.</w:t>
      </w:r>
      <w:r>
        <w:rPr>
          <w:color w:val="FF0000"/>
          <w:sz w:val="24"/>
          <w:szCs w:val="24"/>
        </w:rPr>
        <w:t xml:space="preserve"> </w:t>
      </w:r>
    </w:p>
    <w:p w14:paraId="4EF43EE8"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szCs w:val="24"/>
        </w:rPr>
        <w:t xml:space="preserve">Stk. 4. Forvaltningen af emballageaffald skal ske i overensstemmelse med affaldshierarkiet i artikel 9 i lov af 21. marts 2012.</w:t>
      </w:r>
      <w:r>
        <w:rPr>
          <w:color w:val="FF0000"/>
          <w:sz w:val="24"/>
          <w:szCs w:val="24"/>
        </w:rPr>
        <w:t xml:space="preserve"> </w:t>
      </w:r>
    </w:p>
    <w:p w14:paraId="0B1E18BC" w14:textId="77777777" w:rsidR="000147DB" w:rsidRPr="003E7524" w:rsidRDefault="000147DB" w:rsidP="000147DB">
      <w:pPr>
        <w:spacing w:after="0" w:line="240" w:lineRule="auto"/>
        <w:jc w:val="both"/>
        <w:rPr>
          <w:rFonts w:eastAsia="Times New Roman" w:cs="Arial"/>
          <w:strike/>
          <w:color w:val="FF0000"/>
          <w:lang w:val="fr-LU" w:eastAsia="fr-FR"/>
        </w:rPr>
      </w:pPr>
    </w:p>
    <w:p w14:paraId="1CA79E98" w14:textId="77777777" w:rsidR="000147DB" w:rsidRPr="003E7524" w:rsidRDefault="000147DB" w:rsidP="000147DB">
      <w:pPr>
        <w:spacing w:after="0" w:line="240" w:lineRule="auto"/>
        <w:jc w:val="both"/>
        <w:rPr>
          <w:rFonts w:eastAsia="Times New Roman" w:cs="Arial"/>
          <w:strike/>
          <w:color w:val="FF0000"/>
          <w:lang w:val="fr-FR" w:eastAsia="fr-FR"/>
        </w:rPr>
      </w:pPr>
    </w:p>
    <w:p w14:paraId="657BECD5" w14:textId="77777777" w:rsidR="000147DB" w:rsidRPr="003E7524" w:rsidRDefault="000147DB" w:rsidP="000147DB">
      <w:pPr>
        <w:spacing w:after="0" w:line="240" w:lineRule="auto"/>
        <w:jc w:val="both"/>
        <w:rPr>
          <w:rFonts w:eastAsia="Times New Roman" w:cs="Arial"/>
          <w:strike/>
          <w:color w:val="FF0000"/>
          <w:lang w:val="fr-FR" w:eastAsia="fr-FR"/>
        </w:rPr>
      </w:pPr>
    </w:p>
    <w:p w14:paraId="5E398962" w14:textId="77777777" w:rsidR="000147DB" w:rsidRPr="003E7524" w:rsidRDefault="000147DB" w:rsidP="002F5A31">
      <w:pPr>
        <w:keepNext/>
        <w:keepLines/>
        <w:spacing w:after="0" w:line="240" w:lineRule="auto"/>
        <w:jc w:val="both"/>
        <w:rPr>
          <w:rFonts w:eastAsia="Times New Roman" w:cs="Arial"/>
        </w:rPr>
      </w:pPr>
      <w:r>
        <w:rPr>
          <w:b/>
          <w:bCs/>
        </w:rPr>
        <w:t xml:space="preserve">Artikel 9.</w:t>
      </w:r>
      <w:r>
        <w:rPr>
          <w:b/>
          <w:bCs/>
        </w:rPr>
        <w:t xml:space="preserve"> </w:t>
      </w:r>
      <w:r>
        <w:rPr>
          <w:b/>
          <w:bCs/>
        </w:rPr>
        <w:t xml:space="preserve">Væsentlige krav</w:t>
      </w:r>
    </w:p>
    <w:p w14:paraId="605864EB" w14:textId="77777777" w:rsidR="000147DB" w:rsidRPr="003E7524" w:rsidRDefault="000147DB" w:rsidP="000147DB">
      <w:pPr>
        <w:spacing w:after="0" w:line="240" w:lineRule="auto"/>
        <w:jc w:val="both"/>
        <w:rPr>
          <w:rFonts w:eastAsia="Times New Roman" w:cs="Arial"/>
        </w:rPr>
      </w:pPr>
      <w:r>
        <w:t xml:space="preserve">En emballage kan kun markedsføres på det luxembourgske marked, hvis den opfylder alle de væsentlige krav, der er nævnt i bilag I.</w:t>
      </w:r>
    </w:p>
    <w:p w14:paraId="3A246FED" w14:textId="77777777" w:rsidR="000147DB" w:rsidRPr="003E7524" w:rsidRDefault="000147DB" w:rsidP="000147DB">
      <w:pPr>
        <w:spacing w:after="0" w:line="240" w:lineRule="auto"/>
        <w:jc w:val="both"/>
        <w:rPr>
          <w:rFonts w:eastAsia="Times New Roman" w:cs="Arial"/>
          <w:lang w:val="fr-FR" w:eastAsia="fr-FR"/>
        </w:rPr>
      </w:pPr>
    </w:p>
    <w:p w14:paraId="22E6A7CC" w14:textId="77777777" w:rsidR="000147DB" w:rsidRPr="003E7524" w:rsidRDefault="000147DB" w:rsidP="002F5A31">
      <w:pPr>
        <w:keepNext/>
        <w:keepLines/>
        <w:spacing w:after="0" w:line="240" w:lineRule="auto"/>
        <w:jc w:val="both"/>
        <w:rPr>
          <w:b/>
          <w:bCs/>
          <w:iCs/>
          <w:rFonts w:eastAsia="Times New Roman" w:cs="Arial"/>
        </w:rPr>
      </w:pPr>
      <w:r>
        <w:rPr>
          <w:b/>
          <w:bCs/>
        </w:rPr>
        <w:t xml:space="preserve">Artikel 10.</w:t>
      </w:r>
      <w:r>
        <w:rPr>
          <w:b/>
          <w:bCs/>
        </w:rPr>
        <w:t xml:space="preserve"> </w:t>
      </w:r>
      <w:r>
        <w:rPr>
          <w:b/>
          <w:bCs/>
          <w:iCs/>
        </w:rPr>
        <w:t xml:space="preserve">Identifikationssystem</w:t>
      </w:r>
    </w:p>
    <w:p w14:paraId="05C008A4" w14:textId="77777777" w:rsidR="000147DB" w:rsidRPr="003E7524" w:rsidRDefault="000147DB" w:rsidP="002F5A31">
      <w:pPr>
        <w:keepNext/>
        <w:keepLines/>
        <w:spacing w:after="0" w:line="240" w:lineRule="auto"/>
        <w:jc w:val="both"/>
        <w:rPr>
          <w:rFonts w:eastAsia="Times New Roman" w:cs="Arial"/>
          <w:b/>
          <w:bCs/>
          <w:iCs/>
          <w:lang w:val="fr-FR" w:eastAsia="fr-FR"/>
        </w:rPr>
      </w:pPr>
    </w:p>
    <w:p w14:paraId="331832A7" w14:textId="77777777" w:rsidR="000147DB" w:rsidRPr="003E7524" w:rsidRDefault="000147DB" w:rsidP="002F5A31">
      <w:pPr>
        <w:keepNext/>
        <w:keepLines/>
        <w:spacing w:after="0" w:line="240" w:lineRule="auto"/>
        <w:jc w:val="both"/>
        <w:rPr>
          <w:rFonts w:eastAsia="Times New Roman" w:cs="Arial"/>
          <w:b/>
          <w:lang w:val="fr-FR" w:eastAsia="fr-FR"/>
        </w:rPr>
      </w:pPr>
    </w:p>
    <w:p w14:paraId="425BF78D" w14:textId="77777777" w:rsidR="000147DB" w:rsidRPr="003E7524" w:rsidRDefault="000147DB" w:rsidP="002F5A31">
      <w:pPr>
        <w:keepNext/>
        <w:keepLines/>
        <w:spacing w:after="0" w:line="240" w:lineRule="auto"/>
        <w:jc w:val="both"/>
        <w:rPr>
          <w:rFonts w:eastAsia="Times New Roman" w:cs="Arial"/>
          <w:lang w:val="fr-FR" w:eastAsia="fr-FR"/>
        </w:rPr>
      </w:pPr>
    </w:p>
    <w:p w14:paraId="5D34AF9E" w14:textId="38F1F05F"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szCs w:val="24"/>
        </w:rPr>
        <w:t xml:space="preserve">Stk. 1. Med henblik på at lette indsamling, genbrug, forberedelse med henblik på genbrug og nyttiggørelse, herunder genanvendelse, angives det med henblik på identifikation og klassificering i den berørte industri på emballagen, hvad emballagematerialet/-materialerne består af, på grundlag af Kommissionens beslutning 97/129/CE af 28. januar 1997 om fastlæggelse af identifikationssystemet for emballagematerialer i henhold til Europa-Parlamentets og Rådets direktiv 94/62/EF om emballage og emballageaffald.</w:t>
      </w:r>
      <w:r>
        <w:rPr>
          <w:color w:val="FF0000"/>
          <w:sz w:val="24"/>
          <w:szCs w:val="24"/>
        </w:rPr>
        <w:t xml:space="preserve"> </w:t>
      </w:r>
    </w:p>
    <w:p w14:paraId="4942209B" w14:textId="77777777" w:rsidR="000147DB" w:rsidRPr="003E7524" w:rsidRDefault="000147DB" w:rsidP="000147DB">
      <w:pPr>
        <w:spacing w:after="0" w:line="240" w:lineRule="auto"/>
        <w:jc w:val="both"/>
        <w:rPr>
          <w:rFonts w:eastAsia="Times New Roman" w:cs="Arial"/>
          <w:lang w:val="fr-FR" w:eastAsia="fr-FR"/>
        </w:rPr>
      </w:pPr>
    </w:p>
    <w:p w14:paraId="08E9BCD8" w14:textId="77777777" w:rsidR="000147DB" w:rsidRPr="003E7524" w:rsidRDefault="000147DB" w:rsidP="000147DB">
      <w:pPr>
        <w:spacing w:after="0" w:line="240" w:lineRule="auto"/>
        <w:jc w:val="both"/>
        <w:rPr>
          <w:rFonts w:eastAsia="Times New Roman" w:cs="Arial"/>
        </w:rPr>
      </w:pPr>
      <w:r>
        <w:t xml:space="preserve">Stk. 2. Såfremt det er påkrævet, anbringes den passende mærkning enten på selve emballagen eller på etiketten.</w:t>
      </w:r>
      <w:r>
        <w:t xml:space="preserve"> </w:t>
      </w:r>
      <w:r>
        <w:t xml:space="preserve">Den skal være tydelige og let læselig.</w:t>
      </w:r>
      <w:r>
        <w:t xml:space="preserve"> </w:t>
      </w:r>
      <w:r>
        <w:t xml:space="preserve">Mærkningen skal have en passende levetid, herunder når emballagen åbnes.</w:t>
      </w:r>
    </w:p>
    <w:p w14:paraId="09FE587A" w14:textId="77777777" w:rsidR="000147DB" w:rsidRPr="003E7524" w:rsidRDefault="000147DB" w:rsidP="000147DB">
      <w:pPr>
        <w:spacing w:after="0" w:line="240" w:lineRule="auto"/>
        <w:jc w:val="both"/>
        <w:rPr>
          <w:rFonts w:eastAsia="Times New Roman" w:cs="Arial"/>
          <w:lang w:val="fr-FR" w:eastAsia="fr-FR"/>
        </w:rPr>
      </w:pPr>
    </w:p>
    <w:p w14:paraId="7D950806" w14:textId="77777777" w:rsidR="000147DB" w:rsidRPr="003E7524" w:rsidRDefault="000147DB" w:rsidP="002F5A31">
      <w:pPr>
        <w:keepNext/>
        <w:keepLines/>
        <w:spacing w:after="0" w:line="240" w:lineRule="auto"/>
        <w:jc w:val="both"/>
        <w:rPr>
          <w:b/>
          <w:color w:val="000000"/>
          <w:rFonts w:eastAsia="Times New Roman" w:cs="Arial"/>
        </w:rPr>
      </w:pPr>
      <w:r>
        <w:rPr>
          <w:b/>
          <w:color w:val="000000"/>
        </w:rPr>
        <w:t xml:space="preserve">Artikel 11.</w:t>
      </w:r>
      <w:r>
        <w:rPr>
          <w:b/>
          <w:color w:val="000000"/>
        </w:rPr>
        <w:t xml:space="preserve"> </w:t>
      </w:r>
      <w:r>
        <w:rPr>
          <w:b/>
          <w:color w:val="000000"/>
          <w:iCs/>
        </w:rPr>
        <w:t xml:space="preserve">Koncentration af tungmetaller i emballage</w:t>
      </w:r>
    </w:p>
    <w:p w14:paraId="5961C7DD" w14:textId="77777777" w:rsidR="000147DB" w:rsidRPr="003E7524" w:rsidRDefault="000147DB" w:rsidP="000147DB">
      <w:pPr>
        <w:spacing w:after="0" w:line="240" w:lineRule="auto"/>
        <w:jc w:val="both"/>
        <w:rPr>
          <w:color w:val="000000"/>
          <w:rFonts w:eastAsia="Times New Roman" w:cs="Arial"/>
        </w:rPr>
      </w:pPr>
      <w:r>
        <w:rPr>
          <w:color w:val="000000"/>
        </w:rPr>
        <w:t xml:space="preserve">Stk. 1. Summen af koncentrationerne af bly, cadmium, kviksølv og hexavalent chrom i emballage eller emballagekomponenter må ikke overskride en vægt på 100 ppm.</w:t>
      </w:r>
    </w:p>
    <w:p w14:paraId="173D4287" w14:textId="77777777" w:rsidR="000147DB" w:rsidRPr="003E7524" w:rsidRDefault="000147DB" w:rsidP="000147DB">
      <w:pPr>
        <w:spacing w:after="0" w:line="240" w:lineRule="auto"/>
        <w:jc w:val="both"/>
        <w:rPr>
          <w:color w:val="000000"/>
          <w:rFonts w:eastAsia="Times New Roman" w:cs="Arial"/>
        </w:rPr>
      </w:pPr>
      <w:r>
        <w:rPr>
          <w:color w:val="000000"/>
        </w:rPr>
        <w:t xml:space="preserve">Stk. 2. Koncentrationsniveauerne i stk. 1</w:t>
      </w:r>
      <w:r>
        <w:rPr>
          <w:color w:val="000000"/>
          <w:iCs/>
        </w:rPr>
        <w:t xml:space="preserve"> </w:t>
      </w:r>
      <w:r>
        <w:rPr>
          <w:color w:val="000000"/>
        </w:rPr>
        <w:t xml:space="preserve">gælder ikke for emballage, der udelukkende består af krystalglas.</w:t>
      </w:r>
    </w:p>
    <w:p w14:paraId="242DF555" w14:textId="77777777" w:rsidR="000147DB" w:rsidRPr="003E7524" w:rsidRDefault="000147DB" w:rsidP="000147DB">
      <w:pPr>
        <w:spacing w:after="0" w:line="240" w:lineRule="auto"/>
        <w:jc w:val="both"/>
        <w:rPr>
          <w:rFonts w:eastAsia="Times New Roman" w:cs="Arial"/>
          <w:lang w:val="fr-FR" w:eastAsia="fr-FR"/>
        </w:rPr>
      </w:pPr>
    </w:p>
    <w:p w14:paraId="122991E0" w14:textId="77777777" w:rsidR="000147DB" w:rsidRPr="003E7524" w:rsidRDefault="000147DB" w:rsidP="002F5A31">
      <w:pPr>
        <w:keepNext/>
        <w:keepLines/>
        <w:spacing w:after="0" w:line="240" w:lineRule="auto"/>
        <w:jc w:val="both"/>
        <w:rPr>
          <w:b/>
          <w:rFonts w:eastAsia="Times New Roman" w:cs="Arial"/>
        </w:rPr>
      </w:pPr>
      <w:r>
        <w:rPr>
          <w:b/>
        </w:rPr>
        <w:t xml:space="preserve">Artikel 12.</w:t>
      </w:r>
      <w:r>
        <w:rPr>
          <w:b/>
        </w:rPr>
        <w:t xml:space="preserve"> </w:t>
      </w:r>
      <w:r>
        <w:rPr>
          <w:b/>
        </w:rPr>
        <w:t xml:space="preserve">Informationssystemer</w:t>
      </w:r>
    </w:p>
    <w:p w14:paraId="5FCE099A" w14:textId="77777777" w:rsidR="000147DB" w:rsidRPr="003E7524" w:rsidRDefault="000147DB" w:rsidP="000147DB">
      <w:pPr>
        <w:spacing w:after="0" w:line="240" w:lineRule="auto"/>
        <w:jc w:val="both"/>
        <w:rPr>
          <w:rFonts w:eastAsia="Times New Roman" w:cs="Arial"/>
        </w:rPr>
      </w:pPr>
      <w:r>
        <w:t xml:space="preserve">Stk. 1. Databaserne, som er beskrevet i bilag III til Europa-Parlamentets og Rådets direktiv 94/62/EF af 20. december 1994 om emballage og emballageaffald, som ændret ved Europa-Kommissionens retsakter i overensstemmelse med artikel 19 i dette direktiv, forvaltes af Miljøstyrelsen.</w:t>
      </w:r>
      <w:r>
        <w:t xml:space="preserve"> </w:t>
      </w:r>
      <w:r>
        <w:t xml:space="preserve">De fremlægger oplysninger om omfanget af emballagen, dennes egenskaber og udviklingen i emballage- og emballageaffaldsstrømmen, herunder oplysninger om indholdet af farlige eller giftige stoffer i emballagematerialerne og de komponenter, der anvendes til fremstilling heraf.</w:t>
      </w:r>
    </w:p>
    <w:p w14:paraId="7E5340DE" w14:textId="77777777" w:rsidR="000147DB" w:rsidRPr="003E7524" w:rsidRDefault="000147DB" w:rsidP="000147DB">
      <w:pPr>
        <w:spacing w:after="0" w:line="240" w:lineRule="auto"/>
        <w:jc w:val="both"/>
        <w:rPr>
          <w:rFonts w:eastAsia="Times New Roman" w:cs="Arial"/>
        </w:rPr>
      </w:pPr>
      <w:r>
        <w:t xml:space="preserve">Stk. 2. De berørte økonomiske aktører skal fremlægge de pålidelige data med hensyn til deres sektor, som kræves i henhold til denne artikel, for Miljøstyrelsen.</w:t>
      </w:r>
      <w:r>
        <w:t xml:space="preserve"> </w:t>
      </w:r>
      <w:r>
        <w:t xml:space="preserve">Miljøstyrelsen tager højde for de særlige problemer, som de små og mellemstore virksomheder står overfor med henblik på fremlæggelse af detaljerede oplysninger.</w:t>
      </w:r>
    </w:p>
    <w:p w14:paraId="5AEC8260" w14:textId="77777777" w:rsidR="000147DB" w:rsidRPr="003E7524" w:rsidRDefault="000147DB" w:rsidP="000147DB">
      <w:pPr>
        <w:spacing w:after="0" w:line="240" w:lineRule="auto"/>
        <w:jc w:val="both"/>
        <w:rPr>
          <w:rFonts w:eastAsia="Times New Roman" w:cs="Arial"/>
          <w:lang w:val="fr-FR" w:eastAsia="fr-FR"/>
        </w:rPr>
      </w:pPr>
    </w:p>
    <w:p w14:paraId="3E529549" w14:textId="77777777" w:rsidR="000147DB" w:rsidRPr="003E7524" w:rsidRDefault="000147DB" w:rsidP="000147DB">
      <w:pPr>
        <w:spacing w:after="0" w:line="240" w:lineRule="auto"/>
        <w:jc w:val="both"/>
        <w:rPr>
          <w:rFonts w:eastAsia="Times New Roman" w:cs="Arial"/>
          <w:lang w:val="fr-FR" w:eastAsia="fr-FR"/>
        </w:rPr>
      </w:pPr>
    </w:p>
    <w:p w14:paraId="0135E764" w14:textId="77777777" w:rsidR="000147DB" w:rsidRPr="003E7524" w:rsidRDefault="000147DB" w:rsidP="002F5A31">
      <w:pPr>
        <w:keepNext/>
        <w:keepLines/>
        <w:spacing w:after="0" w:line="240" w:lineRule="auto"/>
        <w:jc w:val="both"/>
        <w:rPr>
          <w:rFonts w:eastAsia="Times New Roman" w:cs="Arial"/>
        </w:rPr>
      </w:pPr>
      <w:r>
        <w:rPr>
          <w:b/>
          <w:bCs/>
        </w:rPr>
        <w:t xml:space="preserve">Artikel 14.</w:t>
      </w:r>
      <w:r>
        <w:rPr>
          <w:b/>
          <w:bCs/>
        </w:rPr>
        <w:t xml:space="preserve"> </w:t>
      </w:r>
      <w:r>
        <w:rPr>
          <w:b/>
          <w:bCs/>
          <w:iCs/>
        </w:rPr>
        <w:t xml:space="preserve">Oplysninger til emballagebrugerne</w:t>
      </w:r>
    </w:p>
    <w:p w14:paraId="0BFAA0F4" w14:textId="77777777" w:rsidR="000147DB" w:rsidRPr="003E7524" w:rsidRDefault="000147DB" w:rsidP="000147DB">
      <w:pPr>
        <w:spacing w:after="0" w:line="240" w:lineRule="auto"/>
        <w:jc w:val="both"/>
        <w:rPr>
          <w:rFonts w:eastAsia="Times New Roman" w:cs="Arial"/>
        </w:rPr>
      </w:pPr>
      <w:r>
        <w:t xml:space="preserve">Stk. 1. De emballageansvarlige eller de autoriserede organer skal hver på deres område informere emballagebrugerne, herunder forbrugerne, om:</w:t>
      </w:r>
    </w:p>
    <w:p w14:paraId="28FD57E8" w14:textId="77777777" w:rsidR="000147DB" w:rsidRPr="003E7524" w:rsidRDefault="000147DB" w:rsidP="000147DB">
      <w:pPr>
        <w:spacing w:after="0" w:line="240" w:lineRule="auto"/>
        <w:jc w:val="both"/>
        <w:rPr>
          <w:rFonts w:eastAsia="Times New Roman" w:cs="Arial"/>
        </w:rPr>
      </w:pPr>
      <w:r>
        <w:t xml:space="preserve">mulighederne for forebyggelse af emballageaffald</w:t>
      </w:r>
    </w:p>
    <w:p w14:paraId="1A222528" w14:textId="77777777" w:rsidR="000147DB" w:rsidRPr="003E7524" w:rsidRDefault="000147DB" w:rsidP="000147DB">
      <w:pPr>
        <w:spacing w:after="0" w:line="240" w:lineRule="auto"/>
        <w:jc w:val="both"/>
        <w:rPr>
          <w:rFonts w:eastAsia="Times New Roman" w:cs="Arial"/>
        </w:rPr>
      </w:pPr>
      <w:r>
        <w:t xml:space="preserve">de retur-, indsamlings- og nyttiggørelsesordninger, som er til rådighed for dem, og deres bidrag til genbrug, nyttiggørelse og genanvendelse af emballage og emballageaffald</w:t>
      </w:r>
    </w:p>
    <w:p w14:paraId="2AF81E67" w14:textId="77777777" w:rsidR="000147DB" w:rsidRPr="003E7524" w:rsidRDefault="000147DB" w:rsidP="000147DB">
      <w:pPr>
        <w:spacing w:after="0" w:line="240" w:lineRule="auto"/>
        <w:jc w:val="both"/>
        <w:rPr>
          <w:rFonts w:eastAsia="Times New Roman" w:cs="Arial"/>
        </w:rPr>
      </w:pPr>
      <w:r>
        <w:t xml:space="preserve">de skadelige virkninger, som et overdrevet forbrug af plastbæreposer har på miljøet</w:t>
      </w:r>
    </w:p>
    <w:p w14:paraId="0BB30D5B" w14:textId="77777777" w:rsidR="000147DB" w:rsidRPr="003E7524" w:rsidRDefault="000147DB" w:rsidP="000147DB">
      <w:pPr>
        <w:spacing w:after="0" w:line="240" w:lineRule="auto"/>
        <w:jc w:val="both"/>
        <w:rPr>
          <w:rFonts w:eastAsia="Times New Roman" w:cs="Arial"/>
        </w:rPr>
      </w:pPr>
      <w:r>
        <w:t xml:space="preserve">de relevante faktorer i planerne til forvaltning af emballage og emballageaffald, som enten er del af den nationale plan for affaldshåndtering eller er omfattet af en særlig plan i medfør af lov af 21. marts 2012.</w:t>
      </w:r>
    </w:p>
    <w:p w14:paraId="6F14132A" w14:textId="77777777" w:rsidR="000147DB" w:rsidRPr="003E7524" w:rsidRDefault="000147DB" w:rsidP="000147DB">
      <w:pPr>
        <w:spacing w:after="0" w:line="240" w:lineRule="auto"/>
        <w:jc w:val="both"/>
        <w:rPr>
          <w:rFonts w:eastAsia="Times New Roman" w:cs="Arial"/>
          <w:color w:val="FF0000"/>
          <w:lang w:val="fr-FR" w:eastAsia="fr-FR"/>
        </w:rPr>
      </w:pPr>
    </w:p>
    <w:p w14:paraId="7030362B" w14:textId="51AC38F2" w:rsidR="000147DB" w:rsidRPr="003E7524" w:rsidRDefault="000147DB" w:rsidP="000147DB">
      <w:pPr>
        <w:spacing w:after="0" w:line="240" w:lineRule="auto"/>
        <w:jc w:val="both"/>
        <w:rPr>
          <w:rFonts w:eastAsia="Times New Roman" w:cs="Arial"/>
        </w:rPr>
      </w:pPr>
      <w:r>
        <w:t xml:space="preserve">Stk. 2. Personer, som udbyder emballerede varer til salg, sikrer, at den endelige forbruger oplyses på passende vis på salgsstederne henholdsvis om muligheden for genbrug eller nyttiggørelse, herunder genanvendelse, af emballagen og om returneringssystemet, herunder især indsamling af emballage.</w:t>
      </w:r>
    </w:p>
    <w:p w14:paraId="049AF441"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NewRoman"/>
        </w:rPr>
      </w:pPr>
      <w:r>
        <w:rPr>
          <w:color w:val="FF0000"/>
          <w:sz w:val="24"/>
          <w:szCs w:val="24"/>
        </w:rPr>
        <w:t xml:space="preserve">Den passende mærkning anbringes enten på selve emballagen eller på etiketten.</w:t>
      </w:r>
      <w:r>
        <w:rPr>
          <w:color w:val="FF0000"/>
          <w:sz w:val="24"/>
          <w:szCs w:val="24"/>
        </w:rPr>
        <w:t xml:space="preserve"> </w:t>
      </w:r>
      <w:r>
        <w:rPr>
          <w:color w:val="FF0000"/>
          <w:sz w:val="24"/>
          <w:szCs w:val="24"/>
        </w:rPr>
        <w:t xml:space="preserve">Den skal være tydelige og let læselig.</w:t>
      </w:r>
      <w:r>
        <w:rPr>
          <w:color w:val="FF0000"/>
          <w:sz w:val="24"/>
          <w:szCs w:val="24"/>
        </w:rPr>
        <w:t xml:space="preserve"> </w:t>
      </w:r>
      <w:r>
        <w:rPr>
          <w:color w:val="FF0000"/>
          <w:sz w:val="24"/>
          <w:szCs w:val="24"/>
        </w:rPr>
        <w:t xml:space="preserve">Mærkningen skal have en passende levetid, herunder når emballagen åbnes.</w:t>
      </w:r>
      <w:r>
        <w:rPr>
          <w:color w:val="FF0000"/>
          <w:sz w:val="24"/>
          <w:szCs w:val="24"/>
        </w:rPr>
        <w:t xml:space="preserve"> </w:t>
      </w:r>
    </w:p>
    <w:p w14:paraId="479912FE" w14:textId="77777777" w:rsidR="000147DB" w:rsidRPr="003E7524" w:rsidRDefault="000147DB" w:rsidP="000147DB">
      <w:pPr>
        <w:spacing w:after="0" w:line="240" w:lineRule="auto"/>
        <w:jc w:val="both"/>
        <w:rPr>
          <w:rFonts w:eastAsia="Times New Roman" w:cs="Arial"/>
          <w:lang w:val="fr-FR" w:eastAsia="fr-FR"/>
        </w:rPr>
      </w:pPr>
    </w:p>
    <w:p w14:paraId="567A68A6" w14:textId="77777777" w:rsidR="000147DB" w:rsidRPr="003E7524" w:rsidRDefault="000147DB" w:rsidP="000147DB">
      <w:pPr>
        <w:spacing w:after="0" w:line="240" w:lineRule="auto"/>
        <w:jc w:val="both"/>
        <w:rPr>
          <w:rFonts w:eastAsia="Times New Roman" w:cs="Arial"/>
        </w:rPr>
      </w:pPr>
      <w:r>
        <w:t xml:space="preserve">Stk. 3. De informationsforanstaltninger, der er nævnt i stk. 1 og 2, suppleres eventuelt af oplysningskampagner, som føres i samarbejde med Miljøstyrelsen.</w:t>
      </w:r>
    </w:p>
    <w:p w14:paraId="310D81FF" w14:textId="77777777" w:rsidR="000147DB" w:rsidRPr="003E7524" w:rsidRDefault="000147DB" w:rsidP="000147DB">
      <w:pPr>
        <w:spacing w:after="0" w:line="240" w:lineRule="auto"/>
        <w:jc w:val="both"/>
        <w:rPr>
          <w:rFonts w:eastAsia="Times New Roman" w:cs="Arial"/>
          <w:lang w:val="fr-FR" w:eastAsia="fr-FR"/>
        </w:rPr>
      </w:pPr>
    </w:p>
    <w:p w14:paraId="6E40D75F" w14:textId="77777777" w:rsidR="000147DB" w:rsidRPr="003E7524" w:rsidRDefault="000147DB" w:rsidP="000147DB">
      <w:pPr>
        <w:spacing w:after="0" w:line="240" w:lineRule="auto"/>
        <w:jc w:val="both"/>
        <w:rPr>
          <w:rFonts w:eastAsia="Times New Roman" w:cs="Arial"/>
          <w:lang w:val="fr-FR" w:eastAsia="fr-FR"/>
        </w:rPr>
      </w:pPr>
    </w:p>
    <w:p w14:paraId="48933925" w14:textId="77777777" w:rsidR="000147DB" w:rsidRPr="003E7524" w:rsidRDefault="000147DB" w:rsidP="000147DB">
      <w:pPr>
        <w:spacing w:after="0" w:line="240" w:lineRule="auto"/>
        <w:jc w:val="both"/>
        <w:rPr>
          <w:rFonts w:eastAsia="Times New Roman" w:cs="Arial"/>
          <w:strike/>
          <w:color w:val="FF0000"/>
          <w:lang w:val="fr-FR" w:eastAsia="fr-FR"/>
        </w:rPr>
      </w:pPr>
    </w:p>
    <w:p w14:paraId="53040DFE" w14:textId="77777777" w:rsidR="000147DB" w:rsidRPr="003E7524" w:rsidRDefault="000147DB" w:rsidP="002F5A31">
      <w:pPr>
        <w:keepNext/>
        <w:keepLines/>
        <w:autoSpaceDE w:val="0"/>
        <w:autoSpaceDN w:val="0"/>
        <w:adjustRightInd w:val="0"/>
        <w:spacing w:after="0" w:line="240" w:lineRule="auto"/>
        <w:jc w:val="both"/>
        <w:rPr>
          <w:color w:val="FF0000"/>
          <w:sz w:val="24"/>
          <w:szCs w:val="24"/>
          <w:rFonts w:eastAsia="Calibri" w:cs="TimesNewRoman"/>
        </w:rPr>
      </w:pPr>
      <w:r>
        <w:rPr>
          <w:color w:val="FF0000"/>
          <w:sz w:val="24"/>
          <w:szCs w:val="24"/>
          <w:u w:val="single"/>
        </w:rPr>
        <w:t xml:space="preserve">Artikel 15.</w:t>
      </w:r>
      <w:r>
        <w:rPr>
          <w:color w:val="FF0000"/>
          <w:sz w:val="24"/>
          <w:szCs w:val="24"/>
          <w:u w:val="single"/>
        </w:rPr>
        <w:t xml:space="preserve"> </w:t>
      </w:r>
      <w:r>
        <w:rPr>
          <w:color w:val="FF0000"/>
          <w:sz w:val="24"/>
          <w:szCs w:val="24"/>
          <w:u w:val="single"/>
        </w:rPr>
        <w:t xml:space="preserve">Rapporter</w:t>
      </w:r>
    </w:p>
    <w:p w14:paraId="5D99A309" w14:textId="77777777" w:rsidR="000147DB" w:rsidRPr="003E7524" w:rsidRDefault="000147DB" w:rsidP="002F5A31">
      <w:pPr>
        <w:keepNext/>
        <w:keepLines/>
        <w:autoSpaceDE w:val="0"/>
        <w:autoSpaceDN w:val="0"/>
        <w:adjustRightInd w:val="0"/>
        <w:spacing w:after="0" w:line="240" w:lineRule="auto"/>
        <w:jc w:val="both"/>
        <w:rPr>
          <w:rFonts w:eastAsia="Calibri" w:cs="TimesNewRoman"/>
          <w:color w:val="FF0000"/>
          <w:sz w:val="24"/>
          <w:szCs w:val="24"/>
          <w:lang w:val="fr-FR" w:eastAsia="fr-BE"/>
        </w:rPr>
      </w:pPr>
    </w:p>
    <w:p w14:paraId="6A108156"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NewRoman"/>
        </w:rPr>
      </w:pPr>
      <w:r>
        <w:rPr>
          <w:color w:val="FF0000"/>
          <w:sz w:val="24"/>
          <w:szCs w:val="24"/>
        </w:rPr>
        <w:t xml:space="preserve">Hver emballageansvarlig, som har markedsført letvægtsplastbæreposer, skal indberette den årlige mængde af disse bæreposer til det autoriserede organ, som denne har tilsluttet sig.</w:t>
      </w:r>
      <w:r>
        <w:rPr>
          <w:color w:val="FF0000"/>
          <w:sz w:val="24"/>
          <w:szCs w:val="24"/>
        </w:rPr>
        <w:t xml:space="preserve"> </w:t>
      </w:r>
    </w:p>
    <w:p w14:paraId="7B36C2F6" w14:textId="203BBF9C" w:rsidR="000147DB" w:rsidRPr="003E7524" w:rsidRDefault="000147DB" w:rsidP="000147DB">
      <w:pPr>
        <w:autoSpaceDE w:val="0"/>
        <w:autoSpaceDN w:val="0"/>
        <w:adjustRightInd w:val="0"/>
        <w:spacing w:after="0" w:line="240" w:lineRule="auto"/>
        <w:jc w:val="both"/>
        <w:rPr>
          <w:color w:val="FF0000"/>
          <w:sz w:val="24"/>
          <w:szCs w:val="24"/>
          <w:rFonts w:eastAsia="Calibri" w:cs="TimesNewRoman"/>
        </w:rPr>
      </w:pPr>
      <w:r>
        <w:rPr>
          <w:color w:val="FF0000"/>
          <w:sz w:val="24"/>
          <w:szCs w:val="24"/>
        </w:rPr>
        <w:t xml:space="preserve">Det autoriserede organ skal indberette mængderne til den pågældende myndighed inden for rammerne af betænkningen som beskrevet i artikel 35, stk. 2, i lov af 21. marts 2012.</w:t>
      </w:r>
      <w:r>
        <w:rPr>
          <w:color w:val="FF0000"/>
          <w:sz w:val="24"/>
          <w:szCs w:val="24"/>
        </w:rPr>
        <w:t xml:space="preserve"> </w:t>
      </w:r>
      <w:r>
        <w:rPr>
          <w:color w:val="FF0000"/>
          <w:sz w:val="24"/>
          <w:szCs w:val="24"/>
        </w:rPr>
        <w:t xml:space="preserve">Meget lette plastbæreposer i henhold til artikel 3, nr. 17), er undtaget fra dette.</w:t>
      </w:r>
      <w:r>
        <w:rPr>
          <w:color w:val="FF0000"/>
          <w:sz w:val="24"/>
          <w:szCs w:val="24"/>
        </w:rPr>
        <w:t xml:space="preserve"> </w:t>
      </w:r>
    </w:p>
    <w:p w14:paraId="7EE24D00" w14:textId="77777777" w:rsidR="000147DB" w:rsidRPr="003E7524" w:rsidRDefault="000147DB" w:rsidP="000147DB">
      <w:pPr>
        <w:spacing w:after="0" w:line="240" w:lineRule="auto"/>
        <w:jc w:val="both"/>
        <w:rPr>
          <w:rFonts w:eastAsia="Times New Roman" w:cs="Arial"/>
          <w:strike/>
          <w:color w:val="FF0000"/>
          <w:lang w:val="fr-FR" w:eastAsia="fr-FR"/>
        </w:rPr>
      </w:pPr>
    </w:p>
    <w:p w14:paraId="4AB10018" w14:textId="77777777" w:rsidR="000147DB" w:rsidRPr="00471E09" w:rsidRDefault="000147DB" w:rsidP="00B972B3">
      <w:pPr>
        <w:keepNext/>
        <w:keepLines/>
        <w:spacing w:after="0" w:line="240" w:lineRule="auto"/>
        <w:jc w:val="both"/>
        <w:rPr>
          <w:b/>
          <w:rFonts w:eastAsia="Times New Roman" w:cs="Arial"/>
        </w:rPr>
      </w:pPr>
      <w:r>
        <w:rPr>
          <w:b/>
        </w:rPr>
        <w:t xml:space="preserve">Artikel 16.</w:t>
      </w:r>
      <w:r>
        <w:rPr>
          <w:b/>
        </w:rPr>
        <w:t xml:space="preserve"> </w:t>
      </w:r>
      <w:r>
        <w:rPr>
          <w:b/>
        </w:rPr>
        <w:t xml:space="preserve">Kontroller, som skal udføres</w:t>
      </w:r>
      <w:r>
        <w:rPr>
          <w:b/>
        </w:rPr>
        <w:t xml:space="preserve"> </w:t>
      </w:r>
    </w:p>
    <w:p w14:paraId="035D85BE" w14:textId="77777777" w:rsidR="000147DB" w:rsidRPr="003E7524" w:rsidRDefault="000147DB" w:rsidP="000147DB">
      <w:pPr>
        <w:spacing w:after="0" w:line="240" w:lineRule="auto"/>
        <w:jc w:val="both"/>
        <w:rPr>
          <w:rFonts w:eastAsia="Times New Roman" w:cs="Arial"/>
        </w:rPr>
      </w:pPr>
      <w:r>
        <w:t xml:space="preserve">Stk. 1. Kontrollen af årsberetningen finder sted i overensstemmelse med bestemmelserne i artikel 35, stk. 2, i lov af 21. marts 2012.</w:t>
      </w:r>
    </w:p>
    <w:p w14:paraId="35E08884" w14:textId="77777777" w:rsidR="000147DB" w:rsidRPr="003E7524" w:rsidRDefault="000147DB" w:rsidP="000147DB">
      <w:pPr>
        <w:spacing w:after="0" w:line="240" w:lineRule="auto"/>
        <w:jc w:val="both"/>
        <w:rPr>
          <w:rFonts w:eastAsia="Times New Roman" w:cs="Arial"/>
        </w:rPr>
      </w:pPr>
      <w:r>
        <w:t xml:space="preserve">De emballageansvarlige eller de autoriserede organer er med henblik på kontrol forpligtet til at stille alle regnskabsbilag og andre bilag samt beregningsfaktorer, som har ligget til grund for disse beretninger, til rådighed for den autoriserede revisor.</w:t>
      </w:r>
    </w:p>
    <w:p w14:paraId="01E1F62A" w14:textId="77777777" w:rsidR="000147DB" w:rsidRPr="003E7524" w:rsidRDefault="000147DB" w:rsidP="000147DB">
      <w:pPr>
        <w:spacing w:after="0" w:line="240" w:lineRule="auto"/>
        <w:jc w:val="both"/>
        <w:rPr>
          <w:rFonts w:eastAsia="Times New Roman" w:cs="Arial"/>
        </w:rPr>
      </w:pPr>
      <w:r>
        <w:t xml:space="preserve">Honorarerne for den autoriserede revisors kontrol skal bæres af de emballageansvarlige eller af det/de autoriserede organer(-er).</w:t>
      </w:r>
    </w:p>
    <w:p w14:paraId="54AD644D" w14:textId="77777777" w:rsidR="000147DB" w:rsidRPr="003E7524" w:rsidRDefault="000147DB" w:rsidP="000147DB">
      <w:pPr>
        <w:spacing w:after="0" w:line="240" w:lineRule="auto"/>
        <w:jc w:val="both"/>
        <w:rPr>
          <w:rFonts w:eastAsia="Times New Roman" w:cs="Arial"/>
        </w:rPr>
      </w:pPr>
      <w:r>
        <w:t xml:space="preserve">Stk. 2. Resultaterne af kontrollen udført af den autoriserede revisor skal omgående indgives til Miljøstyrelsen af revisoren.</w:t>
      </w:r>
    </w:p>
    <w:p w14:paraId="1AEDBCE9" w14:textId="77777777" w:rsidR="000147DB" w:rsidRPr="003E7524" w:rsidRDefault="000147DB" w:rsidP="000147DB">
      <w:pPr>
        <w:spacing w:after="0" w:line="240" w:lineRule="auto"/>
        <w:jc w:val="both"/>
        <w:rPr>
          <w:rFonts w:eastAsia="Times New Roman" w:cs="Arial"/>
          <w:b/>
          <w:bCs/>
          <w:lang w:val="fr-FR" w:eastAsia="fr-FR"/>
        </w:rPr>
      </w:pPr>
    </w:p>
    <w:p w14:paraId="2D750672" w14:textId="5CE5F3A0" w:rsidR="000147DB" w:rsidRPr="003E7524" w:rsidRDefault="000147DB" w:rsidP="00B972B3">
      <w:pPr>
        <w:keepNext/>
        <w:keepLines/>
        <w:autoSpaceDE w:val="0"/>
        <w:autoSpaceDN w:val="0"/>
        <w:adjustRightInd w:val="0"/>
        <w:spacing w:after="0" w:line="240" w:lineRule="auto"/>
        <w:jc w:val="both"/>
        <w:rPr>
          <w:color w:val="FF0000"/>
          <w:sz w:val="24"/>
          <w:szCs w:val="24"/>
          <w:u w:val="single"/>
          <w:rFonts w:eastAsia="Calibri" w:cs="TimesNewRoman"/>
        </w:rPr>
      </w:pPr>
      <w:r>
        <w:rPr>
          <w:color w:val="FF0000"/>
          <w:sz w:val="24"/>
          <w:szCs w:val="24"/>
          <w:u w:val="single"/>
        </w:rPr>
        <w:t xml:space="preserve">Artikel 17.</w:t>
      </w:r>
      <w:r>
        <w:rPr>
          <w:color w:val="FF0000"/>
          <w:sz w:val="24"/>
          <w:szCs w:val="24"/>
          <w:u w:val="single"/>
        </w:rPr>
        <w:t xml:space="preserve"> </w:t>
      </w:r>
      <w:r>
        <w:rPr>
          <w:color w:val="FF0000"/>
          <w:sz w:val="24"/>
          <w:szCs w:val="24"/>
          <w:u w:val="single"/>
        </w:rPr>
        <w:t xml:space="preserve">Efterforskning og konstatering af lovovertrædelser</w:t>
      </w:r>
    </w:p>
    <w:p w14:paraId="7D85080C"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73929CE2"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NewRoman"/>
        </w:rPr>
      </w:pPr>
      <w:r>
        <w:rPr>
          <w:color w:val="FF0000"/>
          <w:sz w:val="24"/>
          <w:szCs w:val="24"/>
        </w:rPr>
        <w:t xml:space="preserve">Stk. 1. Ud over betjentene i storhertugdømmets politi, som henhører under politistyrken, kan medarbejderne i told- og afgiftsmyndighederne med rang af politiassistent (brigadier principal) samt tjenestemænd og ansatte i gruppe A1, A2 og B1 i Miljøstyrelsen være ansvarlige for at konstatere overtrædelser af nærværende lov og af bestemmelserne til dennes iværksættelse.</w:t>
      </w:r>
    </w:p>
    <w:p w14:paraId="5A9972ED"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NewRoman"/>
        </w:rPr>
      </w:pPr>
      <w:r>
        <w:rPr>
          <w:color w:val="FF0000"/>
          <w:sz w:val="24"/>
          <w:szCs w:val="24"/>
        </w:rPr>
        <w:t xml:space="preserve">I forbindelse med udførelsen af deres arbejde har medarbejderne i told- og afgiftsmyndighederne samt Miljøstyrelsen status af kriminalbetjente.</w:t>
      </w:r>
      <w:r>
        <w:rPr>
          <w:color w:val="FF0000"/>
          <w:sz w:val="24"/>
          <w:szCs w:val="24"/>
        </w:rPr>
        <w:t xml:space="preserve"> </w:t>
      </w:r>
      <w:r>
        <w:rPr>
          <w:color w:val="FF0000"/>
          <w:sz w:val="24"/>
          <w:szCs w:val="24"/>
        </w:rPr>
        <w:t xml:space="preserve">De konstaterer lovovertrædelser ved hjælp af officielle erklæringer, der anses som rigtige, indtil andet bevises.</w:t>
      </w:r>
    </w:p>
    <w:p w14:paraId="4BDACC6F"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NewRoman"/>
        </w:rPr>
      </w:pPr>
      <w:r>
        <w:rPr>
          <w:color w:val="FF0000"/>
          <w:sz w:val="24"/>
          <w:szCs w:val="24"/>
        </w:rPr>
        <w:t xml:space="preserve">Stk. 2. De medarbejdere, der er omhandlet i stk. 1, skal have en særlig faglig uddannelse i efterforskning og konstatering af lovovertrædelser.</w:t>
      </w:r>
      <w:r>
        <w:rPr>
          <w:color w:val="FF0000"/>
          <w:sz w:val="24"/>
          <w:szCs w:val="24"/>
        </w:rPr>
        <w:t xml:space="preserve"> </w:t>
      </w:r>
      <w:r>
        <w:rPr>
          <w:color w:val="FF0000"/>
          <w:sz w:val="24"/>
          <w:szCs w:val="24"/>
        </w:rPr>
        <w:t xml:space="preserve">Uddannelsens indhold og varighed såvel som reglerne for kontrol af færdigheder er fastsat ved storhertugelig anordning.</w:t>
      </w:r>
    </w:p>
    <w:p w14:paraId="23E18C1A" w14:textId="77777777" w:rsidR="000147DB" w:rsidRPr="003E7524" w:rsidRDefault="000147DB" w:rsidP="00B972B3">
      <w:pPr>
        <w:keepNext/>
        <w:keepLines/>
        <w:autoSpaceDE w:val="0"/>
        <w:autoSpaceDN w:val="0"/>
        <w:adjustRightInd w:val="0"/>
        <w:spacing w:after="0" w:line="240" w:lineRule="auto"/>
        <w:jc w:val="both"/>
        <w:rPr>
          <w:color w:val="FF0000"/>
          <w:sz w:val="24"/>
          <w:szCs w:val="24"/>
          <w:rFonts w:eastAsia="Calibri" w:cs="TimesNewRoman"/>
        </w:rPr>
      </w:pPr>
      <w:r>
        <w:rPr>
          <w:color w:val="FF0000"/>
          <w:sz w:val="24"/>
          <w:szCs w:val="24"/>
        </w:rPr>
        <w:t xml:space="preserve">Inden de indtræder i tjenesten skal de ved Tribunal d'arrondissement de Luxembourg, der holder retsmøde i på det civilretlige område, aflægge følgende ed:</w:t>
      </w:r>
    </w:p>
    <w:p w14:paraId="1EC889C1"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NewRoman"/>
        </w:rPr>
      </w:pPr>
      <w:r>
        <w:rPr>
          <w:color w:val="FF0000"/>
          <w:sz w:val="24"/>
          <w:szCs w:val="24"/>
        </w:rPr>
        <w:t xml:space="preserve">"Jeg sværger, at jeg vil udføre mine opgaver med integritet, nøjagtighed og upartiskhed.".</w:t>
      </w:r>
      <w:r>
        <w:rPr>
          <w:color w:val="FF0000"/>
          <w:sz w:val="24"/>
          <w:szCs w:val="24"/>
        </w:rPr>
        <w:t xml:space="preserve"> </w:t>
      </w:r>
    </w:p>
    <w:p w14:paraId="0E596F75"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NewRoman"/>
        </w:rPr>
      </w:pPr>
      <w:r>
        <w:rPr>
          <w:color w:val="FF0000"/>
          <w:sz w:val="24"/>
          <w:szCs w:val="24"/>
        </w:rPr>
        <w:t xml:space="preserve">Straffelovens artikel 458 finder anvendelse.</w:t>
      </w:r>
      <w:r>
        <w:rPr>
          <w:color w:val="FF0000"/>
          <w:sz w:val="24"/>
          <w:szCs w:val="24"/>
        </w:rPr>
        <w:t xml:space="preserve"> </w:t>
      </w:r>
    </w:p>
    <w:p w14:paraId="181593C7" w14:textId="77777777" w:rsidR="000147DB" w:rsidRPr="003E7524" w:rsidRDefault="000147DB" w:rsidP="000147DB">
      <w:pPr>
        <w:spacing w:after="0" w:line="240" w:lineRule="auto"/>
        <w:jc w:val="both"/>
        <w:rPr>
          <w:rFonts w:eastAsia="Times New Roman" w:cs="Arial"/>
          <w:strike/>
          <w:color w:val="FF0000"/>
          <w:lang w:val="fr-FR" w:eastAsia="fr-FR"/>
        </w:rPr>
      </w:pPr>
    </w:p>
    <w:p w14:paraId="0ED2FC95" w14:textId="77777777" w:rsidR="000147DB" w:rsidRPr="003E7524" w:rsidRDefault="000147DB" w:rsidP="000147DB">
      <w:pPr>
        <w:spacing w:after="0" w:line="240" w:lineRule="auto"/>
        <w:jc w:val="both"/>
        <w:rPr>
          <w:rFonts w:eastAsia="Times New Roman" w:cs="Arial"/>
          <w:strike/>
          <w:color w:val="FF0000"/>
          <w:lang w:val="fr-FR" w:eastAsia="fr-FR"/>
        </w:rPr>
      </w:pPr>
    </w:p>
    <w:p w14:paraId="4F3097F3" w14:textId="77777777" w:rsidR="000147DB" w:rsidRPr="003E7524" w:rsidRDefault="000147DB" w:rsidP="00B972B3">
      <w:pPr>
        <w:keepNext/>
        <w:keepLines/>
        <w:rPr>
          <w:color w:val="FF0000"/>
          <w:sz w:val="24"/>
          <w:szCs w:val="24"/>
          <w:rFonts w:ascii="Calibri" w:eastAsia="Calibri" w:hAnsi="Calibri" w:cs="Times New Roman"/>
        </w:rPr>
      </w:pPr>
      <w:r>
        <w:rPr>
          <w:color w:val="FF0000"/>
          <w:sz w:val="24"/>
          <w:szCs w:val="24"/>
          <w:u w:val="single"/>
          <w:rFonts w:ascii="Calibri" w:hAnsi="Calibri"/>
        </w:rPr>
        <w:t xml:space="preserve">Artikel 18.</w:t>
      </w:r>
      <w:r>
        <w:rPr>
          <w:color w:val="FF0000"/>
          <w:sz w:val="24"/>
          <w:szCs w:val="24"/>
          <w:u w:val="single"/>
          <w:rFonts w:ascii="Calibri" w:hAnsi="Calibri"/>
        </w:rPr>
        <w:t xml:space="preserve"> </w:t>
      </w:r>
      <w:r>
        <w:rPr>
          <w:color w:val="FF0000"/>
          <w:sz w:val="24"/>
          <w:szCs w:val="24"/>
          <w:u w:val="single"/>
          <w:rFonts w:ascii="Calibri" w:hAnsi="Calibri"/>
        </w:rPr>
        <w:t xml:space="preserve">Beføjelser og kontrolrettigheder</w:t>
      </w:r>
    </w:p>
    <w:p w14:paraId="16422B7B" w14:textId="77777777" w:rsidR="000147DB" w:rsidRPr="003E7524" w:rsidRDefault="000147DB" w:rsidP="000147DB">
      <w:pPr>
        <w:jc w:val="both"/>
        <w:rPr>
          <w:color w:val="FF0000"/>
          <w:sz w:val="24"/>
          <w:szCs w:val="24"/>
          <w:rFonts w:ascii="Calibri" w:eastAsia="Calibri" w:hAnsi="Calibri" w:cs="Times New Roman"/>
        </w:rPr>
      </w:pPr>
      <w:r>
        <w:rPr>
          <w:color w:val="FF0000"/>
          <w:sz w:val="24"/>
          <w:szCs w:val="24"/>
          <w:rFonts w:ascii="Calibri" w:hAnsi="Calibri"/>
        </w:rPr>
        <w:t xml:space="preserve">Stk. 1. De personer, der er omhandlet i artikel 17, har adgang om dagen og om natten og uden forudgående underretning til faciliteter, lokaler, områder, anlæg og transportmidler, som er underlagt nærværende lov og bestemmelserne til dennes anvendelse.</w:t>
      </w:r>
      <w:r>
        <w:rPr>
          <w:color w:val="FF0000"/>
          <w:sz w:val="24"/>
          <w:szCs w:val="24"/>
          <w:rFonts w:ascii="Calibri" w:hAnsi="Calibri"/>
        </w:rPr>
        <w:t xml:space="preserve"> </w:t>
      </w:r>
    </w:p>
    <w:p w14:paraId="038ADE3C" w14:textId="4CBD0E56" w:rsidR="000147DB" w:rsidRPr="003E7524" w:rsidRDefault="000147DB" w:rsidP="000147DB">
      <w:pPr>
        <w:jc w:val="both"/>
        <w:rPr>
          <w:color w:val="FF0000"/>
          <w:sz w:val="24"/>
          <w:szCs w:val="24"/>
          <w:rFonts w:ascii="Calibri" w:eastAsia="Calibri" w:hAnsi="Calibri" w:cs="Times New Roman"/>
        </w:rPr>
      </w:pPr>
      <w:r>
        <w:rPr>
          <w:color w:val="FF0000"/>
          <w:sz w:val="24"/>
          <w:szCs w:val="24"/>
          <w:rFonts w:ascii="Calibri" w:hAnsi="Calibri"/>
        </w:rPr>
        <w:t xml:space="preserve">Stk. 2. Bestemmelserne i stk. 1 finder ikke anvendelse på lokaler, som anvendes til beboelse.</w:t>
      </w:r>
    </w:p>
    <w:p w14:paraId="017C6164" w14:textId="77777777" w:rsidR="000147DB" w:rsidRPr="003E7524" w:rsidRDefault="000147DB" w:rsidP="000147DB">
      <w:pPr>
        <w:jc w:val="both"/>
        <w:rPr>
          <w:color w:val="FF0000"/>
          <w:sz w:val="24"/>
          <w:szCs w:val="24"/>
          <w:rFonts w:ascii="Calibri" w:eastAsia="Calibri" w:hAnsi="Calibri" w:cs="Times New Roman"/>
        </w:rPr>
      </w:pPr>
      <w:r>
        <w:rPr>
          <w:color w:val="FF0000"/>
          <w:sz w:val="24"/>
          <w:szCs w:val="24"/>
          <w:rFonts w:ascii="Calibri" w:hAnsi="Calibri"/>
        </w:rPr>
        <w:t xml:space="preserve">Hvis der imidlertid og med forbehold af artikel 33, stk. 1, i strafferetsplejeloven foreligger konkrete indicier, som giver grund til at antage, at overtrædelsen har sin oprindelse i lokaler, som er bestemt til beboelse, kan der foretages husundersøgelse mellem kl. halv seks og kl. fireogtyve af en kriminalbetjent, som er betjent i storhertugdømmets politi eller ansat i henhold til artikel 45, og som handler på grundlag af et mandat fra undersøgelsesdommeren.</w:t>
      </w:r>
    </w:p>
    <w:p w14:paraId="1BB0F8A5" w14:textId="77777777" w:rsidR="000147DB" w:rsidRPr="003E7524" w:rsidRDefault="000147DB" w:rsidP="00B972B3">
      <w:pPr>
        <w:keepNext/>
        <w:keepLines/>
        <w:jc w:val="both"/>
        <w:rPr>
          <w:color w:val="FF0000"/>
          <w:sz w:val="24"/>
          <w:szCs w:val="24"/>
          <w:rFonts w:ascii="Calibri" w:eastAsia="Calibri" w:hAnsi="Calibri" w:cs="Times New Roman"/>
        </w:rPr>
      </w:pPr>
      <w:r>
        <w:rPr>
          <w:color w:val="FF0000"/>
          <w:sz w:val="24"/>
          <w:szCs w:val="24"/>
          <w:rFonts w:ascii="Calibri" w:hAnsi="Calibri"/>
        </w:rPr>
        <w:t xml:space="preserve">Stk. 3. Ved varetagelsen af de opgaver, der er fastlagt i stk. 1 og 2, har de pågældende ansatte tilladelse til:</w:t>
      </w:r>
    </w:p>
    <w:p w14:paraId="6F3F9813" w14:textId="77777777" w:rsidR="000147DB" w:rsidRPr="003E7524" w:rsidRDefault="000147DB" w:rsidP="000147DB">
      <w:pPr>
        <w:jc w:val="both"/>
        <w:rPr>
          <w:color w:val="FF0000"/>
          <w:sz w:val="24"/>
          <w:szCs w:val="24"/>
          <w:rFonts w:ascii="Calibri" w:eastAsia="Calibri" w:hAnsi="Calibri" w:cs="Times New Roman"/>
        </w:rPr>
      </w:pPr>
      <w:r>
        <w:rPr>
          <w:color w:val="FF0000"/>
          <w:sz w:val="24"/>
          <w:szCs w:val="24"/>
          <w:rFonts w:ascii="Calibri" w:hAnsi="Calibri"/>
        </w:rPr>
        <w:t xml:space="preserve">1. at få kendskab til alle optegnelser og dokumenter vedrørende emballage og emballageaffald, som er nævnt i nærværende lov</w:t>
      </w:r>
    </w:p>
    <w:p w14:paraId="75B9F6D7" w14:textId="5E96EE24" w:rsidR="000147DB" w:rsidRPr="003E7524" w:rsidRDefault="000147DB" w:rsidP="000147DB">
      <w:pPr>
        <w:jc w:val="both"/>
        <w:rPr>
          <w:color w:val="FF0000"/>
          <w:sz w:val="24"/>
          <w:szCs w:val="24"/>
          <w:rFonts w:ascii="Calibri" w:eastAsia="Calibri" w:hAnsi="Calibri" w:cs="Times New Roman"/>
        </w:rPr>
      </w:pPr>
      <w:r>
        <w:rPr>
          <w:color w:val="FF0000"/>
          <w:sz w:val="24"/>
          <w:szCs w:val="24"/>
          <w:rFonts w:ascii="Calibri" w:hAnsi="Calibri"/>
        </w:rPr>
        <w:t xml:space="preserve">2. at udtage eller få udtaget prøver fra emballage og emballageaffald, som er nævnt i nærværende lov, til undersøgelses- eller analyseformål.</w:t>
      </w:r>
      <w:r>
        <w:rPr>
          <w:color w:val="FF0000"/>
          <w:sz w:val="24"/>
          <w:szCs w:val="24"/>
          <w:rFonts w:ascii="Calibri" w:hAnsi="Calibri"/>
        </w:rPr>
        <w:t xml:space="preserve"> </w:t>
      </w:r>
      <w:r>
        <w:rPr>
          <w:color w:val="FF0000"/>
          <w:sz w:val="24"/>
          <w:szCs w:val="24"/>
          <w:rFonts w:ascii="Calibri" w:hAnsi="Calibri"/>
        </w:rPr>
        <w:t xml:space="preserve">En del af den forseglede prøve afleveres til operatøren af faciliteten, lokaliteten eller transportmidlet eller til indehaveren på vegne af operatøren, medmindre denne udtrykkeligt giver afkald herpå, eller nogle tekniske forhold er til hinder for det</w:t>
      </w:r>
    </w:p>
    <w:p w14:paraId="7A3F87EB" w14:textId="3B7EC98F" w:rsidR="000147DB" w:rsidRPr="003E7524" w:rsidRDefault="000147DB" w:rsidP="000147DB">
      <w:pPr>
        <w:jc w:val="both"/>
        <w:rPr>
          <w:color w:val="FF0000"/>
          <w:sz w:val="24"/>
          <w:szCs w:val="24"/>
          <w:rFonts w:ascii="Calibri" w:eastAsia="Calibri" w:hAnsi="Calibri" w:cs="Times New Roman"/>
        </w:rPr>
      </w:pPr>
      <w:r>
        <w:rPr>
          <w:color w:val="FF0000"/>
          <w:sz w:val="24"/>
          <w:szCs w:val="24"/>
          <w:rFonts w:ascii="Calibri" w:hAnsi="Calibri"/>
        </w:rPr>
        <w:t xml:space="preserve">3. at indsamle og om nødvendigt forsegle emballagen og emballageaffaldet, som er omtalt i nærværende lov samt i de pågældende optegnelser og dokumenter.</w:t>
      </w:r>
    </w:p>
    <w:p w14:paraId="724E3F46" w14:textId="77777777" w:rsidR="000147DB" w:rsidRPr="003E7524" w:rsidRDefault="000147DB" w:rsidP="000147DB">
      <w:pPr>
        <w:jc w:val="both"/>
        <w:rPr>
          <w:color w:val="FF0000"/>
          <w:sz w:val="24"/>
          <w:szCs w:val="24"/>
          <w:rFonts w:ascii="Calibri" w:eastAsia="Calibri" w:hAnsi="Calibri" w:cs="Times New Roman"/>
        </w:rPr>
      </w:pPr>
      <w:r>
        <w:rPr>
          <w:color w:val="FF0000"/>
          <w:sz w:val="24"/>
          <w:szCs w:val="24"/>
          <w:rFonts w:ascii="Calibri" w:hAnsi="Calibri"/>
        </w:rPr>
        <w:t xml:space="preserve">Stk. 4. Enhver, der er omfattet af de i stk. 3 omhandlede foranstaltninger, samt personer, der træder i deres sted, er forpligtet til på begæring af embedsmænd med ansvar for disse foranstaltninger at lette de foranstaltninger, som disse foretager.</w:t>
      </w:r>
    </w:p>
    <w:p w14:paraId="3EDE58D7" w14:textId="77777777" w:rsidR="000147DB" w:rsidRPr="003E7524" w:rsidRDefault="000147DB" w:rsidP="000147DB">
      <w:pPr>
        <w:jc w:val="both"/>
        <w:rPr>
          <w:color w:val="FF0000"/>
          <w:sz w:val="24"/>
          <w:szCs w:val="24"/>
          <w:rFonts w:ascii="Calibri" w:eastAsia="Calibri" w:hAnsi="Calibri" w:cs="Times New Roman"/>
        </w:rPr>
      </w:pPr>
      <w:r>
        <w:rPr>
          <w:color w:val="FF0000"/>
          <w:sz w:val="24"/>
          <w:szCs w:val="24"/>
          <w:rFonts w:ascii="Calibri" w:hAnsi="Calibri"/>
        </w:rPr>
        <w:t xml:space="preserve">De i foregående afsnit omhandlede personer kan bistå ved disse foranstaltninger.</w:t>
      </w:r>
    </w:p>
    <w:p w14:paraId="7303060C" w14:textId="77777777" w:rsidR="000147DB" w:rsidRPr="003E7524" w:rsidRDefault="000147DB" w:rsidP="000147DB">
      <w:pPr>
        <w:jc w:val="both"/>
        <w:rPr>
          <w:color w:val="FF0000"/>
          <w:sz w:val="24"/>
          <w:szCs w:val="24"/>
          <w:rFonts w:ascii="Calibri" w:eastAsia="Calibri" w:hAnsi="Calibri" w:cs="Times New Roman"/>
        </w:rPr>
      </w:pPr>
      <w:r>
        <w:rPr>
          <w:color w:val="FF0000"/>
          <w:sz w:val="24"/>
          <w:szCs w:val="24"/>
          <w:rFonts w:ascii="Calibri" w:hAnsi="Calibri"/>
        </w:rPr>
        <w:t xml:space="preserve">Stk. 5. Der optages rapport over resultater og foranstaltninger.</w:t>
      </w:r>
    </w:p>
    <w:p w14:paraId="560BE14F" w14:textId="77777777" w:rsidR="000147DB" w:rsidRPr="003E7524" w:rsidRDefault="000147DB" w:rsidP="000147DB">
      <w:pPr>
        <w:jc w:val="both"/>
        <w:rPr>
          <w:color w:val="FF0000"/>
          <w:sz w:val="24"/>
          <w:szCs w:val="24"/>
          <w:rFonts w:ascii="Calibri" w:eastAsia="Calibri" w:hAnsi="Calibri" w:cs="Times New Roman"/>
        </w:rPr>
      </w:pPr>
      <w:r>
        <w:rPr>
          <w:color w:val="FF0000"/>
          <w:sz w:val="24"/>
          <w:szCs w:val="24"/>
          <w:rFonts w:ascii="Calibri" w:hAnsi="Calibri"/>
        </w:rPr>
        <w:t xml:space="preserve">Stk. 6. Omkostningerne ved foranstaltningerne i medfør af denne artikel er omfattet af sagsomkostningerne og behandles ligesom disse.</w:t>
      </w:r>
      <w:r>
        <w:rPr>
          <w:color w:val="FF0000"/>
          <w:sz w:val="24"/>
          <w:szCs w:val="24"/>
          <w:rFonts w:ascii="Calibri" w:hAnsi="Calibri"/>
        </w:rPr>
        <w:t xml:space="preserve"> </w:t>
      </w:r>
    </w:p>
    <w:p w14:paraId="20CF83B8" w14:textId="77777777" w:rsidR="000147DB" w:rsidRPr="003E7524" w:rsidRDefault="000147DB" w:rsidP="000147DB">
      <w:pPr>
        <w:spacing w:after="0" w:line="240" w:lineRule="auto"/>
        <w:jc w:val="both"/>
        <w:rPr>
          <w:rFonts w:eastAsia="Times New Roman" w:cs="Arial"/>
          <w:strike/>
          <w:color w:val="FF0000"/>
          <w:lang w:val="fr-FR" w:eastAsia="fr-FR"/>
        </w:rPr>
      </w:pPr>
    </w:p>
    <w:p w14:paraId="53FCF286" w14:textId="77777777" w:rsidR="000147DB" w:rsidRPr="003E7524" w:rsidRDefault="000147DB" w:rsidP="000147DB">
      <w:pPr>
        <w:spacing w:after="0" w:line="240" w:lineRule="auto"/>
        <w:jc w:val="center"/>
        <w:rPr>
          <w:rFonts w:eastAsia="Calibri" w:cs="Arial"/>
          <w:lang w:val="fr-FR"/>
        </w:rPr>
      </w:pPr>
    </w:p>
    <w:p w14:paraId="29F0DFDD" w14:textId="77777777" w:rsidR="000147DB" w:rsidRPr="003E7524" w:rsidRDefault="000147DB" w:rsidP="00B972B3">
      <w:pPr>
        <w:keepNext/>
        <w:keepLines/>
        <w:autoSpaceDE w:val="0"/>
        <w:autoSpaceDN w:val="0"/>
        <w:adjustRightInd w:val="0"/>
        <w:spacing w:after="0" w:line="240" w:lineRule="auto"/>
        <w:jc w:val="both"/>
        <w:rPr>
          <w:color w:val="FF0000"/>
          <w:sz w:val="24"/>
          <w:szCs w:val="24"/>
          <w:u w:val="single"/>
          <w:rFonts w:eastAsia="Calibri" w:cs="TimesNewRoman"/>
        </w:rPr>
      </w:pPr>
      <w:r>
        <w:rPr>
          <w:color w:val="FF0000"/>
          <w:sz w:val="24"/>
          <w:szCs w:val="24"/>
          <w:u w:val="single"/>
        </w:rPr>
        <w:t xml:space="preserve">Artikel 19.</w:t>
      </w:r>
      <w:r>
        <w:rPr>
          <w:color w:val="FF0000"/>
          <w:sz w:val="24"/>
          <w:szCs w:val="24"/>
          <w:u w:val="single"/>
        </w:rPr>
        <w:t xml:space="preserve"> </w:t>
      </w:r>
      <w:r>
        <w:rPr>
          <w:color w:val="FF0000"/>
          <w:sz w:val="24"/>
          <w:szCs w:val="24"/>
          <w:u w:val="single"/>
        </w:rPr>
        <w:t xml:space="preserve">Strafferetlige sanktioner</w:t>
      </w:r>
    </w:p>
    <w:p w14:paraId="18C8EB51"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6EF84795"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NewRoman"/>
        </w:rPr>
      </w:pPr>
      <w:r>
        <w:rPr>
          <w:color w:val="FF0000"/>
          <w:sz w:val="24"/>
          <w:szCs w:val="24"/>
        </w:rPr>
        <w:t xml:space="preserve">Lovovertrædelserne i artikel 6, stk. 1, artikel 7, stk. 1, første afsnit og stk. 3, artikel 8, stk. 1, andet afsnit, artikel 8, stk. 2, artikel 8, stk. 4, artikel 9 og artikel 11, stk. 1, straffes med en fængselsstraf fra otte dage til tre år og en bøde på mellem 251 EUR og 750 000 EUR eller blot med en af disse straffe.</w:t>
      </w:r>
    </w:p>
    <w:p w14:paraId="45DF1212"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lang w:val="fr-LU" w:eastAsia="fr-BE"/>
        </w:rPr>
      </w:pPr>
    </w:p>
    <w:p w14:paraId="19C50898"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NewRoman"/>
        </w:rPr>
      </w:pPr>
      <w:r>
        <w:rPr>
          <w:color w:val="FF0000"/>
          <w:sz w:val="24"/>
          <w:szCs w:val="24"/>
        </w:rPr>
        <w:t xml:space="preserve">De samme straffe gælder ved forhindring eller manglende overholdelse af de administrative foranstaltninger, der er iværksat i henhold til artikel 21.</w:t>
      </w:r>
    </w:p>
    <w:p w14:paraId="36E770B5" w14:textId="77777777" w:rsidR="000147DB" w:rsidRPr="003E7524" w:rsidRDefault="000147DB" w:rsidP="000147DB">
      <w:pPr>
        <w:spacing w:after="0" w:line="240" w:lineRule="auto"/>
        <w:rPr>
          <w:rFonts w:eastAsia="Calibri" w:cs="Arial"/>
          <w:lang w:val="fr-LU"/>
        </w:rPr>
      </w:pPr>
    </w:p>
    <w:p w14:paraId="67DBA026" w14:textId="77777777" w:rsidR="000147DB" w:rsidRPr="003E7524" w:rsidRDefault="000147DB" w:rsidP="000147DB">
      <w:pPr>
        <w:spacing w:after="0" w:line="240" w:lineRule="auto"/>
        <w:jc w:val="both"/>
        <w:rPr>
          <w:rFonts w:eastAsia="Calibri" w:cs="Arial"/>
          <w:color w:val="FF0000"/>
          <w:lang w:val="fr-FR"/>
        </w:rPr>
      </w:pPr>
    </w:p>
    <w:p w14:paraId="6F9BCE2F" w14:textId="77777777" w:rsidR="000147DB" w:rsidRPr="003E7524" w:rsidRDefault="000147DB" w:rsidP="000147DB">
      <w:pPr>
        <w:spacing w:after="0" w:line="240" w:lineRule="auto"/>
        <w:jc w:val="both"/>
        <w:rPr>
          <w:rFonts w:eastAsia="Times New Roman" w:cs="Arial"/>
          <w:b/>
          <w:u w:val="single"/>
          <w:lang w:val="fr-FR" w:eastAsia="fr-FR"/>
        </w:rPr>
      </w:pPr>
    </w:p>
    <w:p w14:paraId="4741CEFE" w14:textId="77777777" w:rsidR="000147DB" w:rsidRPr="003E7524" w:rsidRDefault="000147DB" w:rsidP="00B972B3">
      <w:pPr>
        <w:keepNext/>
        <w:keepLines/>
        <w:autoSpaceDE w:val="0"/>
        <w:autoSpaceDN w:val="0"/>
        <w:adjustRightInd w:val="0"/>
        <w:spacing w:after="0" w:line="240" w:lineRule="auto"/>
        <w:jc w:val="both"/>
        <w:rPr>
          <w:color w:val="FF0000"/>
          <w:sz w:val="24"/>
          <w:szCs w:val="24"/>
          <w:rFonts w:eastAsia="Calibri" w:cs="TimesNewRoman"/>
        </w:rPr>
      </w:pPr>
      <w:r>
        <w:rPr>
          <w:color w:val="FF0000"/>
          <w:sz w:val="24"/>
          <w:szCs w:val="24"/>
          <w:u w:val="single"/>
        </w:rPr>
        <w:t xml:space="preserve">Artikel 20.</w:t>
      </w:r>
      <w:r>
        <w:rPr>
          <w:color w:val="FF0000"/>
          <w:sz w:val="24"/>
          <w:szCs w:val="24"/>
          <w:u w:val="single"/>
        </w:rPr>
        <w:t xml:space="preserve"> </w:t>
      </w:r>
      <w:r>
        <w:rPr>
          <w:color w:val="FF0000"/>
          <w:sz w:val="24"/>
          <w:szCs w:val="24"/>
          <w:u w:val="single"/>
        </w:rPr>
        <w:t xml:space="preserve">Administrative bøder</w:t>
      </w:r>
    </w:p>
    <w:p w14:paraId="42AED218"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47BECB2B" w14:textId="77777777" w:rsidR="000147DB" w:rsidRPr="003E7524" w:rsidRDefault="000147DB" w:rsidP="000147DB">
      <w:pPr>
        <w:autoSpaceDE w:val="0"/>
        <w:autoSpaceDN w:val="0"/>
        <w:adjustRightInd w:val="0"/>
        <w:spacing w:after="0"/>
        <w:jc w:val="both"/>
        <w:rPr>
          <w:color w:val="FF0000"/>
          <w:sz w:val="24"/>
          <w:szCs w:val="24"/>
          <w:rFonts w:cs="TimesNewRoman"/>
        </w:rPr>
      </w:pPr>
      <w:r>
        <w:rPr>
          <w:color w:val="FF0000"/>
          <w:sz w:val="24"/>
          <w:szCs w:val="24"/>
        </w:rPr>
        <w:t xml:space="preserve">Ministeren kan pålægge en administrativ bøde på mellem 50 EUR og 10 000 EUR i tilfælde af tilsidesættelse af artikel 5, stk. 1 og 2, af artikel 7, stk. 2, litra a), tredje afsnit, af artikel 8, stk. 3, tredje afsnit, af artikel 12, stk. 2, af artikel 14, stk. 1 og 2, af artikel 15 eller af artikel 16, stk. 2.</w:t>
      </w:r>
    </w:p>
    <w:p w14:paraId="7D851266" w14:textId="77777777" w:rsidR="000147DB" w:rsidRPr="003E7524" w:rsidRDefault="000147DB" w:rsidP="000147DB">
      <w:pPr>
        <w:autoSpaceDE w:val="0"/>
        <w:autoSpaceDN w:val="0"/>
        <w:adjustRightInd w:val="0"/>
        <w:spacing w:after="0"/>
        <w:jc w:val="both"/>
        <w:rPr>
          <w:rFonts w:cs="TimesNewRoman"/>
          <w:color w:val="FF0000"/>
          <w:sz w:val="24"/>
          <w:szCs w:val="24"/>
          <w:lang w:val="fr-LU" w:eastAsia="fr-BE"/>
        </w:rPr>
      </w:pPr>
    </w:p>
    <w:p w14:paraId="751FD4D4" w14:textId="1B51823B" w:rsidR="000147DB" w:rsidRPr="003E7524" w:rsidRDefault="000147DB" w:rsidP="000147DB">
      <w:pPr>
        <w:autoSpaceDE w:val="0"/>
        <w:autoSpaceDN w:val="0"/>
        <w:adjustRightInd w:val="0"/>
        <w:spacing w:after="0"/>
        <w:jc w:val="both"/>
        <w:rPr>
          <w:color w:val="FF0000"/>
          <w:sz w:val="24"/>
          <w:szCs w:val="24"/>
          <w:rFonts w:cs="TimesNewRoman"/>
        </w:rPr>
      </w:pPr>
      <w:r>
        <w:rPr>
          <w:color w:val="FF0000"/>
          <w:sz w:val="24"/>
          <w:szCs w:val="24"/>
        </w:rPr>
        <w:t xml:space="preserve">Bøderne skal betales inden to måneder efter den skriftlige meddelelse om beslutningen.</w:t>
      </w:r>
    </w:p>
    <w:p w14:paraId="6134B9EE" w14:textId="77777777" w:rsidR="000147DB" w:rsidRPr="003E7524" w:rsidRDefault="000147DB" w:rsidP="000147DB">
      <w:pPr>
        <w:autoSpaceDE w:val="0"/>
        <w:autoSpaceDN w:val="0"/>
        <w:adjustRightInd w:val="0"/>
        <w:spacing w:after="0"/>
        <w:jc w:val="both"/>
        <w:rPr>
          <w:rFonts w:cs="TimesNewRoman"/>
          <w:color w:val="FF0000"/>
          <w:sz w:val="24"/>
          <w:szCs w:val="24"/>
          <w:lang w:val="fr-LU" w:eastAsia="fr-BE"/>
        </w:rPr>
      </w:pPr>
    </w:p>
    <w:p w14:paraId="3ECDD579" w14:textId="77777777" w:rsidR="000147DB" w:rsidRPr="003E7524" w:rsidRDefault="000147DB" w:rsidP="000147DB">
      <w:pPr>
        <w:autoSpaceDE w:val="0"/>
        <w:autoSpaceDN w:val="0"/>
        <w:adjustRightInd w:val="0"/>
        <w:spacing w:after="0"/>
        <w:jc w:val="both"/>
        <w:rPr>
          <w:color w:val="FF0000"/>
          <w:sz w:val="24"/>
          <w:szCs w:val="24"/>
          <w:rFonts w:cs="TimesNewRoman"/>
        </w:rPr>
      </w:pPr>
      <w:r>
        <w:rPr>
          <w:color w:val="FF0000"/>
          <w:sz w:val="24"/>
          <w:szCs w:val="24"/>
        </w:rPr>
        <w:t xml:space="preserve">De administrative bøder opkræves af Administration de l’enregistrement, des domaines et de la TVA.</w:t>
      </w:r>
      <w:r>
        <w:rPr>
          <w:color w:val="FF0000"/>
          <w:sz w:val="24"/>
          <w:szCs w:val="24"/>
        </w:rPr>
        <w:t xml:space="preserve"> </w:t>
      </w:r>
      <w:r>
        <w:rPr>
          <w:color w:val="FF0000"/>
          <w:sz w:val="24"/>
          <w:szCs w:val="24"/>
        </w:rPr>
        <w:t xml:space="preserve">Tilbagesøgningen sker på samme måde som ved registreringsafgifter.</w:t>
      </w:r>
    </w:p>
    <w:p w14:paraId="79836004" w14:textId="77777777" w:rsidR="000147DB" w:rsidRPr="003E7524" w:rsidRDefault="000147DB" w:rsidP="000147DB">
      <w:pPr>
        <w:spacing w:after="0" w:line="240" w:lineRule="auto"/>
        <w:jc w:val="both"/>
        <w:rPr>
          <w:rFonts w:eastAsia="Times New Roman" w:cs="Arial"/>
          <w:b/>
          <w:color w:val="FF0000"/>
          <w:u w:val="single"/>
          <w:lang w:val="fr-LU" w:eastAsia="fr-FR"/>
        </w:rPr>
      </w:pPr>
    </w:p>
    <w:p w14:paraId="40076A38" w14:textId="77777777" w:rsidR="000147DB" w:rsidRPr="003E7524" w:rsidRDefault="000147DB" w:rsidP="000147DB">
      <w:pPr>
        <w:spacing w:after="0" w:line="240" w:lineRule="auto"/>
        <w:jc w:val="both"/>
        <w:rPr>
          <w:rFonts w:eastAsia="Times New Roman" w:cs="Arial"/>
          <w:b/>
          <w:u w:val="single"/>
          <w:lang w:val="fr-FR" w:eastAsia="fr-FR"/>
        </w:rPr>
      </w:pPr>
    </w:p>
    <w:p w14:paraId="7782CE6B" w14:textId="77777777" w:rsidR="000147DB" w:rsidRPr="003E7524" w:rsidRDefault="000147DB" w:rsidP="000147DB">
      <w:pPr>
        <w:spacing w:after="0" w:line="240" w:lineRule="auto"/>
        <w:jc w:val="both"/>
        <w:rPr>
          <w:rFonts w:eastAsia="Times New Roman" w:cs="Arial"/>
          <w:b/>
          <w:u w:val="single"/>
          <w:lang w:val="fr-FR" w:eastAsia="fr-FR"/>
        </w:rPr>
      </w:pPr>
    </w:p>
    <w:p w14:paraId="7035C42C" w14:textId="77777777" w:rsidR="000147DB" w:rsidRPr="003E7524" w:rsidRDefault="000147DB" w:rsidP="000147DB">
      <w:pPr>
        <w:spacing w:after="0" w:line="240" w:lineRule="auto"/>
        <w:jc w:val="both"/>
        <w:rPr>
          <w:rFonts w:eastAsia="Times New Roman" w:cs="Arial"/>
          <w:b/>
          <w:u w:val="single"/>
          <w:lang w:val="fr-FR" w:eastAsia="fr-FR"/>
        </w:rPr>
      </w:pPr>
    </w:p>
    <w:p w14:paraId="59B3BC00" w14:textId="77777777" w:rsidR="000147DB" w:rsidRPr="003E7524" w:rsidRDefault="000147DB" w:rsidP="00B972B3">
      <w:pPr>
        <w:keepNext/>
        <w:keepLines/>
        <w:spacing w:after="0" w:line="240" w:lineRule="auto"/>
        <w:jc w:val="both"/>
        <w:rPr>
          <w:b/>
          <w:bCs/>
          <w:iCs/>
          <w:rFonts w:eastAsia="Times New Roman" w:cs="Arial"/>
        </w:rPr>
      </w:pPr>
      <w:r>
        <w:rPr>
          <w:b/>
          <w:bCs/>
        </w:rPr>
        <w:t xml:space="preserve">Artikel 21.</w:t>
      </w:r>
      <w:r>
        <w:rPr>
          <w:b/>
          <w:bCs/>
        </w:rPr>
        <w:t xml:space="preserve"> </w:t>
      </w:r>
      <w:r>
        <w:rPr>
          <w:b/>
          <w:bCs/>
          <w:iCs/>
        </w:rPr>
        <w:t xml:space="preserve">Administrative foranstaltninger</w:t>
      </w:r>
    </w:p>
    <w:p w14:paraId="5F403B1E" w14:textId="77777777" w:rsidR="000147DB" w:rsidRPr="003E7524" w:rsidRDefault="000147DB" w:rsidP="00B972B3">
      <w:pPr>
        <w:keepNext/>
        <w:keepLines/>
        <w:spacing w:after="0" w:line="240" w:lineRule="auto"/>
        <w:jc w:val="both"/>
        <w:rPr>
          <w:rFonts w:eastAsia="Times New Roman" w:cs="Arial"/>
          <w:b/>
          <w:bCs/>
          <w:iCs/>
          <w:lang w:val="fr-FR" w:eastAsia="fr-FR"/>
        </w:rPr>
      </w:pPr>
    </w:p>
    <w:p w14:paraId="3E28D60D" w14:textId="20FDE3DB" w:rsidR="000147DB" w:rsidRPr="003E7524" w:rsidRDefault="000147DB" w:rsidP="00B972B3">
      <w:pPr>
        <w:keepNext/>
        <w:keepLines/>
        <w:spacing w:after="0" w:line="240" w:lineRule="auto"/>
        <w:jc w:val="both"/>
        <w:rPr>
          <w:rFonts w:eastAsia="Times New Roman" w:cs="Arial"/>
        </w:rPr>
      </w:pPr>
      <w:r>
        <w:t xml:space="preserve">Stk. 1. I tilfælde af manglende overholdelse af de stadfæstede bestemmelser i artikel 19, </w:t>
      </w:r>
      <w:r>
        <w:rPr>
          <w:color w:val="FF0000"/>
          <w:strike/>
        </w:rPr>
        <w:t xml:space="preserve">stk. 1,</w:t>
      </w:r>
      <w:r>
        <w:rPr>
          <w:color w:val="FF0000"/>
          <w:iCs/>
        </w:rPr>
        <w:t xml:space="preserve"> </w:t>
      </w:r>
      <w:r>
        <w:t xml:space="preserve"> i nærværende lov, kan ministeren:</w:t>
      </w:r>
    </w:p>
    <w:p w14:paraId="3FA876A2" w14:textId="77777777" w:rsidR="000147DB" w:rsidRPr="00B972B3" w:rsidRDefault="000147DB" w:rsidP="000147DB">
      <w:pPr>
        <w:spacing w:after="0" w:line="240" w:lineRule="auto"/>
        <w:jc w:val="both"/>
        <w:rPr>
          <w:spacing w:val="-4"/>
          <w:rFonts w:eastAsia="Times New Roman" w:cs="Arial"/>
        </w:rPr>
      </w:pPr>
      <w:r>
        <w:t xml:space="preserve">fastsætte en frist, inden for hvilken den emballageansvarlige, det autoriserede organ eller en anden berørt person skal efterkomme disse bestemmelser. Fristen kan være på højst to år</w:t>
      </w:r>
    </w:p>
    <w:p w14:paraId="3CDBEA63" w14:textId="11412CF2" w:rsidR="000147DB" w:rsidRPr="003E7524" w:rsidRDefault="000147DB" w:rsidP="000147DB">
      <w:pPr>
        <w:autoSpaceDE w:val="0"/>
        <w:autoSpaceDN w:val="0"/>
        <w:adjustRightInd w:val="0"/>
        <w:spacing w:after="0" w:line="276" w:lineRule="auto"/>
        <w:jc w:val="both"/>
        <w:rPr>
          <w:color w:val="FF0000"/>
          <w:sz w:val="24"/>
          <w:szCs w:val="24"/>
          <w:rFonts w:cs="TimesNewRoman"/>
        </w:rPr>
      </w:pPr>
      <w:r>
        <w:rPr>
          <w:color w:val="FF0000"/>
          <w:sz w:val="24"/>
          <w:szCs w:val="24"/>
        </w:rPr>
        <w:t xml:space="preserve">2) foranledige hel eller delvis afbrydelse af den emballageansvarliges eller det autoriserede organs aktivitet eller driften af anlægget eller få lukket anlægget helt eller delvist og foretage forseglinger eller forbyde markedsføring eller pålægge tilbagetrækning af emballage og emballageaffald, som er omtalt i nærværende lov.</w:t>
      </w:r>
      <w:r>
        <w:rPr>
          <w:color w:val="FF0000"/>
          <w:sz w:val="24"/>
          <w:szCs w:val="24"/>
        </w:rPr>
        <w:t xml:space="preserve"> </w:t>
      </w:r>
    </w:p>
    <w:p w14:paraId="5BBBA105" w14:textId="77777777" w:rsidR="000147DB" w:rsidRPr="003E7524" w:rsidRDefault="000147DB" w:rsidP="000147DB">
      <w:pPr>
        <w:spacing w:after="0" w:line="240" w:lineRule="auto"/>
        <w:jc w:val="both"/>
        <w:rPr>
          <w:rFonts w:eastAsia="Times New Roman" w:cs="Arial"/>
          <w:lang w:val="fr-LU" w:eastAsia="fr-FR"/>
        </w:rPr>
      </w:pPr>
    </w:p>
    <w:p w14:paraId="481D1A7A" w14:textId="77777777" w:rsidR="000147DB" w:rsidRPr="003E7524" w:rsidRDefault="000147DB" w:rsidP="000147DB">
      <w:pPr>
        <w:spacing w:after="0" w:line="240" w:lineRule="auto"/>
        <w:jc w:val="both"/>
        <w:rPr>
          <w:rFonts w:eastAsia="Times New Roman" w:cs="Arial"/>
          <w:lang w:val="fr-FR" w:eastAsia="fr-FR"/>
        </w:rPr>
      </w:pPr>
    </w:p>
    <w:p w14:paraId="1F8D961C" w14:textId="77777777" w:rsidR="000147DB" w:rsidRPr="003E7524" w:rsidRDefault="000147DB" w:rsidP="000147DB">
      <w:pPr>
        <w:spacing w:after="0" w:line="240" w:lineRule="auto"/>
        <w:jc w:val="both"/>
        <w:rPr>
          <w:rFonts w:eastAsia="Times New Roman" w:cs="Arial"/>
        </w:rPr>
      </w:pPr>
      <w:r>
        <w:t xml:space="preserve">Stk. 2. Enhver interesseret kan begære foranstaltningerne i stk. 1 anvendt</w:t>
      </w:r>
    </w:p>
    <w:p w14:paraId="15C47735" w14:textId="77777777" w:rsidR="000147DB" w:rsidRPr="003E7524" w:rsidRDefault="000147DB" w:rsidP="000147DB">
      <w:pPr>
        <w:spacing w:after="0" w:line="240" w:lineRule="auto"/>
        <w:jc w:val="both"/>
        <w:rPr>
          <w:rFonts w:eastAsia="Times New Roman" w:cs="Arial"/>
        </w:rPr>
      </w:pPr>
      <w:r>
        <w:t xml:space="preserve">Stk. 3. Foranstaltningerne i stk. 1</w:t>
      </w:r>
      <w:r>
        <w:rPr>
          <w:iCs/>
          <w:color w:val="000000"/>
        </w:rPr>
        <w:t xml:space="preserve"> </w:t>
      </w:r>
      <w:r>
        <w:t xml:space="preserve">ophæves, når den emballageansvarlige, det autoriserede organ eller en anden berørt person har efterkommet dem.</w:t>
      </w:r>
    </w:p>
    <w:p w14:paraId="2D1DE739" w14:textId="77777777" w:rsidR="000147DB" w:rsidRPr="003E7524" w:rsidRDefault="000147DB" w:rsidP="000147DB">
      <w:pPr>
        <w:spacing w:after="0" w:line="240" w:lineRule="auto"/>
        <w:jc w:val="both"/>
        <w:rPr>
          <w:rFonts w:eastAsia="Times New Roman" w:cs="Arial"/>
          <w:b/>
          <w:bCs/>
          <w:lang w:val="fr-FR" w:eastAsia="fr-FR"/>
        </w:rPr>
      </w:pPr>
    </w:p>
    <w:p w14:paraId="6F3C4DAC" w14:textId="77777777" w:rsidR="000147DB" w:rsidRPr="003E7524" w:rsidRDefault="000147DB" w:rsidP="00B972B3">
      <w:pPr>
        <w:keepNext/>
        <w:keepLines/>
        <w:spacing w:after="0" w:line="240" w:lineRule="auto"/>
        <w:jc w:val="both"/>
        <w:rPr>
          <w:rFonts w:eastAsia="Times New Roman" w:cs="Arial"/>
        </w:rPr>
      </w:pPr>
      <w:r>
        <w:rPr>
          <w:b/>
          <w:bCs/>
        </w:rPr>
        <w:t xml:space="preserve">Artikel 22.</w:t>
      </w:r>
      <w:r>
        <w:rPr>
          <w:b/>
          <w:bCs/>
        </w:rPr>
        <w:t xml:space="preserve"> </w:t>
      </w:r>
      <w:r>
        <w:rPr>
          <w:b/>
          <w:bCs/>
          <w:iCs/>
        </w:rPr>
        <w:t xml:space="preserve">Klagemuligheder</w:t>
      </w:r>
    </w:p>
    <w:p w14:paraId="777CA2C3" w14:textId="77777777" w:rsidR="000147DB" w:rsidRPr="003E7524" w:rsidRDefault="000147DB" w:rsidP="000147DB">
      <w:pPr>
        <w:spacing w:after="0" w:line="240" w:lineRule="auto"/>
        <w:jc w:val="both"/>
        <w:rPr>
          <w:rFonts w:eastAsia="Times New Roman" w:cs="Arial"/>
        </w:rPr>
      </w:pPr>
      <w:r>
        <w:t xml:space="preserve">Der anlægges en sag for forvaltningsdomstolen til prøvelse af de trufne afgørelser i medfør af nærværende lov.</w:t>
      </w:r>
      <w:r>
        <w:t xml:space="preserve"> </w:t>
      </w:r>
      <w:r>
        <w:t xml:space="preserve">Denne sag skal ophæves inden for en frist på fyrre dage efter datoen for meddelelsen af afgørelsen.</w:t>
      </w:r>
      <w:r>
        <w:t xml:space="preserve"> </w:t>
      </w:r>
      <w:r>
        <w:t xml:space="preserve">Der er ligeledes klageadgang for sammenslutninger og organisationer som nævnt i artikel 23.</w:t>
      </w:r>
    </w:p>
    <w:p w14:paraId="037D069C" w14:textId="77777777" w:rsidR="000147DB" w:rsidRPr="003E7524" w:rsidRDefault="000147DB" w:rsidP="000147DB">
      <w:pPr>
        <w:spacing w:after="0" w:line="240" w:lineRule="auto"/>
        <w:jc w:val="both"/>
        <w:rPr>
          <w:rFonts w:eastAsia="Times New Roman" w:cs="Arial"/>
          <w:lang w:val="fr-FR" w:eastAsia="fr-FR"/>
        </w:rPr>
      </w:pPr>
    </w:p>
    <w:p w14:paraId="6E733435" w14:textId="77777777" w:rsidR="000147DB" w:rsidRPr="003E7524" w:rsidRDefault="000147DB" w:rsidP="00B972B3">
      <w:pPr>
        <w:keepNext/>
        <w:keepLines/>
        <w:spacing w:after="0" w:line="240" w:lineRule="auto"/>
        <w:jc w:val="both"/>
        <w:rPr>
          <w:color w:val="000000"/>
          <w:rFonts w:eastAsia="Times New Roman" w:cs="Arial"/>
        </w:rPr>
      </w:pPr>
      <w:r>
        <w:rPr>
          <w:b/>
          <w:bCs/>
          <w:color w:val="000000"/>
        </w:rPr>
        <w:t xml:space="preserve">Artikel 23.</w:t>
      </w:r>
      <w:r>
        <w:rPr>
          <w:b/>
          <w:bCs/>
          <w:color w:val="000000"/>
        </w:rPr>
        <w:t xml:space="preserve"> </w:t>
      </w:r>
      <w:r>
        <w:rPr>
          <w:b/>
          <w:bCs/>
          <w:color w:val="000000"/>
          <w:iCs/>
        </w:rPr>
        <w:t xml:space="preserve">Godkendte miljøorganisationers muligheder for at gå til retten</w:t>
      </w:r>
    </w:p>
    <w:p w14:paraId="54A6D588" w14:textId="7234A958" w:rsidR="000147DB" w:rsidRPr="003E7524" w:rsidRDefault="000147DB" w:rsidP="000147DB">
      <w:pPr>
        <w:spacing w:after="0" w:line="240" w:lineRule="auto"/>
        <w:jc w:val="both"/>
        <w:rPr>
          <w:color w:val="000000"/>
          <w:rFonts w:eastAsia="Times New Roman" w:cs="Arial"/>
        </w:rPr>
      </w:pPr>
      <w:r>
        <w:rPr>
          <w:color w:val="000000"/>
        </w:rPr>
        <w:t xml:space="preserve">Godkendte sammenslutninger og organisationer i medfør af lov af 21. marts 2012 kan udøve de på det civilretlige område anerkendte rettigheder, hvad angår de omstændigheder, der udgør en lovovertrædelse i henhold til denne lov, og som er til direkte eller indirekte skade for de kollektive interesser, som de har til formål at forsvare, selvom de ikke kan berettige til en materiel interesse, og selvom den kollektive interesse, hvori de handler, svarer fuldstændig til den sociale interesse, som forsvares af anklagemyndigheden.</w:t>
      </w:r>
      <w:r>
        <w:rPr>
          <w:color w:val="000000"/>
        </w:rPr>
        <w:t xml:space="preserve"> </w:t>
      </w:r>
      <w:r>
        <w:rPr>
          <w:color w:val="000000"/>
        </w:rPr>
        <w:t xml:space="preserve">Det samme gælder sammenslutninger og organisationer underlagt udenlandsk lov, der har status som juridisk person, og som udfører deres vedtægtsmæssige aktiviteter på miljøbeskyttelsesområdet.</w:t>
      </w:r>
    </w:p>
    <w:p w14:paraId="1F5A9B0C" w14:textId="77777777" w:rsidR="000147DB" w:rsidRPr="003E7524" w:rsidRDefault="000147DB" w:rsidP="000147DB">
      <w:pPr>
        <w:spacing w:after="0" w:line="240" w:lineRule="auto"/>
        <w:jc w:val="both"/>
        <w:rPr>
          <w:rFonts w:eastAsia="Times New Roman" w:cs="Arial"/>
          <w:lang w:val="fr-FR" w:eastAsia="fr-FR"/>
        </w:rPr>
      </w:pPr>
    </w:p>
    <w:p w14:paraId="71FAF0A0" w14:textId="77777777" w:rsidR="000147DB" w:rsidRPr="003E7524" w:rsidRDefault="000147DB" w:rsidP="000147DB">
      <w:pPr>
        <w:spacing w:after="0" w:line="240" w:lineRule="auto"/>
        <w:jc w:val="both"/>
        <w:rPr>
          <w:rFonts w:eastAsia="Times New Roman" w:cs="Arial"/>
          <w:lang w:val="fr-FR" w:eastAsia="fr-FR"/>
        </w:rPr>
      </w:pPr>
    </w:p>
    <w:p w14:paraId="42EE1F17" w14:textId="77777777" w:rsidR="000147DB" w:rsidRPr="003E7524" w:rsidRDefault="00747C65" w:rsidP="00B972B3">
      <w:pPr>
        <w:keepNext/>
        <w:keepLines/>
        <w:autoSpaceDE w:val="0"/>
        <w:autoSpaceDN w:val="0"/>
        <w:adjustRightInd w:val="0"/>
        <w:spacing w:after="0" w:line="240" w:lineRule="auto"/>
        <w:jc w:val="both"/>
        <w:rPr>
          <w:color w:val="FF0000"/>
          <w:sz w:val="24"/>
          <w:szCs w:val="24"/>
          <w:u w:val="single"/>
          <w:rFonts w:cs="TimesNewRoman"/>
        </w:rPr>
      </w:pPr>
      <w:r>
        <w:rPr>
          <w:color w:val="FF0000"/>
          <w:sz w:val="24"/>
          <w:szCs w:val="24"/>
          <w:u w:val="single"/>
        </w:rPr>
        <w:t xml:space="preserve">Artikel 24.</w:t>
      </w:r>
      <w:r>
        <w:rPr>
          <w:color w:val="FF0000"/>
          <w:sz w:val="24"/>
          <w:szCs w:val="24"/>
          <w:u w:val="single"/>
        </w:rPr>
        <w:t xml:space="preserve"> </w:t>
      </w:r>
      <w:r>
        <w:rPr>
          <w:color w:val="FF0000"/>
          <w:sz w:val="24"/>
          <w:szCs w:val="24"/>
          <w:u w:val="single"/>
        </w:rPr>
        <w:t xml:space="preserve">Bilag</w:t>
      </w:r>
      <w:r>
        <w:rPr>
          <w:color w:val="FF0000"/>
          <w:sz w:val="24"/>
          <w:szCs w:val="24"/>
          <w:u w:val="single"/>
        </w:rPr>
        <w:t xml:space="preserve"> </w:t>
      </w:r>
    </w:p>
    <w:p w14:paraId="442B7DA9" w14:textId="77777777" w:rsidR="000147DB" w:rsidRPr="003E7524" w:rsidRDefault="000147DB" w:rsidP="00B972B3">
      <w:pPr>
        <w:keepNext/>
        <w:keepLines/>
        <w:autoSpaceDE w:val="0"/>
        <w:autoSpaceDN w:val="0"/>
        <w:adjustRightInd w:val="0"/>
        <w:spacing w:after="0" w:line="240" w:lineRule="auto"/>
        <w:jc w:val="both"/>
        <w:rPr>
          <w:rFonts w:cs="TimesNewRoman"/>
          <w:color w:val="FF0000"/>
          <w:sz w:val="24"/>
          <w:szCs w:val="24"/>
          <w:u w:val="single"/>
          <w:lang w:val="fr-LU" w:eastAsia="fr-BE"/>
        </w:rPr>
      </w:pPr>
    </w:p>
    <w:p w14:paraId="5380A119" w14:textId="5396EE1C" w:rsidR="000147DB" w:rsidRPr="003E7524" w:rsidRDefault="000147DB" w:rsidP="000147DB">
      <w:pPr>
        <w:autoSpaceDE w:val="0"/>
        <w:autoSpaceDN w:val="0"/>
        <w:adjustRightInd w:val="0"/>
        <w:spacing w:after="0" w:line="240" w:lineRule="auto"/>
        <w:jc w:val="both"/>
        <w:rPr>
          <w:b/>
          <w:color w:val="FF0000"/>
          <w:sz w:val="24"/>
          <w:szCs w:val="24"/>
          <w:rFonts w:cs="TimesNewRoman"/>
        </w:rPr>
      </w:pPr>
      <w:r>
        <w:rPr>
          <w:b/>
          <w:color w:val="FF0000"/>
          <w:sz w:val="24"/>
          <w:szCs w:val="24"/>
        </w:rPr>
        <w:t xml:space="preserve">Artikel 24.</w:t>
      </w:r>
      <w:r>
        <w:rPr>
          <w:b/>
          <w:color w:val="FF0000"/>
          <w:sz w:val="24"/>
          <w:szCs w:val="24"/>
        </w:rPr>
        <w:t xml:space="preserve"> </w:t>
      </w:r>
      <w:r>
        <w:rPr>
          <w:b/>
          <w:color w:val="FF0000"/>
          <w:sz w:val="24"/>
          <w:szCs w:val="24"/>
        </w:rPr>
        <w:t xml:space="preserve">Ændringer i bilag I til Europa-Parlamentets og Rådets direktiv 94/62/EF af 20. december 1994 om emballage og emballageaffald, som ændret ved Europa-Kommissionens delegerede retsakter i overensstemmelse med artikel 19, stk. 2, artikel 21a i dette direktiv.</w:t>
      </w:r>
    </w:p>
    <w:p w14:paraId="08B11AB8" w14:textId="77777777" w:rsidR="000147DB" w:rsidRPr="003E7524" w:rsidRDefault="000147DB" w:rsidP="000147DB">
      <w:pPr>
        <w:autoSpaceDE w:val="0"/>
        <w:autoSpaceDN w:val="0"/>
        <w:adjustRightInd w:val="0"/>
        <w:spacing w:after="0" w:line="240" w:lineRule="auto"/>
        <w:jc w:val="both"/>
        <w:rPr>
          <w:rFonts w:cs="TimesNewRoman"/>
          <w:b/>
          <w:color w:val="FF0000"/>
          <w:sz w:val="24"/>
          <w:szCs w:val="24"/>
          <w:lang w:val="fr-LU" w:eastAsia="fr-BE"/>
        </w:rPr>
      </w:pPr>
    </w:p>
    <w:p w14:paraId="0D5AC822" w14:textId="77777777" w:rsidR="000147DB" w:rsidRPr="003E7524" w:rsidRDefault="000147DB" w:rsidP="000147DB">
      <w:pPr>
        <w:autoSpaceDE w:val="0"/>
        <w:autoSpaceDN w:val="0"/>
        <w:adjustRightInd w:val="0"/>
        <w:spacing w:after="0" w:line="240" w:lineRule="auto"/>
        <w:jc w:val="both"/>
        <w:rPr>
          <w:color w:val="FF0000"/>
          <w:sz w:val="24"/>
          <w:szCs w:val="24"/>
          <w:rFonts w:cs="TimesNewRoman"/>
        </w:rPr>
      </w:pPr>
      <w:r>
        <w:rPr>
          <w:color w:val="FF0000"/>
          <w:sz w:val="24"/>
          <w:szCs w:val="24"/>
        </w:rPr>
        <w:t xml:space="preserve">Ændringerne i bilaget til Europa-Parlamentets og Rådets direktiv 94/62/EF af 20. december 1994 om emballage og emballageaffald, som ændret ved Europa-Kommissionens delegerede retsakter i overensstemmelse med artikel 19, stk. 2, og artikel 21a i dette direktiv finder anvendelse med virkning fra dagen for ikrafttræden af de dermed forbundne retsakter fra Europa-Kommissionen.</w:t>
      </w:r>
    </w:p>
    <w:p w14:paraId="6EBC782C" w14:textId="77777777" w:rsidR="000147DB" w:rsidRPr="003E7524" w:rsidRDefault="000147DB" w:rsidP="000147DB">
      <w:pPr>
        <w:autoSpaceDE w:val="0"/>
        <w:autoSpaceDN w:val="0"/>
        <w:adjustRightInd w:val="0"/>
        <w:spacing w:after="0" w:line="240" w:lineRule="auto"/>
        <w:jc w:val="both"/>
        <w:rPr>
          <w:color w:val="FF0000"/>
          <w:sz w:val="24"/>
          <w:szCs w:val="24"/>
          <w:rFonts w:cs="TimesNewRoman"/>
        </w:rPr>
      </w:pPr>
      <w:r>
        <w:rPr>
          <w:color w:val="FF0000"/>
          <w:sz w:val="24"/>
          <w:szCs w:val="24"/>
        </w:rPr>
        <w:t xml:space="preserve">Ministeren offentliggør en udtalelse i det officielle tidende for Storhertugdømmet Luxembourg, som informerer om de ændringer, der har fundet sted, og tilføjer en henvisning til den retsakt, der er blevet offentliggjort i Den Europæiske Unions Tidende.</w:t>
      </w:r>
      <w:r>
        <w:rPr>
          <w:color w:val="FF0000"/>
          <w:sz w:val="24"/>
          <w:szCs w:val="24"/>
        </w:rPr>
        <w:t xml:space="preserve"> </w:t>
      </w:r>
    </w:p>
    <w:p w14:paraId="4F5B1630" w14:textId="77777777" w:rsidR="000147DB" w:rsidRPr="003E7524" w:rsidRDefault="000147DB" w:rsidP="000147DB">
      <w:pPr>
        <w:autoSpaceDE w:val="0"/>
        <w:autoSpaceDN w:val="0"/>
        <w:adjustRightInd w:val="0"/>
        <w:spacing w:after="0" w:line="240" w:lineRule="auto"/>
        <w:jc w:val="both"/>
        <w:rPr>
          <w:rFonts w:cs="TimesNewRoman"/>
          <w:sz w:val="24"/>
          <w:szCs w:val="24"/>
          <w:lang w:val="fr-LU" w:eastAsia="fr-BE"/>
        </w:rPr>
      </w:pPr>
    </w:p>
    <w:p w14:paraId="746EFFFC" w14:textId="77777777" w:rsidR="000147DB" w:rsidRPr="003E7524" w:rsidRDefault="000147DB" w:rsidP="000147DB">
      <w:pPr>
        <w:spacing w:after="0" w:line="240" w:lineRule="auto"/>
        <w:jc w:val="both"/>
        <w:rPr>
          <w:rFonts w:ascii="Times New Roman" w:eastAsia="Times New Roman" w:hAnsi="Times New Roman" w:cs="Times New Roman"/>
          <w:sz w:val="24"/>
          <w:szCs w:val="24"/>
          <w:lang w:val="fr-FR" w:eastAsia="fr-FR"/>
        </w:rPr>
      </w:pPr>
    </w:p>
    <w:p w14:paraId="615F4A80" w14:textId="6951941F" w:rsidR="000147DB" w:rsidRPr="003E7524" w:rsidRDefault="000147DB" w:rsidP="000147DB">
      <w:pPr>
        <w:spacing w:after="200" w:line="276" w:lineRule="auto"/>
        <w:rPr>
          <w:rFonts w:eastAsia="Times New Roman" w:cs="Arial"/>
          <w:b/>
          <w:color w:val="000000"/>
          <w:lang w:val="fr-FR" w:eastAsia="fr-FR"/>
        </w:rPr>
      </w:pPr>
    </w:p>
    <w:p w14:paraId="1FB9F654" w14:textId="77777777" w:rsidR="000147DB" w:rsidRPr="003E7524" w:rsidRDefault="000147DB" w:rsidP="00B972B3">
      <w:pPr>
        <w:keepNext/>
        <w:keepLines/>
        <w:pageBreakBefore/>
        <w:spacing w:after="0" w:line="240" w:lineRule="auto"/>
        <w:jc w:val="center"/>
        <w:rPr>
          <w:b/>
          <w:color w:val="000000"/>
          <w:rFonts w:eastAsia="Times New Roman" w:cs="Arial"/>
        </w:rPr>
      </w:pPr>
      <w:r>
        <w:rPr>
          <w:b/>
          <w:color w:val="000000"/>
        </w:rPr>
        <w:t xml:space="preserve">BILAG I</w:t>
      </w:r>
    </w:p>
    <w:p w14:paraId="3C2BC896" w14:textId="77777777" w:rsidR="000147DB" w:rsidRPr="003E7524" w:rsidRDefault="000147DB" w:rsidP="00B972B3">
      <w:pPr>
        <w:keepNext/>
        <w:keepLines/>
        <w:spacing w:after="0" w:line="240" w:lineRule="auto"/>
        <w:jc w:val="center"/>
        <w:rPr>
          <w:b/>
          <w:bCs/>
          <w:color w:val="000000"/>
          <w:rFonts w:eastAsia="Times New Roman" w:cs="Arial"/>
        </w:rPr>
      </w:pPr>
      <w:r>
        <w:rPr>
          <w:b/>
          <w:bCs/>
          <w:color w:val="000000"/>
        </w:rPr>
        <w:t xml:space="preserve">Væsentlige krav vedrørende sammensætningen og muligheden for genbrug og nyttiggørelse (navnlig genanvendelse) af emballage</w:t>
      </w:r>
    </w:p>
    <w:p w14:paraId="76BAF4AF" w14:textId="77777777" w:rsidR="000147DB" w:rsidRPr="003E7524" w:rsidRDefault="000147DB" w:rsidP="00B972B3">
      <w:pPr>
        <w:keepNext/>
        <w:keepLines/>
        <w:spacing w:after="0" w:line="240" w:lineRule="auto"/>
        <w:jc w:val="center"/>
        <w:rPr>
          <w:rFonts w:eastAsia="Times New Roman" w:cs="Arial"/>
          <w:color w:val="000000"/>
          <w:lang w:val="fr-FR" w:eastAsia="fr-FR"/>
        </w:rPr>
      </w:pPr>
    </w:p>
    <w:p w14:paraId="7D49E7BD" w14:textId="77777777" w:rsidR="000147DB" w:rsidRPr="003E7524" w:rsidRDefault="000147DB" w:rsidP="00B972B3">
      <w:pPr>
        <w:keepNext/>
        <w:keepLines/>
        <w:spacing w:after="0" w:line="240" w:lineRule="auto"/>
        <w:jc w:val="center"/>
        <w:rPr>
          <w:rFonts w:eastAsia="Times New Roman" w:cs="Arial"/>
        </w:rPr>
      </w:pPr>
      <w:r>
        <w:rPr>
          <w:b/>
          <w:bCs/>
        </w:rPr>
        <w:t xml:space="preserve">1) </w:t>
      </w:r>
      <w:r>
        <w:rPr>
          <w:b/>
          <w:bCs/>
          <w:iCs/>
        </w:rPr>
        <w:t xml:space="preserve">Krav vedrørende fremstilling og sammensætning af emballagen</w:t>
      </w:r>
    </w:p>
    <w:p w14:paraId="174C3BC4" w14:textId="77777777" w:rsidR="000147DB" w:rsidRPr="003E7524" w:rsidRDefault="000147DB" w:rsidP="000147DB">
      <w:pPr>
        <w:spacing w:after="0" w:line="240" w:lineRule="auto"/>
        <w:jc w:val="both"/>
        <w:rPr>
          <w:color w:val="000000"/>
          <w:rFonts w:eastAsia="Times New Roman" w:cs="Arial"/>
        </w:rPr>
      </w:pPr>
      <w:r>
        <w:rPr>
          <w:color w:val="000000"/>
        </w:rPr>
        <w:t xml:space="preserve">a) Emballagen fremstilles på en sådan måde, at dens mængde og dens nødvendige minimumsvægt begrænses, med henblik på at sikre det påkrævede sikkerheds-, hygiejne- og acceptabilitetsniveau både for det emballerede produkt og forbrugeren.</w:t>
      </w:r>
    </w:p>
    <w:p w14:paraId="629D9CA7" w14:textId="17BC5018" w:rsidR="000147DB" w:rsidRPr="003E7524" w:rsidRDefault="000147DB" w:rsidP="000147DB">
      <w:pPr>
        <w:autoSpaceDE w:val="0"/>
        <w:autoSpaceDN w:val="0"/>
        <w:adjustRightInd w:val="0"/>
        <w:spacing w:after="0"/>
        <w:jc w:val="both"/>
        <w:rPr>
          <w:color w:val="FF0000"/>
          <w:sz w:val="24"/>
          <w:szCs w:val="24"/>
          <w:rFonts w:cs="TimesNewRoman"/>
        </w:rPr>
      </w:pPr>
      <w:r>
        <w:rPr>
          <w:color w:val="FF0000"/>
          <w:sz w:val="24"/>
          <w:szCs w:val="24"/>
        </w:rPr>
        <w:t xml:space="preserve">b) Emballagen udvikles, fremstilles og markedsføres således, at den kan genbruges eller nyttiggøres, herunder genanvendes, i overensstemmelse med affaldshierarkiet, og begrænse dens skadelige virkninger på miljøet i forbindelse med bortskaffelse af emballageaffald eller restprodukter fra håndtering af emballageaffald.</w:t>
      </w:r>
      <w:r>
        <w:rPr>
          <w:color w:val="FF0000"/>
          <w:sz w:val="24"/>
          <w:szCs w:val="24"/>
        </w:rPr>
        <w:t xml:space="preserve"> </w:t>
      </w:r>
    </w:p>
    <w:p w14:paraId="538F9353" w14:textId="77777777" w:rsidR="000147DB" w:rsidRPr="003E7524" w:rsidRDefault="000147DB" w:rsidP="000147DB">
      <w:pPr>
        <w:spacing w:after="0" w:line="240" w:lineRule="auto"/>
        <w:jc w:val="both"/>
        <w:rPr>
          <w:rFonts w:eastAsia="Times New Roman" w:cs="Arial"/>
          <w:strike/>
          <w:color w:val="FF0000"/>
          <w:lang w:val="fr-LU" w:eastAsia="fr-FR"/>
        </w:rPr>
      </w:pPr>
    </w:p>
    <w:p w14:paraId="4613BD21" w14:textId="77777777" w:rsidR="000147DB" w:rsidRPr="003E7524" w:rsidRDefault="000147DB" w:rsidP="000147DB">
      <w:pPr>
        <w:spacing w:after="0" w:line="240" w:lineRule="auto"/>
        <w:jc w:val="both"/>
        <w:rPr>
          <w:rFonts w:eastAsia="Times New Roman" w:cs="Arial"/>
          <w:strike/>
          <w:color w:val="FF0000"/>
          <w:lang w:val="fr-FR" w:eastAsia="fr-FR"/>
        </w:rPr>
      </w:pPr>
    </w:p>
    <w:p w14:paraId="7E4B7CFE" w14:textId="77777777" w:rsidR="000147DB" w:rsidRPr="003E7524" w:rsidRDefault="000147DB" w:rsidP="000147DB">
      <w:pPr>
        <w:spacing w:after="0" w:line="240" w:lineRule="auto"/>
        <w:jc w:val="both"/>
        <w:rPr>
          <w:color w:val="000000"/>
          <w:rFonts w:eastAsia="Times New Roman" w:cs="Arial"/>
        </w:rPr>
      </w:pPr>
      <w:r>
        <w:rPr>
          <w:color w:val="000000"/>
        </w:rPr>
        <w:t xml:space="preserve">c) Emballagen fremstilles på en sådan måde, at indholdet af skadelige og andre farlige stoffer og materialer som bestanddele af emballagematerialet eller af emballagekomponenterne minimeres, for så vidt angår deres tilstedeværelse i emissioner, aske eller perkolat, når emballager eller restprodukter fra håndtering af emballageaffald forbrændes eller deponeres.</w:t>
      </w:r>
    </w:p>
    <w:p w14:paraId="31070C98" w14:textId="77777777" w:rsidR="000147DB" w:rsidRPr="003E7524" w:rsidRDefault="000147DB" w:rsidP="000147DB">
      <w:pPr>
        <w:spacing w:after="0" w:line="240" w:lineRule="auto"/>
        <w:rPr>
          <w:rFonts w:eastAsia="Times New Roman" w:cs="Arial"/>
          <w:color w:val="000000"/>
          <w:lang w:val="fr-FR" w:eastAsia="fr-FR"/>
        </w:rPr>
      </w:pPr>
    </w:p>
    <w:p w14:paraId="767AE17B" w14:textId="77777777" w:rsidR="000147DB" w:rsidRPr="003E7524" w:rsidRDefault="000147DB" w:rsidP="00B972B3">
      <w:pPr>
        <w:keepNext/>
        <w:keepLines/>
        <w:spacing w:after="0" w:line="240" w:lineRule="auto"/>
        <w:jc w:val="center"/>
        <w:rPr>
          <w:color w:val="000000"/>
          <w:rFonts w:eastAsia="Times New Roman" w:cs="Arial"/>
        </w:rPr>
      </w:pPr>
      <w:r>
        <w:rPr>
          <w:b/>
          <w:bCs/>
          <w:color w:val="000000"/>
        </w:rPr>
        <w:t xml:space="preserve">2) </w:t>
      </w:r>
      <w:r>
        <w:rPr>
          <w:b/>
          <w:bCs/>
          <w:color w:val="000000"/>
          <w:iCs/>
        </w:rPr>
        <w:t xml:space="preserve">Krav vedrørende muligheden for genbrug af en emballage</w:t>
      </w:r>
    </w:p>
    <w:p w14:paraId="632929B6" w14:textId="77777777" w:rsidR="000147DB" w:rsidRPr="003E7524" w:rsidRDefault="000147DB" w:rsidP="00B972B3">
      <w:pPr>
        <w:keepNext/>
        <w:keepLines/>
        <w:spacing w:after="0" w:line="240" w:lineRule="auto"/>
        <w:jc w:val="both"/>
        <w:rPr>
          <w:color w:val="000000"/>
          <w:rFonts w:eastAsia="Times New Roman" w:cs="Arial"/>
        </w:rPr>
      </w:pPr>
      <w:r>
        <w:rPr>
          <w:color w:val="000000"/>
        </w:rPr>
        <w:t xml:space="preserve">Emballagen skal på én og samme tid være i overensstemmelse med følgende krav:</w:t>
      </w:r>
    </w:p>
    <w:p w14:paraId="3D32190A" w14:textId="77777777" w:rsidR="000147DB" w:rsidRPr="003E7524" w:rsidRDefault="000147DB" w:rsidP="000147DB">
      <w:pPr>
        <w:spacing w:after="0" w:line="240" w:lineRule="auto"/>
        <w:jc w:val="both"/>
        <w:rPr>
          <w:color w:val="000000"/>
          <w:rFonts w:eastAsia="Times New Roman" w:cs="Arial"/>
        </w:rPr>
      </w:pPr>
      <w:r>
        <w:rPr>
          <w:color w:val="000000"/>
        </w:rPr>
        <w:t xml:space="preserve">a) Dens fysiske kendetegn og dens egenskaber skal muliggøre, at den kan modstå flere strækninger eller rotationer under forudseelige anvendelsesforhold.</w:t>
      </w:r>
    </w:p>
    <w:p w14:paraId="45F75A04" w14:textId="77777777" w:rsidR="000147DB" w:rsidRPr="003E7524" w:rsidRDefault="000147DB" w:rsidP="000147DB">
      <w:pPr>
        <w:spacing w:after="0" w:line="240" w:lineRule="auto"/>
        <w:jc w:val="both"/>
        <w:rPr>
          <w:color w:val="000000"/>
          <w:rFonts w:eastAsia="Times New Roman" w:cs="Arial"/>
        </w:rPr>
      </w:pPr>
      <w:r>
        <w:rPr>
          <w:color w:val="000000"/>
        </w:rPr>
        <w:t xml:space="preserve">b) Det skal være muligt at behandle brugt emballage med henblik på opfyldelse af kravene til personalets sundhed og sikkerhed.</w:t>
      </w:r>
    </w:p>
    <w:p w14:paraId="3D452CEF" w14:textId="77777777" w:rsidR="000147DB" w:rsidRPr="003E7524" w:rsidRDefault="000147DB" w:rsidP="000147DB">
      <w:pPr>
        <w:spacing w:after="0" w:line="240" w:lineRule="auto"/>
        <w:jc w:val="both"/>
        <w:rPr>
          <w:color w:val="000000"/>
          <w:rFonts w:eastAsia="Times New Roman" w:cs="Arial"/>
        </w:rPr>
      </w:pPr>
      <w:r>
        <w:rPr>
          <w:color w:val="000000"/>
        </w:rPr>
        <w:t xml:space="preserve">c) Kravene vedrørende emballage, som kan nyttiggøres, når den ikke længere genbruges og således bliver til affald, opfyldes.</w:t>
      </w:r>
    </w:p>
    <w:p w14:paraId="21D9B2BB" w14:textId="77777777" w:rsidR="000147DB" w:rsidRPr="003E7524" w:rsidRDefault="000147DB" w:rsidP="000147DB">
      <w:pPr>
        <w:spacing w:after="0" w:line="240" w:lineRule="auto"/>
        <w:rPr>
          <w:rFonts w:eastAsia="Times New Roman" w:cs="Arial"/>
          <w:color w:val="000000"/>
          <w:lang w:val="fr-FR" w:eastAsia="fr-FR"/>
        </w:rPr>
      </w:pPr>
    </w:p>
    <w:p w14:paraId="37AA649C" w14:textId="77777777" w:rsidR="000147DB" w:rsidRPr="005E4757" w:rsidRDefault="000147DB" w:rsidP="00B972B3">
      <w:pPr>
        <w:keepNext/>
        <w:keepLines/>
        <w:spacing w:after="0" w:line="240" w:lineRule="auto"/>
        <w:jc w:val="center"/>
        <w:rPr>
          <w:b/>
          <w:bCs/>
          <w:iCs/>
          <w:color w:val="000000"/>
          <w:rFonts w:eastAsia="Times New Roman" w:cs="Arial"/>
        </w:rPr>
      </w:pPr>
      <w:r>
        <w:rPr>
          <w:b/>
          <w:bCs/>
          <w:iCs/>
          <w:color w:val="000000"/>
        </w:rPr>
        <w:t xml:space="preserve">3) </w:t>
      </w:r>
      <w:r>
        <w:rPr>
          <w:b/>
          <w:bCs/>
          <w:iCs/>
          <w:color w:val="000000"/>
        </w:rPr>
        <w:t xml:space="preserve">Krav vedrørende muligheden for nyttiggørelse af en emballage</w:t>
      </w:r>
    </w:p>
    <w:p w14:paraId="1EE282C0" w14:textId="77777777" w:rsidR="000147DB" w:rsidRPr="003E7524" w:rsidRDefault="000147DB" w:rsidP="00B972B3">
      <w:pPr>
        <w:keepNext/>
        <w:keepLines/>
        <w:spacing w:after="0" w:line="240" w:lineRule="auto"/>
        <w:jc w:val="both"/>
        <w:rPr>
          <w:color w:val="000000"/>
          <w:rFonts w:eastAsia="Times New Roman" w:cs="Arial"/>
        </w:rPr>
      </w:pPr>
      <w:r>
        <w:rPr>
          <w:color w:val="000000"/>
        </w:rPr>
        <w:t xml:space="preserve">a) Emballage, som kan nyttiggøres ved genbrug af materialer:</w:t>
      </w:r>
      <w:r>
        <w:rPr>
          <w:color w:val="000000"/>
        </w:rPr>
        <w:t xml:space="preserve"> </w:t>
      </w:r>
    </w:p>
    <w:p w14:paraId="72BEBD90" w14:textId="77777777" w:rsidR="000147DB" w:rsidRPr="003E7524" w:rsidRDefault="000147DB" w:rsidP="000147DB">
      <w:pPr>
        <w:spacing w:after="0" w:line="240" w:lineRule="auto"/>
        <w:jc w:val="both"/>
        <w:rPr>
          <w:color w:val="000000"/>
          <w:rFonts w:eastAsia="Times New Roman" w:cs="Arial"/>
        </w:rPr>
      </w:pPr>
      <w:r>
        <w:rPr>
          <w:color w:val="000000"/>
        </w:rPr>
        <w:t xml:space="preserve">Emballagen skal fremstilles på en sådan måde, at en bestemt vægtprocent af de anvendte materialer genanvendes med henblik på produktion af omsættelige varer under overholdelse af de gældende standarder i Den Europæiske Union.</w:t>
      </w:r>
      <w:r>
        <w:rPr>
          <w:color w:val="000000"/>
        </w:rPr>
        <w:t xml:space="preserve"> </w:t>
      </w:r>
      <w:r>
        <w:rPr>
          <w:color w:val="000000"/>
        </w:rPr>
        <w:t xml:space="preserve">Fastsættelsen af denne procentdel kan variere afhængig af den materialetype, som emballagen består af.</w:t>
      </w:r>
    </w:p>
    <w:p w14:paraId="1A7B37E6" w14:textId="77777777" w:rsidR="000147DB" w:rsidRPr="003E7524" w:rsidRDefault="000147DB" w:rsidP="00B972B3">
      <w:pPr>
        <w:keepNext/>
        <w:keepLines/>
        <w:spacing w:after="0" w:line="240" w:lineRule="auto"/>
        <w:jc w:val="both"/>
        <w:rPr>
          <w:color w:val="000000"/>
          <w:rFonts w:eastAsia="Times New Roman" w:cs="Arial"/>
        </w:rPr>
      </w:pPr>
      <w:r>
        <w:rPr>
          <w:color w:val="000000"/>
        </w:rPr>
        <w:t xml:space="preserve">b) Emballage, som kan nyttiggøres ved energiudnyttelse:</w:t>
      </w:r>
      <w:r>
        <w:rPr>
          <w:color w:val="000000"/>
        </w:rPr>
        <w:t xml:space="preserve"> </w:t>
      </w:r>
    </w:p>
    <w:p w14:paraId="041C2C54" w14:textId="77777777" w:rsidR="000147DB" w:rsidRPr="003E7524" w:rsidRDefault="000147DB" w:rsidP="000147DB">
      <w:pPr>
        <w:spacing w:after="0" w:line="240" w:lineRule="auto"/>
        <w:jc w:val="both"/>
        <w:rPr>
          <w:color w:val="000000"/>
          <w:rFonts w:eastAsia="Times New Roman" w:cs="Arial"/>
        </w:rPr>
      </w:pPr>
      <w:r>
        <w:rPr>
          <w:color w:val="000000"/>
        </w:rPr>
        <w:t xml:space="preserve">Emballageaffald, som behandles med henblik på energiudnyttelse, har en lavere minimumsbrændværdi, hvilket gør energigenanvendelsen optimal.</w:t>
      </w:r>
    </w:p>
    <w:p w14:paraId="47DD47B7" w14:textId="77777777" w:rsidR="000147DB" w:rsidRPr="003E7524" w:rsidRDefault="000147DB" w:rsidP="00B972B3">
      <w:pPr>
        <w:keepNext/>
        <w:keepLines/>
        <w:spacing w:after="0" w:line="240" w:lineRule="auto"/>
        <w:jc w:val="both"/>
        <w:rPr>
          <w:color w:val="000000"/>
          <w:rFonts w:eastAsia="Times New Roman" w:cs="Arial"/>
        </w:rPr>
      </w:pPr>
      <w:r>
        <w:rPr>
          <w:color w:val="000000"/>
        </w:rPr>
        <w:t xml:space="preserve">c) Emballage, der kan nyttiggøres ved kompostering:</w:t>
      </w:r>
      <w:r>
        <w:rPr>
          <w:color w:val="000000"/>
        </w:rPr>
        <w:t xml:space="preserve"> </w:t>
      </w:r>
    </w:p>
    <w:p w14:paraId="0F150FF9" w14:textId="77777777" w:rsidR="000147DB" w:rsidRPr="003E7524" w:rsidRDefault="000147DB" w:rsidP="000147DB">
      <w:pPr>
        <w:spacing w:after="0" w:line="240" w:lineRule="auto"/>
        <w:jc w:val="both"/>
        <w:rPr>
          <w:color w:val="000000"/>
          <w:rFonts w:eastAsia="Times New Roman" w:cs="Arial"/>
        </w:rPr>
      </w:pPr>
      <w:r>
        <w:rPr>
          <w:color w:val="000000"/>
        </w:rPr>
        <w:t xml:space="preserve">Emballageaffald, som behandles med henblik på kompostering, skal være så tilstrækkeligt bionedbrydeligt, at det ikke er til hinder for hverken den særskilte indsamling eller for processen eller aktiviteten i forbindelse med kompostering, som det indgår i.</w:t>
      </w:r>
    </w:p>
    <w:p w14:paraId="36128ACA" w14:textId="77777777" w:rsidR="000147DB" w:rsidRPr="003E7524" w:rsidRDefault="000147DB" w:rsidP="000147DB">
      <w:pPr>
        <w:spacing w:after="0" w:line="240" w:lineRule="auto"/>
        <w:jc w:val="both"/>
        <w:rPr>
          <w:rFonts w:eastAsia="Times New Roman" w:cs="Arial"/>
          <w:color w:val="000000"/>
          <w:lang w:val="fr-FR" w:eastAsia="fr-FR"/>
        </w:rPr>
      </w:pPr>
    </w:p>
    <w:p w14:paraId="00633E3B" w14:textId="77777777" w:rsidR="000147DB" w:rsidRPr="003E7524" w:rsidRDefault="000147DB" w:rsidP="00B972B3">
      <w:pPr>
        <w:keepNext/>
        <w:keepLines/>
        <w:autoSpaceDE w:val="0"/>
        <w:autoSpaceDN w:val="0"/>
        <w:adjustRightInd w:val="0"/>
        <w:spacing w:after="0"/>
        <w:jc w:val="both"/>
        <w:rPr>
          <w:color w:val="FF0000"/>
          <w:sz w:val="24"/>
          <w:szCs w:val="24"/>
          <w:rFonts w:cs="TimesNewRoman"/>
        </w:rPr>
      </w:pPr>
      <w:r>
        <w:rPr>
          <w:color w:val="FF0000"/>
          <w:sz w:val="24"/>
          <w:szCs w:val="24"/>
        </w:rPr>
        <w:t xml:space="preserve">d) Bionedbrydelig emballage:</w:t>
      </w:r>
    </w:p>
    <w:p w14:paraId="7A56FE8C" w14:textId="77777777" w:rsidR="000147DB" w:rsidRPr="003E7524" w:rsidRDefault="000147DB" w:rsidP="000147DB">
      <w:pPr>
        <w:autoSpaceDE w:val="0"/>
        <w:autoSpaceDN w:val="0"/>
        <w:adjustRightInd w:val="0"/>
        <w:spacing w:after="0"/>
        <w:jc w:val="both"/>
        <w:rPr>
          <w:color w:val="FF0000"/>
          <w:sz w:val="24"/>
          <w:szCs w:val="24"/>
          <w:rFonts w:cs="TimesNewRoman"/>
        </w:rPr>
      </w:pPr>
      <w:r>
        <w:rPr>
          <w:color w:val="FF0000"/>
          <w:sz w:val="24"/>
          <w:szCs w:val="24"/>
        </w:rPr>
        <w:t xml:space="preserve">Bionedbrydeligt emballageaffald skal kunne gå i fysisk, kemisk, termisk eller biologisk nedbrydning, således at størstedelen af den opnåede kompost i sidste ende nedbrydes til carbondioxid, biomasse eller vand.</w:t>
      </w:r>
      <w:r>
        <w:rPr>
          <w:color w:val="FF0000"/>
          <w:sz w:val="24"/>
          <w:szCs w:val="24"/>
        </w:rPr>
        <w:t xml:space="preserve"> </w:t>
      </w:r>
    </w:p>
    <w:p w14:paraId="76704C00" w14:textId="77777777" w:rsidR="000147DB" w:rsidRPr="003E7524" w:rsidRDefault="000147DB" w:rsidP="000147DB">
      <w:pPr>
        <w:autoSpaceDE w:val="0"/>
        <w:autoSpaceDN w:val="0"/>
        <w:adjustRightInd w:val="0"/>
        <w:spacing w:after="0"/>
        <w:jc w:val="both"/>
        <w:rPr>
          <w:sz w:val="24"/>
          <w:szCs w:val="24"/>
          <w:rFonts w:cs="TimesNewRoman"/>
        </w:rPr>
      </w:pPr>
      <w:r>
        <w:rPr>
          <w:color w:val="FF0000"/>
          <w:sz w:val="24"/>
          <w:szCs w:val="24"/>
        </w:rPr>
        <w:t xml:space="preserve">Oxo-nedbrydelige plastemballager betragtes ikke som bionedbrydelige.</w:t>
      </w:r>
    </w:p>
    <w:p w14:paraId="4D209010" w14:textId="77777777" w:rsidR="000147DB" w:rsidRPr="003E7524" w:rsidRDefault="000147DB" w:rsidP="000147DB">
      <w:pPr>
        <w:autoSpaceDE w:val="0"/>
        <w:autoSpaceDN w:val="0"/>
        <w:adjustRightInd w:val="0"/>
        <w:spacing w:after="0"/>
        <w:jc w:val="both"/>
        <w:rPr>
          <w:rFonts w:cs="TimesNewRoman"/>
          <w:sz w:val="24"/>
          <w:szCs w:val="24"/>
          <w:lang w:val="fr-LU" w:eastAsia="fr-BE"/>
        </w:rPr>
      </w:pPr>
    </w:p>
    <w:p w14:paraId="75439D96" w14:textId="77777777" w:rsidR="000147DB" w:rsidRPr="003E7524" w:rsidRDefault="000147DB" w:rsidP="000147DB">
      <w:pPr>
        <w:spacing w:after="0" w:line="240" w:lineRule="auto"/>
        <w:rPr>
          <w:rFonts w:eastAsia="Times New Roman" w:cs="Arial"/>
          <w:color w:val="000000"/>
          <w:lang w:val="fr-LU" w:eastAsia="fr-FR"/>
        </w:rPr>
      </w:pPr>
    </w:p>
    <w:p w14:paraId="3E017349" w14:textId="77777777" w:rsidR="000147DB" w:rsidRPr="003E7524" w:rsidRDefault="000147DB" w:rsidP="000147DB">
      <w:pPr>
        <w:spacing w:after="0" w:line="240" w:lineRule="auto"/>
        <w:jc w:val="center"/>
        <w:rPr>
          <w:rFonts w:eastAsia="Times New Roman" w:cs="Arial"/>
          <w:strike/>
          <w:u w:val="single"/>
          <w:lang w:val="fr-FR" w:eastAsia="fr-LU"/>
        </w:rPr>
      </w:pPr>
    </w:p>
    <w:p w14:paraId="58B091A8" w14:textId="77777777" w:rsidR="000147DB" w:rsidRPr="003E7524" w:rsidRDefault="000147DB" w:rsidP="00B972B3">
      <w:pPr>
        <w:keepNext/>
        <w:keepLines/>
        <w:spacing w:after="0" w:line="240" w:lineRule="auto"/>
        <w:jc w:val="center"/>
        <w:rPr>
          <w:b/>
          <w:rFonts w:eastAsia="Times New Roman" w:cs="Arial"/>
        </w:rPr>
      </w:pPr>
      <w:r>
        <w:rPr>
          <w:b/>
        </w:rPr>
        <w:t xml:space="preserve">BILAG II</w:t>
      </w:r>
    </w:p>
    <w:p w14:paraId="08D0C795" w14:textId="77777777" w:rsidR="000147DB" w:rsidRPr="003E7524" w:rsidRDefault="000147DB" w:rsidP="00B972B3">
      <w:pPr>
        <w:keepNext/>
        <w:keepLines/>
        <w:spacing w:after="0" w:line="240" w:lineRule="auto"/>
        <w:jc w:val="center"/>
        <w:rPr>
          <w:b/>
          <w:bCs/>
          <w:rFonts w:eastAsia="Times New Roman" w:cs="Arial"/>
        </w:rPr>
      </w:pPr>
      <w:r>
        <w:rPr>
          <w:b/>
          <w:bCs/>
        </w:rPr>
        <w:t xml:space="preserve">Miljøaftale</w:t>
      </w:r>
    </w:p>
    <w:p w14:paraId="4C8541AC" w14:textId="77777777" w:rsidR="000147DB" w:rsidRPr="003E7524" w:rsidRDefault="000147DB" w:rsidP="00B972B3">
      <w:pPr>
        <w:keepNext/>
        <w:keepLines/>
        <w:spacing w:after="0" w:line="240" w:lineRule="auto"/>
        <w:jc w:val="both"/>
        <w:rPr>
          <w:rFonts w:eastAsia="Times New Roman" w:cs="Arial"/>
          <w:b/>
          <w:lang w:val="fr-FR" w:eastAsia="fr-LU"/>
        </w:rPr>
      </w:pPr>
    </w:p>
    <w:p w14:paraId="2F353336" w14:textId="77777777" w:rsidR="000147DB" w:rsidRPr="003E7524" w:rsidRDefault="000147DB" w:rsidP="00B972B3">
      <w:pPr>
        <w:keepNext/>
        <w:keepLines/>
        <w:spacing w:after="0" w:line="240" w:lineRule="auto"/>
        <w:jc w:val="both"/>
        <w:rPr>
          <w:rFonts w:eastAsia="Times New Roman" w:cs="Arial"/>
        </w:rPr>
      </w:pPr>
      <w:r>
        <w:t xml:space="preserve">Miljøaftalerne i nærværende lov er underlagt følgende regler:</w:t>
      </w:r>
    </w:p>
    <w:p w14:paraId="26FA5C49" w14:textId="77777777" w:rsidR="000147DB" w:rsidRPr="003E7524" w:rsidRDefault="000147DB" w:rsidP="000147DB">
      <w:pPr>
        <w:spacing w:after="0" w:line="240" w:lineRule="auto"/>
        <w:jc w:val="both"/>
        <w:rPr>
          <w:rFonts w:eastAsia="Times New Roman" w:cs="Arial"/>
        </w:rPr>
      </w:pPr>
      <w:r>
        <w:t xml:space="preserve">1) Aftalerne skal fastsætte deres mål og varighed.</w:t>
      </w:r>
    </w:p>
    <w:p w14:paraId="6DB322CD" w14:textId="77777777" w:rsidR="000147DB" w:rsidRPr="003E7524" w:rsidRDefault="000147DB" w:rsidP="000147DB">
      <w:pPr>
        <w:spacing w:after="0" w:line="240" w:lineRule="auto"/>
        <w:jc w:val="both"/>
        <w:rPr>
          <w:rFonts w:eastAsia="Times New Roman" w:cs="Arial"/>
        </w:rPr>
      </w:pPr>
      <w:r>
        <w:t xml:space="preserve">2) Aftalerne og de resultater, som er opnået ved deres anvendelse, er til rådighed for offentligheden og meddeles Europa-Kommissionen af ministeren.</w:t>
      </w:r>
    </w:p>
    <w:p w14:paraId="0C4AFADA" w14:textId="77777777" w:rsidR="000147DB" w:rsidRPr="003E7524" w:rsidRDefault="000147DB" w:rsidP="000147DB">
      <w:pPr>
        <w:spacing w:after="0" w:line="240" w:lineRule="auto"/>
        <w:jc w:val="both"/>
        <w:rPr>
          <w:rFonts w:eastAsia="Times New Roman" w:cs="Arial"/>
        </w:rPr>
      </w:pPr>
      <w:r>
        <w:t xml:space="preserve">3) Anvendelsen af aftalerne kontrolleres regelmæssigt af styrelsen.</w:t>
      </w:r>
    </w:p>
    <w:p w14:paraId="338631B9" w14:textId="77777777" w:rsidR="000147DB" w:rsidRPr="003E7524" w:rsidRDefault="000147DB" w:rsidP="000147DB">
      <w:pPr>
        <w:spacing w:after="0" w:line="240" w:lineRule="auto"/>
        <w:jc w:val="both"/>
        <w:rPr>
          <w:rFonts w:eastAsia="Times New Roman" w:cs="Arial"/>
        </w:rPr>
      </w:pPr>
      <w:r>
        <w:t xml:space="preserve">4) Aftalerne indeholder sanktionsforanstaltninger i tilfælde af manglende overholdelse af deres bestemmelser.</w:t>
      </w:r>
    </w:p>
    <w:p w14:paraId="3E2E4659" w14:textId="77777777" w:rsidR="000147DB" w:rsidRPr="003E7524" w:rsidRDefault="000147DB" w:rsidP="000147DB">
      <w:pPr>
        <w:spacing w:after="0" w:line="240" w:lineRule="auto"/>
        <w:jc w:val="both"/>
        <w:rPr>
          <w:rFonts w:eastAsia="Times New Roman" w:cs="Arial"/>
        </w:rPr>
      </w:pPr>
      <w:r>
        <w:t xml:space="preserve">5) Aftalerne indgås for en begrænset periode på højst fem år.</w:t>
      </w:r>
      <w:r>
        <w:t xml:space="preserve"> </w:t>
      </w:r>
      <w:r>
        <w:t xml:space="preserve">De fornys ikke stiltiende.</w:t>
      </w:r>
    </w:p>
    <w:p w14:paraId="104D8A65" w14:textId="77777777" w:rsidR="000147DB" w:rsidRPr="003E7524" w:rsidRDefault="000147DB" w:rsidP="000147DB">
      <w:pPr>
        <w:spacing w:after="0" w:line="240" w:lineRule="auto"/>
        <w:jc w:val="both"/>
        <w:rPr>
          <w:rFonts w:eastAsia="Times New Roman" w:cs="Arial"/>
        </w:rPr>
      </w:pPr>
      <w:r>
        <w:t xml:space="preserve">6) Aftalerne udløber enten ved udgangen af den periode, hvortil de er indgået, når de deri indeholdte mål er nået, eller efter fælles overenskomst mellem parterne.</w:t>
      </w:r>
    </w:p>
    <w:p w14:paraId="09C2F1CD" w14:textId="77777777" w:rsidR="000147DB" w:rsidRPr="003E7524" w:rsidRDefault="000147DB" w:rsidP="000147DB">
      <w:pPr>
        <w:spacing w:after="0" w:line="240" w:lineRule="auto"/>
        <w:rPr>
          <w:rFonts w:eastAsia="Times New Roman" w:cs="Arial"/>
          <w:lang w:val="fr-FR" w:eastAsia="fr-FR"/>
        </w:rPr>
      </w:pPr>
    </w:p>
    <w:p w14:paraId="16C3064A" w14:textId="77777777" w:rsidR="000147DB" w:rsidRPr="003E7524" w:rsidRDefault="000147DB" w:rsidP="000147DB">
      <w:pPr>
        <w:spacing w:after="0" w:line="240" w:lineRule="auto"/>
        <w:jc w:val="center"/>
        <w:rPr>
          <w:rFonts w:eastAsia="Calibri" w:cs="Arial"/>
          <w:lang w:val="fr-FR"/>
        </w:rPr>
      </w:pPr>
    </w:p>
    <w:p w14:paraId="52D4FCEE" w14:textId="77777777" w:rsidR="000147DB" w:rsidRPr="003E7524" w:rsidRDefault="000147DB" w:rsidP="000147DB">
      <w:pPr>
        <w:spacing w:after="200" w:line="276" w:lineRule="auto"/>
        <w:rPr>
          <w:color w:val="FF0000"/>
        </w:rPr>
      </w:pPr>
      <w:r>
        <w:rPr>
          <w:color w:val="FF0000"/>
        </w:rPr>
        <w:t xml:space="preserve">Lov af XXXXX</w:t>
      </w:r>
    </w:p>
    <w:p w14:paraId="4FF80B34" w14:textId="22A28547" w:rsidR="000147DB" w:rsidRPr="003E7524" w:rsidRDefault="000147DB" w:rsidP="000147DB">
      <w:pPr>
        <w:autoSpaceDE w:val="0"/>
        <w:autoSpaceDN w:val="0"/>
        <w:adjustRightInd w:val="0"/>
        <w:spacing w:after="0"/>
        <w:jc w:val="center"/>
        <w:rPr>
          <w:b/>
          <w:color w:val="FF0000"/>
          <w:sz w:val="24"/>
          <w:szCs w:val="24"/>
          <w:u w:val="single"/>
          <w:rFonts w:cs="TimesNewRoman"/>
        </w:rPr>
      </w:pPr>
      <w:r>
        <w:rPr>
          <w:b/>
          <w:color w:val="FF0000"/>
          <w:sz w:val="24"/>
          <w:szCs w:val="24"/>
          <w:u w:val="single"/>
        </w:rPr>
        <w:t xml:space="preserve">BILAG III</w:t>
      </w:r>
    </w:p>
    <w:p w14:paraId="79D2B46F" w14:textId="77777777" w:rsidR="000147DB" w:rsidRPr="005E4757" w:rsidRDefault="000147DB" w:rsidP="000147DB">
      <w:pPr>
        <w:autoSpaceDE w:val="0"/>
        <w:autoSpaceDN w:val="0"/>
        <w:adjustRightInd w:val="0"/>
        <w:spacing w:after="0"/>
        <w:jc w:val="center"/>
        <w:rPr>
          <w:bCs/>
          <w:color w:val="FF0000"/>
          <w:sz w:val="24"/>
          <w:szCs w:val="24"/>
          <w:u w:val="single"/>
          <w:rFonts w:cs="TimesNewRoman"/>
        </w:rPr>
      </w:pPr>
      <w:r>
        <w:rPr>
          <w:bCs/>
          <w:color w:val="FF0000"/>
          <w:sz w:val="24"/>
          <w:szCs w:val="24"/>
          <w:u w:val="single"/>
        </w:rPr>
        <w:t xml:space="preserve">Liste over frugt og grøntsager jf. artikel 5, stk. 1, nr. 1)</w:t>
      </w:r>
    </w:p>
    <w:p w14:paraId="236111C5" w14:textId="77777777" w:rsidR="000147DB" w:rsidRPr="003E7524" w:rsidRDefault="000147DB" w:rsidP="000147DB">
      <w:pPr>
        <w:autoSpaceDE w:val="0"/>
        <w:autoSpaceDN w:val="0"/>
        <w:adjustRightInd w:val="0"/>
        <w:spacing w:after="0"/>
        <w:jc w:val="center"/>
        <w:rPr>
          <w:rFonts w:cs="TimesNewRoman"/>
          <w:bCs/>
          <w:color w:val="FF0000"/>
          <w:sz w:val="24"/>
          <w:szCs w:val="24"/>
          <w:u w:val="single"/>
          <w:lang w:val="fr-LU" w:eastAsia="fr-BE"/>
        </w:rPr>
      </w:pPr>
    </w:p>
    <w:tbl>
      <w:tblPr>
        <w:tblW w:w="0" w:type="auto"/>
        <w:tblLook w:val="04A0" w:firstRow="1" w:lastRow="0" w:firstColumn="1" w:lastColumn="0" w:noHBand="0" w:noVBand="1"/>
      </w:tblPr>
      <w:tblGrid>
        <w:gridCol w:w="4675"/>
        <w:gridCol w:w="4675"/>
      </w:tblGrid>
      <w:tr w:rsidR="000147DB" w:rsidRPr="00B972B3" w14:paraId="666E3C8A" w14:textId="77777777" w:rsidTr="000147DB">
        <w:tc>
          <w:tcPr>
            <w:tcW w:w="4675" w:type="dxa"/>
          </w:tcPr>
          <w:p w14:paraId="5DF36764" w14:textId="77777777" w:rsidR="000147DB" w:rsidRPr="00B972B3" w:rsidRDefault="000147DB" w:rsidP="000147DB">
            <w:pPr>
              <w:rPr>
                <w:b/>
                <w:color w:val="FF0000"/>
                <w:spacing w:val="-4"/>
              </w:rPr>
            </w:pPr>
            <w:r>
              <w:rPr>
                <w:b/>
                <w:color w:val="FF0000"/>
              </w:rPr>
              <w:t xml:space="preserve">Friske frugter</w:t>
            </w:r>
          </w:p>
        </w:tc>
        <w:tc>
          <w:tcPr>
            <w:tcW w:w="4675" w:type="dxa"/>
          </w:tcPr>
          <w:p w14:paraId="5DD24357" w14:textId="77777777" w:rsidR="000147DB" w:rsidRPr="00B972B3" w:rsidRDefault="000147DB" w:rsidP="000147DB">
            <w:pPr>
              <w:rPr>
                <w:b/>
                <w:color w:val="FF0000"/>
                <w:spacing w:val="-4"/>
              </w:rPr>
            </w:pPr>
            <w:r>
              <w:rPr>
                <w:b/>
                <w:color w:val="FF0000"/>
              </w:rPr>
              <w:t xml:space="preserve">Friske grøntsager</w:t>
            </w:r>
          </w:p>
        </w:tc>
      </w:tr>
      <w:tr w:rsidR="000147DB" w:rsidRPr="00B972B3" w14:paraId="544C3581" w14:textId="77777777" w:rsidTr="000147DB">
        <w:tc>
          <w:tcPr>
            <w:tcW w:w="4675" w:type="dxa"/>
          </w:tcPr>
          <w:p w14:paraId="2E157577" w14:textId="77777777" w:rsidR="000147DB" w:rsidRPr="00B972B3" w:rsidRDefault="000147DB" w:rsidP="000147DB">
            <w:pPr>
              <w:rPr>
                <w:color w:val="FF0000"/>
                <w:spacing w:val="-4"/>
              </w:rPr>
            </w:pPr>
            <w:r>
              <w:rPr>
                <w:color w:val="FF0000"/>
              </w:rPr>
              <w:t xml:space="preserve">Ananas</w:t>
            </w:r>
          </w:p>
        </w:tc>
        <w:tc>
          <w:tcPr>
            <w:tcW w:w="4675" w:type="dxa"/>
          </w:tcPr>
          <w:p w14:paraId="08482F53" w14:textId="77777777" w:rsidR="000147DB" w:rsidRPr="00B972B3" w:rsidRDefault="000147DB" w:rsidP="000147DB">
            <w:pPr>
              <w:rPr>
                <w:color w:val="FF0000"/>
                <w:spacing w:val="-4"/>
              </w:rPr>
            </w:pPr>
            <w:r>
              <w:rPr>
                <w:color w:val="FF0000"/>
              </w:rPr>
              <w:t xml:space="preserve">Hvidløg</w:t>
            </w:r>
          </w:p>
        </w:tc>
      </w:tr>
      <w:tr w:rsidR="000147DB" w:rsidRPr="00B972B3" w14:paraId="679261B3" w14:textId="77777777" w:rsidTr="000147DB">
        <w:tc>
          <w:tcPr>
            <w:tcW w:w="4675" w:type="dxa"/>
          </w:tcPr>
          <w:p w14:paraId="0AAD721B" w14:textId="77777777" w:rsidR="000147DB" w:rsidRPr="00B972B3" w:rsidRDefault="000147DB" w:rsidP="000147DB">
            <w:pPr>
              <w:rPr>
                <w:color w:val="FF0000"/>
                <w:spacing w:val="-4"/>
              </w:rPr>
            </w:pPr>
            <w:r>
              <w:rPr>
                <w:color w:val="FF0000"/>
              </w:rPr>
              <w:t xml:space="preserve">Abrikos</w:t>
            </w:r>
          </w:p>
        </w:tc>
        <w:tc>
          <w:tcPr>
            <w:tcW w:w="4675" w:type="dxa"/>
          </w:tcPr>
          <w:p w14:paraId="3AFF19ED" w14:textId="77777777" w:rsidR="000147DB" w:rsidRPr="00B972B3" w:rsidRDefault="000147DB" w:rsidP="000147DB">
            <w:pPr>
              <w:rPr>
                <w:color w:val="FF0000"/>
                <w:spacing w:val="-4"/>
              </w:rPr>
            </w:pPr>
            <w:r>
              <w:rPr>
                <w:color w:val="FF0000"/>
              </w:rPr>
              <w:t xml:space="preserve">Artiskok</w:t>
            </w:r>
          </w:p>
        </w:tc>
      </w:tr>
      <w:tr w:rsidR="000147DB" w:rsidRPr="00B972B3" w14:paraId="4B14EBBA" w14:textId="77777777" w:rsidTr="000147DB">
        <w:tc>
          <w:tcPr>
            <w:tcW w:w="4675" w:type="dxa"/>
          </w:tcPr>
          <w:p w14:paraId="75BB109A" w14:textId="77777777" w:rsidR="000147DB" w:rsidRPr="00B972B3" w:rsidRDefault="000147DB" w:rsidP="000147DB">
            <w:pPr>
              <w:rPr>
                <w:color w:val="FF0000"/>
                <w:spacing w:val="-4"/>
              </w:rPr>
            </w:pPr>
            <w:r>
              <w:rPr>
                <w:color w:val="FF0000"/>
              </w:rPr>
              <w:t xml:space="preserve">Avocado</w:t>
            </w:r>
            <w:r>
              <w:rPr>
                <w:color w:val="FF0000"/>
              </w:rPr>
              <w:t xml:space="preserve"> </w:t>
            </w:r>
          </w:p>
        </w:tc>
        <w:tc>
          <w:tcPr>
            <w:tcW w:w="4675" w:type="dxa"/>
          </w:tcPr>
          <w:p w14:paraId="2478D876" w14:textId="77777777" w:rsidR="000147DB" w:rsidRPr="00B972B3" w:rsidRDefault="000147DB" w:rsidP="000147DB">
            <w:pPr>
              <w:rPr>
                <w:color w:val="FF0000"/>
                <w:spacing w:val="-4"/>
              </w:rPr>
            </w:pPr>
            <w:r>
              <w:rPr>
                <w:color w:val="FF0000"/>
              </w:rPr>
              <w:t xml:space="preserve">Asparges</w:t>
            </w:r>
          </w:p>
        </w:tc>
      </w:tr>
      <w:tr w:rsidR="000147DB" w:rsidRPr="00B972B3" w14:paraId="2BDAEE70" w14:textId="77777777" w:rsidTr="000147DB">
        <w:tc>
          <w:tcPr>
            <w:tcW w:w="4675" w:type="dxa"/>
          </w:tcPr>
          <w:p w14:paraId="7CA415A2" w14:textId="77777777" w:rsidR="000147DB" w:rsidRPr="00B972B3" w:rsidRDefault="000147DB" w:rsidP="000147DB">
            <w:pPr>
              <w:rPr>
                <w:color w:val="FF0000"/>
                <w:spacing w:val="-4"/>
              </w:rPr>
            </w:pPr>
            <w:r>
              <w:rPr>
                <w:color w:val="FF0000"/>
              </w:rPr>
              <w:t xml:space="preserve">Banan</w:t>
            </w:r>
          </w:p>
        </w:tc>
        <w:tc>
          <w:tcPr>
            <w:tcW w:w="4675" w:type="dxa"/>
          </w:tcPr>
          <w:p w14:paraId="3DDEEA9A" w14:textId="77777777" w:rsidR="000147DB" w:rsidRPr="00B972B3" w:rsidRDefault="000147DB" w:rsidP="000147DB">
            <w:pPr>
              <w:rPr>
                <w:color w:val="FF0000"/>
                <w:spacing w:val="-4"/>
              </w:rPr>
            </w:pPr>
            <w:r>
              <w:rPr>
                <w:color w:val="FF0000"/>
              </w:rPr>
              <w:t xml:space="preserve">Aubergine</w:t>
            </w:r>
          </w:p>
        </w:tc>
      </w:tr>
      <w:tr w:rsidR="000147DB" w:rsidRPr="00B972B3" w14:paraId="10164EE1" w14:textId="77777777" w:rsidTr="000147DB">
        <w:tc>
          <w:tcPr>
            <w:tcW w:w="4675" w:type="dxa"/>
          </w:tcPr>
          <w:p w14:paraId="08FA0606" w14:textId="77777777" w:rsidR="000147DB" w:rsidRPr="00B972B3" w:rsidRDefault="000147DB" w:rsidP="000147DB">
            <w:pPr>
              <w:rPr>
                <w:color w:val="FF0000"/>
                <w:spacing w:val="-4"/>
              </w:rPr>
            </w:pPr>
            <w:r>
              <w:rPr>
                <w:color w:val="FF0000"/>
              </w:rPr>
              <w:t xml:space="preserve">Mango</w:t>
            </w:r>
            <w:r>
              <w:rPr>
                <w:color w:val="FF0000"/>
              </w:rPr>
              <w:t xml:space="preserve"> </w:t>
            </w:r>
          </w:p>
        </w:tc>
        <w:tc>
          <w:tcPr>
            <w:tcW w:w="4675" w:type="dxa"/>
          </w:tcPr>
          <w:p w14:paraId="7AC5C4A8" w14:textId="77777777" w:rsidR="000147DB" w:rsidRPr="00B972B3" w:rsidRDefault="000147DB" w:rsidP="000147DB">
            <w:pPr>
              <w:rPr>
                <w:color w:val="FF0000"/>
                <w:spacing w:val="-4"/>
              </w:rPr>
            </w:pPr>
            <w:r>
              <w:rPr>
                <w:color w:val="FF0000"/>
              </w:rPr>
              <w:t xml:space="preserve">Rødbede</w:t>
            </w:r>
          </w:p>
        </w:tc>
      </w:tr>
      <w:tr w:rsidR="000147DB" w:rsidRPr="00B972B3" w14:paraId="4B8C13E0" w14:textId="77777777" w:rsidTr="000147DB">
        <w:tc>
          <w:tcPr>
            <w:tcW w:w="4675" w:type="dxa"/>
          </w:tcPr>
          <w:p w14:paraId="42DCCC4E" w14:textId="77777777" w:rsidR="000147DB" w:rsidRPr="00B972B3" w:rsidRDefault="000147DB" w:rsidP="000147DB">
            <w:pPr>
              <w:rPr>
                <w:color w:val="FF0000"/>
                <w:spacing w:val="-4"/>
              </w:rPr>
            </w:pPr>
            <w:r>
              <w:rPr>
                <w:color w:val="FF0000"/>
              </w:rPr>
              <w:t xml:space="preserve">Kirsebær</w:t>
            </w:r>
          </w:p>
        </w:tc>
        <w:tc>
          <w:tcPr>
            <w:tcW w:w="4675" w:type="dxa"/>
          </w:tcPr>
          <w:p w14:paraId="2B969983" w14:textId="77777777" w:rsidR="000147DB" w:rsidRPr="00B972B3" w:rsidRDefault="000147DB" w:rsidP="000147DB">
            <w:pPr>
              <w:rPr>
                <w:color w:val="FF0000"/>
                <w:spacing w:val="-4"/>
              </w:rPr>
            </w:pPr>
            <w:r>
              <w:rPr>
                <w:color w:val="FF0000"/>
              </w:rPr>
              <w:t xml:space="preserve">Broccoli</w:t>
            </w:r>
            <w:r>
              <w:rPr>
                <w:color w:val="FF0000"/>
              </w:rPr>
              <w:t xml:space="preserve"> </w:t>
            </w:r>
          </w:p>
        </w:tc>
      </w:tr>
      <w:tr w:rsidR="000147DB" w:rsidRPr="00B972B3" w14:paraId="071FE714" w14:textId="77777777" w:rsidTr="000147DB">
        <w:tc>
          <w:tcPr>
            <w:tcW w:w="4675" w:type="dxa"/>
          </w:tcPr>
          <w:p w14:paraId="57E357AF" w14:textId="77777777" w:rsidR="000147DB" w:rsidRPr="00B972B3" w:rsidRDefault="000147DB" w:rsidP="000147DB">
            <w:pPr>
              <w:rPr>
                <w:color w:val="FF0000"/>
                <w:spacing w:val="-4"/>
              </w:rPr>
            </w:pPr>
            <w:r>
              <w:rPr>
                <w:color w:val="FF0000"/>
              </w:rPr>
              <w:t xml:space="preserve">Citron</w:t>
            </w:r>
          </w:p>
        </w:tc>
        <w:tc>
          <w:tcPr>
            <w:tcW w:w="4675" w:type="dxa"/>
          </w:tcPr>
          <w:p w14:paraId="47A7B036" w14:textId="77777777" w:rsidR="000147DB" w:rsidRPr="00B972B3" w:rsidRDefault="000147DB" w:rsidP="000147DB">
            <w:pPr>
              <w:rPr>
                <w:color w:val="FF0000"/>
                <w:spacing w:val="-4"/>
              </w:rPr>
            </w:pPr>
            <w:r>
              <w:rPr>
                <w:color w:val="FF0000"/>
              </w:rPr>
              <w:t xml:space="preserve">Gulerod</w:t>
            </w:r>
          </w:p>
        </w:tc>
      </w:tr>
      <w:tr w:rsidR="000147DB" w:rsidRPr="00B972B3" w14:paraId="28BA8A18" w14:textId="77777777" w:rsidTr="000147DB">
        <w:tc>
          <w:tcPr>
            <w:tcW w:w="4675" w:type="dxa"/>
          </w:tcPr>
          <w:p w14:paraId="6DF0AD79" w14:textId="77777777" w:rsidR="000147DB" w:rsidRPr="00B972B3" w:rsidRDefault="000147DB" w:rsidP="000147DB">
            <w:pPr>
              <w:rPr>
                <w:color w:val="FF0000"/>
                <w:spacing w:val="-4"/>
              </w:rPr>
            </w:pPr>
            <w:r>
              <w:rPr>
                <w:color w:val="FF0000"/>
              </w:rPr>
              <w:t xml:space="preserve">Lemon</w:t>
            </w:r>
          </w:p>
        </w:tc>
        <w:tc>
          <w:tcPr>
            <w:tcW w:w="4675" w:type="dxa"/>
          </w:tcPr>
          <w:p w14:paraId="453BF889" w14:textId="77777777" w:rsidR="000147DB" w:rsidRPr="00B972B3" w:rsidRDefault="000147DB" w:rsidP="000147DB">
            <w:pPr>
              <w:rPr>
                <w:color w:val="FF0000"/>
                <w:spacing w:val="-4"/>
              </w:rPr>
            </w:pPr>
            <w:r>
              <w:rPr>
                <w:color w:val="FF0000"/>
              </w:rPr>
              <w:t xml:space="preserve">Selleri</w:t>
            </w:r>
          </w:p>
        </w:tc>
      </w:tr>
      <w:tr w:rsidR="000147DB" w:rsidRPr="00B972B3" w14:paraId="31FC6842" w14:textId="77777777" w:rsidTr="000147DB">
        <w:tc>
          <w:tcPr>
            <w:tcW w:w="4675" w:type="dxa"/>
          </w:tcPr>
          <w:p w14:paraId="17508AE5" w14:textId="77777777" w:rsidR="000147DB" w:rsidRPr="00B972B3" w:rsidRDefault="000147DB" w:rsidP="000147DB">
            <w:pPr>
              <w:rPr>
                <w:color w:val="FF0000"/>
                <w:spacing w:val="-4"/>
              </w:rPr>
            </w:pPr>
            <w:r>
              <w:rPr>
                <w:color w:val="FF0000"/>
              </w:rPr>
              <w:t xml:space="preserve">Clementin</w:t>
            </w:r>
          </w:p>
        </w:tc>
        <w:tc>
          <w:tcPr>
            <w:tcW w:w="4675" w:type="dxa"/>
          </w:tcPr>
          <w:p w14:paraId="07ED344F" w14:textId="77777777" w:rsidR="000147DB" w:rsidRPr="00B972B3" w:rsidRDefault="000147DB" w:rsidP="000147DB">
            <w:pPr>
              <w:rPr>
                <w:color w:val="FF0000"/>
                <w:spacing w:val="-4"/>
                <w:lang w:val="fr-FR"/>
              </w:rPr>
            </w:pPr>
          </w:p>
        </w:tc>
      </w:tr>
      <w:tr w:rsidR="000147DB" w:rsidRPr="00B972B3" w14:paraId="6CB8CA75" w14:textId="77777777" w:rsidTr="000147DB">
        <w:tc>
          <w:tcPr>
            <w:tcW w:w="4675" w:type="dxa"/>
          </w:tcPr>
          <w:p w14:paraId="3B38703D" w14:textId="77777777" w:rsidR="000147DB" w:rsidRPr="00B972B3" w:rsidRDefault="000147DB" w:rsidP="000147DB">
            <w:pPr>
              <w:rPr>
                <w:color w:val="FF0000"/>
                <w:spacing w:val="-4"/>
              </w:rPr>
            </w:pPr>
            <w:r>
              <w:rPr>
                <w:color w:val="FF0000"/>
              </w:rPr>
              <w:t xml:space="preserve">Kvæde</w:t>
            </w:r>
          </w:p>
        </w:tc>
        <w:tc>
          <w:tcPr>
            <w:tcW w:w="4675" w:type="dxa"/>
          </w:tcPr>
          <w:p w14:paraId="7F3699D7" w14:textId="77777777" w:rsidR="000147DB" w:rsidRPr="00B972B3" w:rsidRDefault="000147DB" w:rsidP="000147DB">
            <w:pPr>
              <w:rPr>
                <w:color w:val="FF0000"/>
                <w:spacing w:val="-4"/>
              </w:rPr>
            </w:pPr>
            <w:r>
              <w:rPr>
                <w:color w:val="FF0000"/>
              </w:rPr>
              <w:t xml:space="preserve">Rosenkål</w:t>
            </w:r>
          </w:p>
        </w:tc>
      </w:tr>
      <w:tr w:rsidR="000147DB" w:rsidRPr="00B972B3" w14:paraId="33415833" w14:textId="77777777" w:rsidTr="000147DB">
        <w:tc>
          <w:tcPr>
            <w:tcW w:w="4675" w:type="dxa"/>
          </w:tcPr>
          <w:p w14:paraId="083BE65D" w14:textId="77777777" w:rsidR="000147DB" w:rsidRPr="00B972B3" w:rsidRDefault="000147DB" w:rsidP="000147DB">
            <w:pPr>
              <w:rPr>
                <w:color w:val="FF0000"/>
                <w:spacing w:val="-4"/>
              </w:rPr>
            </w:pPr>
            <w:r>
              <w:rPr>
                <w:color w:val="FF0000"/>
              </w:rPr>
              <w:t xml:space="preserve">Figen</w:t>
            </w:r>
          </w:p>
        </w:tc>
        <w:tc>
          <w:tcPr>
            <w:tcW w:w="4675" w:type="dxa"/>
          </w:tcPr>
          <w:p w14:paraId="7D013B00" w14:textId="77777777" w:rsidR="000147DB" w:rsidRPr="00B972B3" w:rsidRDefault="000147DB" w:rsidP="000147DB">
            <w:pPr>
              <w:rPr>
                <w:color w:val="FF0000"/>
                <w:spacing w:val="-4"/>
              </w:rPr>
            </w:pPr>
            <w:r>
              <w:rPr>
                <w:color w:val="FF0000"/>
              </w:rPr>
              <w:t xml:space="preserve">Blomkål</w:t>
            </w:r>
            <w:r>
              <w:rPr>
                <w:color w:val="FF0000"/>
              </w:rPr>
              <w:t xml:space="preserve"> </w:t>
            </w:r>
          </w:p>
        </w:tc>
      </w:tr>
      <w:tr w:rsidR="000147DB" w:rsidRPr="00B972B3" w14:paraId="18ACD985" w14:textId="77777777" w:rsidTr="000147DB">
        <w:tc>
          <w:tcPr>
            <w:tcW w:w="4675" w:type="dxa"/>
          </w:tcPr>
          <w:p w14:paraId="6CE17743" w14:textId="77777777" w:rsidR="000147DB" w:rsidRPr="00B972B3" w:rsidRDefault="000147DB" w:rsidP="000147DB">
            <w:pPr>
              <w:rPr>
                <w:color w:val="FF0000"/>
                <w:spacing w:val="-4"/>
              </w:rPr>
            </w:pPr>
            <w:r>
              <w:rPr>
                <w:color w:val="FF0000"/>
              </w:rPr>
              <w:t xml:space="preserve">Passionsfrugt</w:t>
            </w:r>
          </w:p>
        </w:tc>
        <w:tc>
          <w:tcPr>
            <w:tcW w:w="4675" w:type="dxa"/>
          </w:tcPr>
          <w:p w14:paraId="20A94445" w14:textId="77777777" w:rsidR="000147DB" w:rsidRPr="00B972B3" w:rsidRDefault="000147DB" w:rsidP="000147DB">
            <w:pPr>
              <w:rPr>
                <w:color w:val="FF0000"/>
                <w:spacing w:val="-4"/>
              </w:rPr>
            </w:pPr>
            <w:r>
              <w:rPr>
                <w:color w:val="FF0000"/>
              </w:rPr>
              <w:t xml:space="preserve">Glaskål</w:t>
            </w:r>
            <w:r>
              <w:rPr>
                <w:color w:val="FF0000"/>
              </w:rPr>
              <w:t xml:space="preserve"> </w:t>
            </w:r>
          </w:p>
        </w:tc>
      </w:tr>
      <w:tr w:rsidR="000147DB" w:rsidRPr="00B972B3" w14:paraId="7A4B554F" w14:textId="77777777" w:rsidTr="000147DB">
        <w:tc>
          <w:tcPr>
            <w:tcW w:w="4675" w:type="dxa"/>
          </w:tcPr>
          <w:p w14:paraId="3A217D9C" w14:textId="77777777" w:rsidR="000147DB" w:rsidRPr="00B972B3" w:rsidRDefault="000147DB" w:rsidP="000147DB">
            <w:pPr>
              <w:rPr>
                <w:color w:val="FF0000"/>
                <w:spacing w:val="-4"/>
              </w:rPr>
            </w:pPr>
            <w:r>
              <w:rPr>
                <w:color w:val="FF0000"/>
              </w:rPr>
              <w:t xml:space="preserve">Guava</w:t>
            </w:r>
            <w:r>
              <w:rPr>
                <w:color w:val="FF0000"/>
              </w:rPr>
              <w:t xml:space="preserve"> </w:t>
            </w:r>
          </w:p>
        </w:tc>
        <w:tc>
          <w:tcPr>
            <w:tcW w:w="4675" w:type="dxa"/>
          </w:tcPr>
          <w:p w14:paraId="31DCAFA7" w14:textId="77777777" w:rsidR="000147DB" w:rsidRPr="00B972B3" w:rsidRDefault="000147DB" w:rsidP="000147DB">
            <w:pPr>
              <w:rPr>
                <w:color w:val="FF0000"/>
                <w:spacing w:val="-4"/>
              </w:rPr>
            </w:pPr>
            <w:r>
              <w:rPr>
                <w:color w:val="FF0000"/>
              </w:rPr>
              <w:t xml:space="preserve">Rødkål</w:t>
            </w:r>
          </w:p>
        </w:tc>
      </w:tr>
      <w:tr w:rsidR="000147DB" w:rsidRPr="00B972B3" w14:paraId="46EAAB4B" w14:textId="77777777" w:rsidTr="000147DB">
        <w:tc>
          <w:tcPr>
            <w:tcW w:w="4675" w:type="dxa"/>
          </w:tcPr>
          <w:p w14:paraId="3714A805" w14:textId="77777777" w:rsidR="000147DB" w:rsidRPr="00B972B3" w:rsidRDefault="000147DB" w:rsidP="000147DB">
            <w:pPr>
              <w:rPr>
                <w:color w:val="FF0000"/>
                <w:spacing w:val="-4"/>
              </w:rPr>
            </w:pPr>
            <w:r>
              <w:rPr>
                <w:color w:val="FF0000"/>
              </w:rPr>
              <w:t xml:space="preserve">Granatæble</w:t>
            </w:r>
            <w:r>
              <w:rPr>
                <w:color w:val="FF0000"/>
              </w:rPr>
              <w:t xml:space="preserve"> </w:t>
            </w:r>
          </w:p>
        </w:tc>
        <w:tc>
          <w:tcPr>
            <w:tcW w:w="4675" w:type="dxa"/>
          </w:tcPr>
          <w:p w14:paraId="2E7E8615" w14:textId="77777777" w:rsidR="000147DB" w:rsidRPr="00B972B3" w:rsidRDefault="000147DB" w:rsidP="000147DB">
            <w:pPr>
              <w:rPr>
                <w:color w:val="FF0000"/>
                <w:spacing w:val="-4"/>
              </w:rPr>
            </w:pPr>
            <w:r>
              <w:rPr>
                <w:color w:val="FF0000"/>
              </w:rPr>
              <w:t xml:space="preserve">Grønkål</w:t>
            </w:r>
          </w:p>
        </w:tc>
      </w:tr>
      <w:tr w:rsidR="000147DB" w:rsidRPr="00B972B3" w14:paraId="4A8B4910" w14:textId="77777777" w:rsidTr="000147DB">
        <w:tc>
          <w:tcPr>
            <w:tcW w:w="4675" w:type="dxa"/>
          </w:tcPr>
          <w:p w14:paraId="33BA4A04" w14:textId="77777777" w:rsidR="000147DB" w:rsidRPr="00B972B3" w:rsidRDefault="000147DB" w:rsidP="000147DB">
            <w:pPr>
              <w:rPr>
                <w:color w:val="FF0000"/>
                <w:spacing w:val="-4"/>
              </w:rPr>
            </w:pPr>
            <w:r>
              <w:rPr>
                <w:color w:val="FF0000"/>
              </w:rPr>
              <w:t xml:space="preserve">Kiwi</w:t>
            </w:r>
          </w:p>
        </w:tc>
        <w:tc>
          <w:tcPr>
            <w:tcW w:w="4675" w:type="dxa"/>
          </w:tcPr>
          <w:p w14:paraId="0CB65944" w14:textId="77777777" w:rsidR="000147DB" w:rsidRPr="00B972B3" w:rsidRDefault="000147DB" w:rsidP="000147DB">
            <w:pPr>
              <w:rPr>
                <w:color w:val="FF0000"/>
                <w:spacing w:val="-4"/>
              </w:rPr>
            </w:pPr>
            <w:r>
              <w:rPr>
                <w:color w:val="FF0000"/>
              </w:rPr>
              <w:t xml:space="preserve">Agurk</w:t>
            </w:r>
          </w:p>
        </w:tc>
      </w:tr>
      <w:tr w:rsidR="000147DB" w:rsidRPr="00B972B3" w14:paraId="13ADB47D" w14:textId="77777777" w:rsidTr="000147DB">
        <w:tc>
          <w:tcPr>
            <w:tcW w:w="4675" w:type="dxa"/>
          </w:tcPr>
          <w:p w14:paraId="5C7ECFF7" w14:textId="77777777" w:rsidR="000147DB" w:rsidRPr="00B972B3" w:rsidRDefault="000147DB" w:rsidP="000147DB">
            <w:pPr>
              <w:rPr>
                <w:color w:val="FF0000"/>
                <w:spacing w:val="-4"/>
              </w:rPr>
            </w:pPr>
            <w:r>
              <w:rPr>
                <w:color w:val="FF0000"/>
              </w:rPr>
              <w:t xml:space="preserve">Litchi</w:t>
            </w:r>
          </w:p>
        </w:tc>
        <w:tc>
          <w:tcPr>
            <w:tcW w:w="4675" w:type="dxa"/>
          </w:tcPr>
          <w:p w14:paraId="07FD18D1" w14:textId="77777777" w:rsidR="000147DB" w:rsidRPr="00B972B3" w:rsidRDefault="000147DB" w:rsidP="000147DB">
            <w:pPr>
              <w:rPr>
                <w:color w:val="FF0000"/>
                <w:spacing w:val="-4"/>
              </w:rPr>
            </w:pPr>
            <w:r>
              <w:rPr>
                <w:color w:val="FF0000"/>
              </w:rPr>
              <w:t xml:space="preserve">Græskar</w:t>
            </w:r>
          </w:p>
        </w:tc>
      </w:tr>
      <w:tr w:rsidR="000147DB" w:rsidRPr="00B972B3" w14:paraId="5BF61E7B" w14:textId="77777777" w:rsidTr="000147DB">
        <w:tc>
          <w:tcPr>
            <w:tcW w:w="4675" w:type="dxa"/>
          </w:tcPr>
          <w:p w14:paraId="09F1D97C" w14:textId="77777777" w:rsidR="000147DB" w:rsidRPr="00B972B3" w:rsidRDefault="000147DB" w:rsidP="000147DB">
            <w:pPr>
              <w:rPr>
                <w:color w:val="FF0000"/>
                <w:spacing w:val="-4"/>
              </w:rPr>
            </w:pPr>
            <w:r>
              <w:rPr>
                <w:color w:val="FF0000"/>
              </w:rPr>
              <w:t xml:space="preserve">Mandarin</w:t>
            </w:r>
          </w:p>
        </w:tc>
        <w:tc>
          <w:tcPr>
            <w:tcW w:w="4675" w:type="dxa"/>
          </w:tcPr>
          <w:p w14:paraId="1E3114C2" w14:textId="77777777" w:rsidR="000147DB" w:rsidRPr="00B972B3" w:rsidRDefault="000147DB" w:rsidP="000147DB">
            <w:pPr>
              <w:rPr>
                <w:color w:val="FF0000"/>
                <w:spacing w:val="-4"/>
              </w:rPr>
            </w:pPr>
            <w:r>
              <w:rPr>
                <w:color w:val="FF0000"/>
              </w:rPr>
              <w:t xml:space="preserve">Squash</w:t>
            </w:r>
            <w:r>
              <w:rPr>
                <w:color w:val="FF0000"/>
              </w:rPr>
              <w:t xml:space="preserve"> </w:t>
            </w:r>
          </w:p>
        </w:tc>
      </w:tr>
      <w:tr w:rsidR="000147DB" w:rsidRPr="00B972B3" w14:paraId="058BE4ED" w14:textId="77777777" w:rsidTr="000147DB">
        <w:tc>
          <w:tcPr>
            <w:tcW w:w="4675" w:type="dxa"/>
          </w:tcPr>
          <w:p w14:paraId="0BFC43E1" w14:textId="77777777" w:rsidR="000147DB" w:rsidRPr="00B972B3" w:rsidRDefault="000147DB" w:rsidP="000147DB">
            <w:pPr>
              <w:rPr>
                <w:color w:val="FF0000"/>
                <w:spacing w:val="-4"/>
              </w:rPr>
            </w:pPr>
            <w:r>
              <w:rPr>
                <w:color w:val="FF0000"/>
              </w:rPr>
              <w:t xml:space="preserve">Mango</w:t>
            </w:r>
          </w:p>
        </w:tc>
        <w:tc>
          <w:tcPr>
            <w:tcW w:w="4675" w:type="dxa"/>
          </w:tcPr>
          <w:p w14:paraId="67C4D77E" w14:textId="77777777" w:rsidR="000147DB" w:rsidRPr="00B972B3" w:rsidRDefault="000147DB" w:rsidP="000147DB">
            <w:pPr>
              <w:rPr>
                <w:color w:val="FF0000"/>
                <w:spacing w:val="-4"/>
              </w:rPr>
            </w:pPr>
            <w:r>
              <w:rPr>
                <w:color w:val="FF0000"/>
              </w:rPr>
              <w:t xml:space="preserve">Bønne</w:t>
            </w:r>
            <w:r>
              <w:rPr>
                <w:color w:val="FF0000"/>
              </w:rPr>
              <w:t xml:space="preserve"> </w:t>
            </w:r>
          </w:p>
        </w:tc>
      </w:tr>
      <w:tr w:rsidR="000147DB" w:rsidRPr="00B972B3" w14:paraId="66E9EB65" w14:textId="77777777" w:rsidTr="000147DB">
        <w:tc>
          <w:tcPr>
            <w:tcW w:w="4675" w:type="dxa"/>
          </w:tcPr>
          <w:p w14:paraId="62DA1E01" w14:textId="77777777" w:rsidR="000147DB" w:rsidRPr="00B972B3" w:rsidRDefault="000147DB" w:rsidP="000147DB">
            <w:pPr>
              <w:rPr>
                <w:color w:val="FF0000"/>
                <w:spacing w:val="-4"/>
              </w:rPr>
            </w:pPr>
            <w:r>
              <w:rPr>
                <w:color w:val="FF0000"/>
              </w:rPr>
              <w:t xml:space="preserve">Melon</w:t>
            </w:r>
          </w:p>
        </w:tc>
        <w:tc>
          <w:tcPr>
            <w:tcW w:w="4675" w:type="dxa"/>
          </w:tcPr>
          <w:p w14:paraId="64BDF842" w14:textId="77777777" w:rsidR="000147DB" w:rsidRPr="00B972B3" w:rsidRDefault="000147DB" w:rsidP="000147DB">
            <w:pPr>
              <w:rPr>
                <w:color w:val="FF0000"/>
                <w:spacing w:val="-4"/>
              </w:rPr>
            </w:pPr>
            <w:r>
              <w:rPr>
                <w:color w:val="FF0000"/>
              </w:rPr>
              <w:t xml:space="preserve">Julesalat</w:t>
            </w:r>
          </w:p>
        </w:tc>
      </w:tr>
      <w:tr w:rsidR="000147DB" w:rsidRPr="00B972B3" w14:paraId="44E6EB14" w14:textId="77777777" w:rsidTr="000147DB">
        <w:tc>
          <w:tcPr>
            <w:tcW w:w="4675" w:type="dxa"/>
          </w:tcPr>
          <w:p w14:paraId="36F85F5A" w14:textId="77777777" w:rsidR="000147DB" w:rsidRPr="00B972B3" w:rsidRDefault="000147DB" w:rsidP="000147DB">
            <w:pPr>
              <w:rPr>
                <w:color w:val="FF0000"/>
                <w:spacing w:val="-4"/>
              </w:rPr>
            </w:pPr>
            <w:r>
              <w:rPr>
                <w:color w:val="FF0000"/>
              </w:rPr>
              <w:t xml:space="preserve">Mirabelle</w:t>
            </w:r>
          </w:p>
        </w:tc>
        <w:tc>
          <w:tcPr>
            <w:tcW w:w="4675" w:type="dxa"/>
          </w:tcPr>
          <w:p w14:paraId="716EDB7B" w14:textId="77777777" w:rsidR="000147DB" w:rsidRPr="00B972B3" w:rsidRDefault="000147DB" w:rsidP="000147DB">
            <w:pPr>
              <w:rPr>
                <w:color w:val="FF0000"/>
                <w:spacing w:val="-4"/>
              </w:rPr>
            </w:pPr>
            <w:r>
              <w:rPr>
                <w:color w:val="FF0000"/>
              </w:rPr>
              <w:t xml:space="preserve">Fennikel</w:t>
            </w:r>
          </w:p>
        </w:tc>
      </w:tr>
      <w:tr w:rsidR="000147DB" w:rsidRPr="00B972B3" w14:paraId="4F4FE624" w14:textId="77777777" w:rsidTr="000147DB">
        <w:tc>
          <w:tcPr>
            <w:tcW w:w="4675" w:type="dxa"/>
          </w:tcPr>
          <w:p w14:paraId="69D53F98" w14:textId="77777777" w:rsidR="000147DB" w:rsidRPr="00B972B3" w:rsidRDefault="000147DB" w:rsidP="000147DB">
            <w:pPr>
              <w:rPr>
                <w:color w:val="FF0000"/>
                <w:spacing w:val="-4"/>
              </w:rPr>
            </w:pPr>
            <w:r>
              <w:rPr>
                <w:color w:val="FF0000"/>
              </w:rPr>
              <w:t xml:space="preserve">Nektarin</w:t>
            </w:r>
          </w:p>
        </w:tc>
        <w:tc>
          <w:tcPr>
            <w:tcW w:w="4675" w:type="dxa"/>
          </w:tcPr>
          <w:p w14:paraId="34F5A88D" w14:textId="77777777" w:rsidR="000147DB" w:rsidRPr="00B972B3" w:rsidRDefault="000147DB" w:rsidP="000147DB">
            <w:pPr>
              <w:rPr>
                <w:color w:val="FF0000"/>
                <w:spacing w:val="-4"/>
              </w:rPr>
            </w:pPr>
            <w:r>
              <w:rPr>
                <w:color w:val="FF0000"/>
              </w:rPr>
              <w:t xml:space="preserve">Majs</w:t>
            </w:r>
          </w:p>
        </w:tc>
      </w:tr>
      <w:tr w:rsidR="000147DB" w:rsidRPr="00B972B3" w14:paraId="3240DCA5" w14:textId="77777777" w:rsidTr="000147DB">
        <w:tc>
          <w:tcPr>
            <w:tcW w:w="4675" w:type="dxa"/>
          </w:tcPr>
          <w:p w14:paraId="473CC067" w14:textId="77777777" w:rsidR="000147DB" w:rsidRPr="00B972B3" w:rsidRDefault="000147DB" w:rsidP="000147DB">
            <w:pPr>
              <w:rPr>
                <w:color w:val="FF0000"/>
                <w:spacing w:val="-4"/>
              </w:rPr>
            </w:pPr>
            <w:r>
              <w:rPr>
                <w:color w:val="FF0000"/>
              </w:rPr>
              <w:t xml:space="preserve">Appelsin</w:t>
            </w:r>
          </w:p>
        </w:tc>
        <w:tc>
          <w:tcPr>
            <w:tcW w:w="4675" w:type="dxa"/>
          </w:tcPr>
          <w:p w14:paraId="00AE1AA5" w14:textId="77777777" w:rsidR="000147DB" w:rsidRPr="00B972B3" w:rsidRDefault="000147DB" w:rsidP="000147DB">
            <w:pPr>
              <w:rPr>
                <w:color w:val="FF0000"/>
                <w:spacing w:val="-4"/>
              </w:rPr>
            </w:pPr>
            <w:r>
              <w:rPr>
                <w:color w:val="FF0000"/>
              </w:rPr>
              <w:t xml:space="preserve">Kålrabi</w:t>
            </w:r>
          </w:p>
        </w:tc>
      </w:tr>
      <w:tr w:rsidR="000147DB" w:rsidRPr="00B972B3" w14:paraId="30DFD560" w14:textId="77777777" w:rsidTr="000147DB">
        <w:tc>
          <w:tcPr>
            <w:tcW w:w="4675" w:type="dxa"/>
          </w:tcPr>
          <w:p w14:paraId="7D5D8253" w14:textId="77777777" w:rsidR="000147DB" w:rsidRPr="00B972B3" w:rsidRDefault="000147DB" w:rsidP="000147DB">
            <w:pPr>
              <w:rPr>
                <w:color w:val="FF0000"/>
                <w:spacing w:val="-4"/>
              </w:rPr>
            </w:pPr>
            <w:r>
              <w:rPr>
                <w:color w:val="FF0000"/>
              </w:rPr>
              <w:t xml:space="preserve">Papaja</w:t>
            </w:r>
          </w:p>
        </w:tc>
        <w:tc>
          <w:tcPr>
            <w:tcW w:w="4675" w:type="dxa"/>
          </w:tcPr>
          <w:p w14:paraId="075DB470" w14:textId="77777777" w:rsidR="000147DB" w:rsidRPr="00B972B3" w:rsidRDefault="000147DB" w:rsidP="000147DB">
            <w:pPr>
              <w:rPr>
                <w:color w:val="FF0000"/>
                <w:spacing w:val="-4"/>
              </w:rPr>
            </w:pPr>
            <w:r>
              <w:rPr>
                <w:color w:val="FF0000"/>
              </w:rPr>
              <w:t xml:space="preserve">Løg</w:t>
            </w:r>
          </w:p>
        </w:tc>
      </w:tr>
      <w:tr w:rsidR="000147DB" w:rsidRPr="00B972B3" w14:paraId="115E4F3A" w14:textId="77777777" w:rsidTr="000147DB">
        <w:tc>
          <w:tcPr>
            <w:tcW w:w="4675" w:type="dxa"/>
          </w:tcPr>
          <w:p w14:paraId="16098F8E" w14:textId="77777777" w:rsidR="000147DB" w:rsidRPr="00B972B3" w:rsidRDefault="000147DB" w:rsidP="000147DB">
            <w:pPr>
              <w:rPr>
                <w:color w:val="FF0000"/>
                <w:spacing w:val="-4"/>
                <w:lang w:val="fr-FR"/>
              </w:rPr>
            </w:pPr>
          </w:p>
        </w:tc>
        <w:tc>
          <w:tcPr>
            <w:tcW w:w="4675" w:type="dxa"/>
          </w:tcPr>
          <w:p w14:paraId="07D4FF99" w14:textId="77777777" w:rsidR="000147DB" w:rsidRPr="00B972B3" w:rsidRDefault="000147DB" w:rsidP="000147DB">
            <w:pPr>
              <w:rPr>
                <w:color w:val="FF0000"/>
                <w:spacing w:val="-4"/>
              </w:rPr>
            </w:pPr>
            <w:r>
              <w:rPr>
                <w:color w:val="FF0000"/>
              </w:rPr>
              <w:t xml:space="preserve">Porre</w:t>
            </w:r>
          </w:p>
        </w:tc>
      </w:tr>
      <w:tr w:rsidR="000147DB" w:rsidRPr="00B972B3" w14:paraId="09F7F61C" w14:textId="77777777" w:rsidTr="000147DB">
        <w:tc>
          <w:tcPr>
            <w:tcW w:w="4675" w:type="dxa"/>
          </w:tcPr>
          <w:p w14:paraId="6A1211D9" w14:textId="77777777" w:rsidR="000147DB" w:rsidRPr="00B972B3" w:rsidRDefault="000147DB" w:rsidP="000147DB">
            <w:pPr>
              <w:rPr>
                <w:color w:val="FF0000"/>
                <w:spacing w:val="-4"/>
              </w:rPr>
            </w:pPr>
            <w:r>
              <w:rPr>
                <w:color w:val="FF0000"/>
              </w:rPr>
              <w:t xml:space="preserve">Fersken</w:t>
            </w:r>
          </w:p>
        </w:tc>
        <w:tc>
          <w:tcPr>
            <w:tcW w:w="4675" w:type="dxa"/>
          </w:tcPr>
          <w:p w14:paraId="5243B15C" w14:textId="77777777" w:rsidR="000147DB" w:rsidRPr="00B972B3" w:rsidRDefault="000147DB" w:rsidP="000147DB">
            <w:pPr>
              <w:rPr>
                <w:color w:val="FF0000"/>
                <w:spacing w:val="-4"/>
              </w:rPr>
            </w:pPr>
            <w:r>
              <w:rPr>
                <w:color w:val="FF0000"/>
              </w:rPr>
              <w:t xml:space="preserve">Peberfrugt</w:t>
            </w:r>
          </w:p>
        </w:tc>
      </w:tr>
      <w:tr w:rsidR="000147DB" w:rsidRPr="00B972B3" w14:paraId="6832B4B9" w14:textId="77777777" w:rsidTr="000147DB">
        <w:tc>
          <w:tcPr>
            <w:tcW w:w="4675" w:type="dxa"/>
          </w:tcPr>
          <w:p w14:paraId="08A941EE" w14:textId="77777777" w:rsidR="000147DB" w:rsidRPr="00B972B3" w:rsidRDefault="000147DB" w:rsidP="000147DB">
            <w:pPr>
              <w:rPr>
                <w:color w:val="FF0000"/>
                <w:spacing w:val="-4"/>
              </w:rPr>
            </w:pPr>
            <w:r>
              <w:rPr>
                <w:color w:val="FF0000"/>
              </w:rPr>
              <w:t xml:space="preserve">Blærebæger</w:t>
            </w:r>
          </w:p>
        </w:tc>
        <w:tc>
          <w:tcPr>
            <w:tcW w:w="4675" w:type="dxa"/>
          </w:tcPr>
          <w:p w14:paraId="6052EBF3" w14:textId="77777777" w:rsidR="000147DB" w:rsidRPr="00B972B3" w:rsidRDefault="000147DB" w:rsidP="000147DB">
            <w:pPr>
              <w:rPr>
                <w:color w:val="FF0000"/>
                <w:spacing w:val="-4"/>
              </w:rPr>
            </w:pPr>
            <w:r>
              <w:rPr>
                <w:color w:val="FF0000"/>
              </w:rPr>
              <w:t xml:space="preserve">Kartofler</w:t>
            </w:r>
          </w:p>
        </w:tc>
      </w:tr>
      <w:tr w:rsidR="000147DB" w:rsidRPr="00B972B3" w14:paraId="4F617AD6" w14:textId="77777777" w:rsidTr="000147DB">
        <w:tc>
          <w:tcPr>
            <w:tcW w:w="4675" w:type="dxa"/>
          </w:tcPr>
          <w:p w14:paraId="7C4C092D" w14:textId="77777777" w:rsidR="000147DB" w:rsidRPr="00B972B3" w:rsidRDefault="000147DB" w:rsidP="000147DB">
            <w:pPr>
              <w:rPr>
                <w:color w:val="FF0000"/>
                <w:spacing w:val="-4"/>
              </w:rPr>
            </w:pPr>
            <w:r>
              <w:rPr>
                <w:color w:val="FF0000"/>
              </w:rPr>
              <w:t xml:space="preserve">Pitahaya</w:t>
            </w:r>
          </w:p>
        </w:tc>
        <w:tc>
          <w:tcPr>
            <w:tcW w:w="4675" w:type="dxa"/>
          </w:tcPr>
          <w:p w14:paraId="0C08F9BD" w14:textId="77777777" w:rsidR="000147DB" w:rsidRPr="00B972B3" w:rsidRDefault="000147DB" w:rsidP="000147DB">
            <w:pPr>
              <w:rPr>
                <w:color w:val="FF0000"/>
                <w:spacing w:val="-4"/>
              </w:rPr>
            </w:pPr>
            <w:r>
              <w:rPr>
                <w:color w:val="FF0000"/>
              </w:rPr>
              <w:t xml:space="preserve">Centnergræskar</w:t>
            </w:r>
          </w:p>
        </w:tc>
      </w:tr>
      <w:tr w:rsidR="000147DB" w:rsidRPr="00B972B3" w14:paraId="1FEFBA7A" w14:textId="77777777" w:rsidTr="000147DB">
        <w:tc>
          <w:tcPr>
            <w:tcW w:w="4675" w:type="dxa"/>
          </w:tcPr>
          <w:p w14:paraId="69B23FE7" w14:textId="77777777" w:rsidR="000147DB" w:rsidRPr="00B972B3" w:rsidRDefault="000147DB" w:rsidP="000147DB">
            <w:pPr>
              <w:rPr>
                <w:color w:val="FF0000"/>
                <w:spacing w:val="-4"/>
              </w:rPr>
            </w:pPr>
            <w:r>
              <w:rPr>
                <w:color w:val="FF0000"/>
              </w:rPr>
              <w:t xml:space="preserve">Kakifrugt</w:t>
            </w:r>
          </w:p>
        </w:tc>
        <w:tc>
          <w:tcPr>
            <w:tcW w:w="4675" w:type="dxa"/>
          </w:tcPr>
          <w:p w14:paraId="764A6ACA" w14:textId="77777777" w:rsidR="000147DB" w:rsidRPr="00B972B3" w:rsidRDefault="000147DB" w:rsidP="000147DB">
            <w:pPr>
              <w:rPr>
                <w:color w:val="FF0000"/>
                <w:spacing w:val="-4"/>
              </w:rPr>
            </w:pPr>
            <w:r>
              <w:rPr>
                <w:color w:val="FF0000"/>
              </w:rPr>
              <w:t xml:space="preserve">Radise</w:t>
            </w:r>
            <w:r>
              <w:rPr>
                <w:color w:val="FF0000"/>
              </w:rPr>
              <w:t xml:space="preserve"> </w:t>
            </w:r>
          </w:p>
        </w:tc>
      </w:tr>
      <w:tr w:rsidR="000147DB" w:rsidRPr="00B972B3" w14:paraId="11407E0D" w14:textId="77777777" w:rsidTr="000147DB">
        <w:tc>
          <w:tcPr>
            <w:tcW w:w="4675" w:type="dxa"/>
          </w:tcPr>
          <w:p w14:paraId="4AD18DCC" w14:textId="77777777" w:rsidR="000147DB" w:rsidRPr="00B972B3" w:rsidRDefault="000147DB" w:rsidP="000147DB">
            <w:pPr>
              <w:rPr>
                <w:color w:val="FF0000"/>
                <w:spacing w:val="-4"/>
              </w:rPr>
            </w:pPr>
            <w:r>
              <w:rPr>
                <w:color w:val="FF0000"/>
              </w:rPr>
              <w:t xml:space="preserve">Pære</w:t>
            </w:r>
          </w:p>
        </w:tc>
        <w:tc>
          <w:tcPr>
            <w:tcW w:w="4675" w:type="dxa"/>
          </w:tcPr>
          <w:p w14:paraId="64399CC8" w14:textId="77777777" w:rsidR="000147DB" w:rsidRPr="00B972B3" w:rsidRDefault="000147DB" w:rsidP="000147DB">
            <w:pPr>
              <w:rPr>
                <w:color w:val="FF0000"/>
                <w:spacing w:val="-4"/>
              </w:rPr>
            </w:pPr>
            <w:r>
              <w:rPr>
                <w:color w:val="FF0000"/>
              </w:rPr>
              <w:t xml:space="preserve">Rabarber</w:t>
            </w:r>
            <w:r>
              <w:rPr>
                <w:color w:val="FF0000"/>
              </w:rPr>
              <w:t xml:space="preserve"> </w:t>
            </w:r>
          </w:p>
        </w:tc>
      </w:tr>
      <w:tr w:rsidR="000147DB" w:rsidRPr="00B972B3" w14:paraId="32260AF1" w14:textId="77777777" w:rsidTr="000147DB">
        <w:tc>
          <w:tcPr>
            <w:tcW w:w="4675" w:type="dxa"/>
          </w:tcPr>
          <w:p w14:paraId="72306095" w14:textId="77777777" w:rsidR="000147DB" w:rsidRPr="00B972B3" w:rsidRDefault="000147DB" w:rsidP="000147DB">
            <w:pPr>
              <w:rPr>
                <w:color w:val="FF0000"/>
                <w:spacing w:val="-4"/>
              </w:rPr>
            </w:pPr>
            <w:r>
              <w:rPr>
                <w:color w:val="FF0000"/>
              </w:rPr>
              <w:t xml:space="preserve">Grapefrugt</w:t>
            </w:r>
          </w:p>
        </w:tc>
        <w:tc>
          <w:tcPr>
            <w:tcW w:w="4675" w:type="dxa"/>
          </w:tcPr>
          <w:p w14:paraId="44F6263F" w14:textId="77777777" w:rsidR="000147DB" w:rsidRPr="00B972B3" w:rsidRDefault="000147DB" w:rsidP="000147DB">
            <w:pPr>
              <w:rPr>
                <w:color w:val="FF0000"/>
                <w:spacing w:val="-4"/>
              </w:rPr>
            </w:pPr>
            <w:r>
              <w:rPr>
                <w:color w:val="FF0000"/>
              </w:rPr>
              <w:t xml:space="preserve">Tomat</w:t>
            </w:r>
          </w:p>
        </w:tc>
      </w:tr>
      <w:tr w:rsidR="000147DB" w:rsidRPr="00B972B3" w14:paraId="4EB16200" w14:textId="77777777" w:rsidTr="000147DB">
        <w:tc>
          <w:tcPr>
            <w:tcW w:w="4675" w:type="dxa"/>
          </w:tcPr>
          <w:p w14:paraId="787E8109" w14:textId="77777777" w:rsidR="000147DB" w:rsidRPr="00B972B3" w:rsidRDefault="000147DB" w:rsidP="000147DB">
            <w:pPr>
              <w:rPr>
                <w:color w:val="FF0000"/>
                <w:spacing w:val="-4"/>
              </w:rPr>
            </w:pPr>
            <w:r>
              <w:rPr>
                <w:color w:val="FF0000"/>
              </w:rPr>
              <w:t xml:space="preserve">Æble</w:t>
            </w:r>
          </w:p>
        </w:tc>
        <w:tc>
          <w:tcPr>
            <w:tcW w:w="4675" w:type="dxa"/>
          </w:tcPr>
          <w:p w14:paraId="28292D08" w14:textId="77777777" w:rsidR="000147DB" w:rsidRPr="00B972B3" w:rsidRDefault="000147DB" w:rsidP="000147DB">
            <w:pPr>
              <w:rPr>
                <w:color w:val="FF0000"/>
                <w:spacing w:val="-4"/>
                <w:lang w:val="fr-FR"/>
              </w:rPr>
            </w:pPr>
          </w:p>
        </w:tc>
      </w:tr>
      <w:tr w:rsidR="000147DB" w:rsidRPr="00B972B3" w14:paraId="22A6C632" w14:textId="77777777" w:rsidTr="000147DB">
        <w:tc>
          <w:tcPr>
            <w:tcW w:w="4675" w:type="dxa"/>
          </w:tcPr>
          <w:p w14:paraId="06096887" w14:textId="77777777" w:rsidR="000147DB" w:rsidRPr="00B972B3" w:rsidRDefault="000147DB" w:rsidP="000147DB">
            <w:pPr>
              <w:rPr>
                <w:color w:val="FF0000"/>
                <w:spacing w:val="-4"/>
              </w:rPr>
            </w:pPr>
            <w:r>
              <w:rPr>
                <w:color w:val="FF0000"/>
              </w:rPr>
              <w:t xml:space="preserve">Blomme</w:t>
            </w:r>
          </w:p>
        </w:tc>
        <w:tc>
          <w:tcPr>
            <w:tcW w:w="4675" w:type="dxa"/>
          </w:tcPr>
          <w:p w14:paraId="31FBC44F" w14:textId="77777777" w:rsidR="000147DB" w:rsidRPr="00B972B3" w:rsidRDefault="000147DB" w:rsidP="000147DB">
            <w:pPr>
              <w:rPr>
                <w:color w:val="FF0000"/>
                <w:spacing w:val="-4"/>
                <w:lang w:val="fr-FR"/>
              </w:rPr>
            </w:pPr>
          </w:p>
        </w:tc>
      </w:tr>
      <w:tr w:rsidR="000147DB" w:rsidRPr="00B972B3" w14:paraId="03FEA02E" w14:textId="77777777" w:rsidTr="000147DB">
        <w:tc>
          <w:tcPr>
            <w:tcW w:w="4675" w:type="dxa"/>
          </w:tcPr>
          <w:p w14:paraId="730E282E" w14:textId="77777777" w:rsidR="000147DB" w:rsidRPr="00B972B3" w:rsidRDefault="000147DB" w:rsidP="000147DB">
            <w:pPr>
              <w:rPr>
                <w:color w:val="FF0000"/>
                <w:spacing w:val="-4"/>
              </w:rPr>
            </w:pPr>
            <w:r>
              <w:rPr>
                <w:color w:val="FF0000"/>
              </w:rPr>
              <w:t xml:space="preserve">Vindrue</w:t>
            </w:r>
          </w:p>
        </w:tc>
        <w:tc>
          <w:tcPr>
            <w:tcW w:w="4675" w:type="dxa"/>
          </w:tcPr>
          <w:p w14:paraId="01285983" w14:textId="77777777" w:rsidR="000147DB" w:rsidRPr="00B972B3" w:rsidRDefault="000147DB" w:rsidP="000147DB">
            <w:pPr>
              <w:rPr>
                <w:color w:val="FF0000"/>
                <w:spacing w:val="-4"/>
                <w:lang w:val="fr-FR"/>
              </w:rPr>
            </w:pPr>
          </w:p>
        </w:tc>
      </w:tr>
    </w:tbl>
    <w:p w14:paraId="5A53B0EB" w14:textId="77777777" w:rsidR="000147DB" w:rsidRPr="003E7524" w:rsidRDefault="000147DB" w:rsidP="000147DB">
      <w:pPr>
        <w:autoSpaceDE w:val="0"/>
        <w:autoSpaceDN w:val="0"/>
        <w:adjustRightInd w:val="0"/>
        <w:spacing w:after="0"/>
        <w:jc w:val="center"/>
        <w:rPr>
          <w:rFonts w:cs="TimesNewRoman"/>
          <w:color w:val="FF0000"/>
          <w:sz w:val="24"/>
          <w:szCs w:val="24"/>
          <w:u w:val="single"/>
          <w:lang w:val="fr-LU" w:eastAsia="fr-BE"/>
        </w:rPr>
      </w:pPr>
    </w:p>
    <w:p w14:paraId="57B71326" w14:textId="77777777" w:rsidR="000147DB" w:rsidRPr="003E7524" w:rsidRDefault="000147DB" w:rsidP="000147DB">
      <w:pPr>
        <w:autoSpaceDE w:val="0"/>
        <w:autoSpaceDN w:val="0"/>
        <w:adjustRightInd w:val="0"/>
        <w:spacing w:after="0"/>
        <w:jc w:val="center"/>
        <w:rPr>
          <w:rFonts w:cs="TimesNewRoman"/>
          <w:color w:val="FF0000"/>
          <w:sz w:val="24"/>
          <w:szCs w:val="24"/>
          <w:lang w:val="fr-LU" w:eastAsia="fr-BE"/>
        </w:rPr>
      </w:pPr>
    </w:p>
    <w:p w14:paraId="25668959" w14:textId="77777777" w:rsidR="000147DB" w:rsidRPr="003E7524" w:rsidRDefault="000147DB" w:rsidP="000147DB">
      <w:pPr>
        <w:autoSpaceDE w:val="0"/>
        <w:autoSpaceDN w:val="0"/>
        <w:adjustRightInd w:val="0"/>
        <w:spacing w:after="0"/>
        <w:rPr>
          <w:rFonts w:cs="TimesNewRoman"/>
          <w:sz w:val="24"/>
          <w:szCs w:val="24"/>
          <w:lang w:val="fr-FR" w:eastAsia="fr-BE"/>
        </w:rPr>
      </w:pPr>
    </w:p>
    <w:p w14:paraId="69AFEE6D" w14:textId="77777777" w:rsidR="00C660B5" w:rsidRPr="003E7524" w:rsidRDefault="00C660B5"/>
    <w:sectPr w:rsidR="00C660B5" w:rsidRPr="003E75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dirty" w:grammar="dirty"/>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7DB"/>
    <w:rsid w:val="000147DB"/>
    <w:rsid w:val="002F5A31"/>
    <w:rsid w:val="003E7524"/>
    <w:rsid w:val="00471E09"/>
    <w:rsid w:val="005E4757"/>
    <w:rsid w:val="006432AD"/>
    <w:rsid w:val="00747C65"/>
    <w:rsid w:val="00B972B3"/>
    <w:rsid w:val="00C660B5"/>
    <w:rsid w:val="00C67B48"/>
    <w:rsid w:val="00FE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4E43"/>
  <w15:chartTrackingRefBased/>
  <w15:docId w15:val="{12AE3B3A-45FF-4B26-936F-4BF0608C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itre">
    <w:name w:val="Chapitre"/>
    <w:basedOn w:val="Normal"/>
    <w:next w:val="Sous-section"/>
    <w:qFormat/>
    <w:rsid w:val="000147DB"/>
  </w:style>
  <w:style w:type="paragraph" w:customStyle="1" w:styleId="Section">
    <w:name w:val="Section"/>
    <w:basedOn w:val="Normal"/>
    <w:next w:val="Article"/>
    <w:qFormat/>
    <w:rsid w:val="000147DB"/>
  </w:style>
  <w:style w:type="paragraph" w:customStyle="1" w:styleId="Sous-section">
    <w:name w:val="Sous-section"/>
    <w:basedOn w:val="Normal"/>
    <w:next w:val="Liste1"/>
    <w:qFormat/>
    <w:rsid w:val="000147DB"/>
  </w:style>
  <w:style w:type="paragraph" w:customStyle="1" w:styleId="Article">
    <w:name w:val="Article"/>
    <w:basedOn w:val="Normal"/>
    <w:next w:val="Liste10"/>
    <w:qFormat/>
    <w:rsid w:val="000147DB"/>
  </w:style>
  <w:style w:type="paragraph" w:customStyle="1" w:styleId="Liste1">
    <w:name w:val="Liste (1)"/>
    <w:basedOn w:val="Normal"/>
    <w:next w:val="Listea"/>
    <w:qFormat/>
    <w:rsid w:val="000147DB"/>
  </w:style>
  <w:style w:type="paragraph" w:customStyle="1" w:styleId="Liste10">
    <w:name w:val="Liste 1."/>
    <w:basedOn w:val="Normal"/>
    <w:next w:val="Numerotation1"/>
    <w:qFormat/>
    <w:rsid w:val="000147DB"/>
  </w:style>
  <w:style w:type="paragraph" w:customStyle="1" w:styleId="Listea">
    <w:name w:val="Liste a)"/>
    <w:basedOn w:val="Numerotation1"/>
    <w:next w:val="Numerotationa"/>
    <w:qFormat/>
    <w:rsid w:val="000147DB"/>
  </w:style>
  <w:style w:type="paragraph" w:customStyle="1" w:styleId="Numerotation1">
    <w:name w:val="Numerotation 1."/>
    <w:basedOn w:val="Normal"/>
    <w:qFormat/>
    <w:rsid w:val="000147DB"/>
  </w:style>
  <w:style w:type="paragraph" w:customStyle="1" w:styleId="Numerotationa">
    <w:name w:val="Numerotation a)"/>
    <w:basedOn w:val="Numerotation1"/>
    <w:next w:val="Normal"/>
    <w:qFormat/>
    <w:rsid w:val="000147DB"/>
  </w:style>
  <w:style w:type="table" w:styleId="TableGrid">
    <w:name w:val="Table Grid"/>
    <w:basedOn w:val="TableNormal"/>
    <w:uiPriority w:val="39"/>
    <w:rsid w:val="00014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ilux.public.lu/eli/etat/leg/loi/2012/03/21/n1/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19</Pages>
  <Words>6879</Words>
  <Characters>39212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46000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Diana STOICA</cp:lastModifiedBy>
  <cp:revision>2</cp:revision>
  <dcterms:created xsi:type="dcterms:W3CDTF">2020-07-27T11:52:00Z</dcterms:created>
  <dcterms:modified xsi:type="dcterms:W3CDTF">2020-07-30T08:24:00Z</dcterms:modified>
</cp:coreProperties>
</file>