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A17D6" w14:textId="18224A27" w:rsidR="00680045" w:rsidRPr="00471E09" w:rsidRDefault="00680045" w:rsidP="00680045">
      <w:pPr>
        <w:spacing w:after="0" w:line="240" w:lineRule="auto"/>
        <w:rPr>
          <w:rFonts w:ascii="Courier New" w:hAnsi="Courier New" w:cs="Courier New"/>
          <w:sz w:val="20"/>
          <w:szCs w:val="20"/>
        </w:rPr>
      </w:pPr>
      <w:bookmarkStart w:id="0" w:name="_Hlk46997595"/>
      <w:r w:rsidRPr="00471E09">
        <w:rPr>
          <w:rFonts w:ascii="Courier New" w:hAnsi="Courier New" w:cs="Courier New"/>
          <w:sz w:val="20"/>
          <w:szCs w:val="20"/>
        </w:rPr>
        <w:t xml:space="preserve">1. ------IND- 2020 0485 L-- </w:t>
      </w:r>
      <w:r>
        <w:rPr>
          <w:rFonts w:ascii="Courier New" w:hAnsi="Courier New" w:cs="Courier New"/>
          <w:sz w:val="20"/>
          <w:szCs w:val="20"/>
          <w:lang w:val="en-US"/>
        </w:rPr>
        <w:t>EL</w:t>
      </w:r>
      <w:r w:rsidRPr="00471E09">
        <w:rPr>
          <w:rFonts w:ascii="Courier New" w:hAnsi="Courier New" w:cs="Courier New"/>
          <w:sz w:val="20"/>
          <w:szCs w:val="20"/>
        </w:rPr>
        <w:t>- ------ 20200812 --- --- PROJET</w:t>
      </w:r>
    </w:p>
    <w:bookmarkEnd w:id="0"/>
    <w:p w14:paraId="064DCE1A" w14:textId="2EE2449E" w:rsidR="000147DB" w:rsidRPr="003E7524" w:rsidRDefault="000147DB" w:rsidP="002F5A31">
      <w:pPr>
        <w:keepNext/>
        <w:keepLines/>
        <w:spacing w:after="200" w:line="276" w:lineRule="auto"/>
        <w:jc w:val="center"/>
        <w:rPr>
          <w:rFonts w:ascii="Times New Roman" w:eastAsia="Times New Roman" w:hAnsi="Times New Roman" w:cs="Times New Roman"/>
          <w:b/>
          <w:sz w:val="24"/>
          <w:szCs w:val="24"/>
        </w:rPr>
      </w:pPr>
      <w:r>
        <w:rPr>
          <w:rFonts w:ascii="Times New Roman" w:hAnsi="Times New Roman"/>
          <w:b/>
          <w:sz w:val="24"/>
        </w:rPr>
        <w:t>Νόμος της 21ης Μαρτίου 2017 σχετικά με τις συσκευασίες και τα απορρίμματα συσκευασίας</w:t>
      </w:r>
    </w:p>
    <w:p w14:paraId="71E8730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rPr>
      </w:pPr>
      <w:r>
        <w:rPr>
          <w:b/>
          <w:sz w:val="24"/>
        </w:rPr>
        <w:t>Ενοποιημένο κείμενο</w:t>
      </w:r>
    </w:p>
    <w:p w14:paraId="7D923E4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lang w:val="fr-LU"/>
        </w:rPr>
      </w:pPr>
    </w:p>
    <w:p w14:paraId="6E6CA03B" w14:textId="77777777" w:rsidR="000147DB" w:rsidRPr="003E7524" w:rsidRDefault="000147DB" w:rsidP="002F5A31">
      <w:pPr>
        <w:keepNext/>
        <w:keepLines/>
        <w:spacing w:after="0" w:line="240" w:lineRule="auto"/>
        <w:jc w:val="both"/>
        <w:rPr>
          <w:rFonts w:eastAsia="Times New Roman" w:cs="Arial"/>
          <w:b/>
          <w:lang w:val="fr-FR" w:eastAsia="fr-FR"/>
        </w:rPr>
      </w:pPr>
    </w:p>
    <w:p w14:paraId="584BE14E" w14:textId="77777777" w:rsidR="000147DB" w:rsidRPr="003E7524" w:rsidRDefault="000147DB" w:rsidP="002F5A31">
      <w:pPr>
        <w:keepNext/>
        <w:keepLines/>
        <w:spacing w:after="0" w:line="240" w:lineRule="auto"/>
        <w:jc w:val="both"/>
        <w:rPr>
          <w:rFonts w:eastAsia="Times New Roman" w:cs="Arial"/>
          <w:b/>
          <w:lang w:val="fr-FR" w:eastAsia="fr-FR"/>
        </w:rPr>
      </w:pPr>
    </w:p>
    <w:p w14:paraId="720F607F"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52F5EF4E"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3FEA7740" w14:textId="31B3FC85" w:rsidR="000147DB" w:rsidRPr="003E7524" w:rsidRDefault="000147DB" w:rsidP="002F5A31">
      <w:pPr>
        <w:keepNext/>
        <w:keepLines/>
        <w:spacing w:beforeLines="100" w:before="240" w:after="240" w:line="240" w:lineRule="auto"/>
        <w:jc w:val="both"/>
        <w:rPr>
          <w:rFonts w:eastAsia="Calibri" w:cs="TimesLTStd-Roman"/>
          <w:color w:val="FF0000"/>
          <w:sz w:val="24"/>
          <w:szCs w:val="24"/>
        </w:rPr>
      </w:pPr>
      <w:r>
        <w:rPr>
          <w:color w:val="FF0000"/>
          <w:sz w:val="24"/>
          <w:u w:val="single"/>
        </w:rPr>
        <w:t>Άρθρο 1. Στόχοι</w:t>
      </w:r>
    </w:p>
    <w:p w14:paraId="20EDAC04" w14:textId="77777777" w:rsidR="000147DB" w:rsidRPr="003E7524" w:rsidRDefault="000147DB" w:rsidP="000147DB">
      <w:pPr>
        <w:spacing w:beforeLines="100" w:before="240" w:after="240" w:line="240" w:lineRule="auto"/>
        <w:jc w:val="both"/>
        <w:rPr>
          <w:rFonts w:eastAsia="Calibri" w:cs="TimesLTStd-Roman"/>
          <w:color w:val="FF0000"/>
          <w:sz w:val="24"/>
          <w:szCs w:val="24"/>
        </w:rPr>
      </w:pPr>
      <w:r>
        <w:rPr>
          <w:color w:val="FF0000"/>
          <w:sz w:val="24"/>
        </w:rPr>
        <w:t> Ο παρών νόμος θεσπίζει μέτρα που αποσκοπούν, κατά πρώτη προτεραιότητα, στην πρόληψη της δημιουργίας απορριμμάτων συσκευασίας και, ως περαιτέρω θεμελιώδεις αρχές, στην ανάκτηση και στην προετοιμασία για επαναχρησιμοποίηση των συσκευασιών, στην ανακύκλωση και σε άλλες μορφές αξιοποίησης των απορριμμάτων συσκευασίας και, ως εκ τούτου, στη μείωση της τελικής διάθεσης των απορριμμάτων αυτών ούτως ώστε να συμβάλει στη μετάβαση προς μια κυκλική οικονομία.</w:t>
      </w:r>
    </w:p>
    <w:p w14:paraId="58ECE028" w14:textId="77777777" w:rsidR="000147DB" w:rsidRPr="003E7524" w:rsidRDefault="000147DB" w:rsidP="000147DB">
      <w:pPr>
        <w:spacing w:after="0" w:line="240" w:lineRule="auto"/>
        <w:jc w:val="both"/>
        <w:rPr>
          <w:rFonts w:eastAsia="Times New Roman" w:cs="Arial"/>
          <w:lang w:val="fr-FR" w:eastAsia="fr-FR"/>
        </w:rPr>
      </w:pPr>
    </w:p>
    <w:p w14:paraId="12603C0B" w14:textId="77777777" w:rsidR="000147DB" w:rsidRPr="003E7524" w:rsidRDefault="000147DB" w:rsidP="002F5A31">
      <w:pPr>
        <w:keepNext/>
        <w:keepLines/>
        <w:spacing w:after="0" w:line="240" w:lineRule="auto"/>
        <w:jc w:val="both"/>
        <w:rPr>
          <w:rFonts w:eastAsia="Times New Roman" w:cs="Arial"/>
        </w:rPr>
      </w:pPr>
      <w:r>
        <w:rPr>
          <w:b/>
        </w:rPr>
        <w:t>Άρθρο 2. Πεδίο εφαρμογής</w:t>
      </w:r>
    </w:p>
    <w:p w14:paraId="10EC3FDA" w14:textId="77777777" w:rsidR="000147DB" w:rsidRPr="003E7524" w:rsidRDefault="000147DB" w:rsidP="000147DB">
      <w:pPr>
        <w:spacing w:after="0" w:line="240" w:lineRule="auto"/>
        <w:jc w:val="both"/>
        <w:rPr>
          <w:rFonts w:eastAsia="Times New Roman" w:cs="Arial"/>
        </w:rPr>
      </w:pPr>
      <w:r>
        <w:t>Ο παρών νόμος καλύπτει όλες τις συσκευασίες που διατίθενται στην αγορά του Λουξεμβούργου και όλα τα απορρίμματα συσκευασίας, που είτε έχουν χρησιμοποιηθεί είτε απορρίπτονται από τις βιομηχανίες, το εμπόριο, τα γραφεία, τα καταστήματα, τα συνεργεία, τις υπηρεσίες, τα νοικοκυριά ή οποιαδήποτε άλλη πηγή, ανεξάρτητα από τα υλικά εκ των οποίων αποτελούνται.</w:t>
      </w:r>
    </w:p>
    <w:p w14:paraId="525A371B" w14:textId="77777777" w:rsidR="000147DB" w:rsidRPr="003E7524" w:rsidRDefault="000147DB" w:rsidP="000147DB">
      <w:pPr>
        <w:spacing w:after="0" w:line="240" w:lineRule="auto"/>
        <w:jc w:val="both"/>
        <w:rPr>
          <w:rFonts w:eastAsia="Times New Roman" w:cs="Arial"/>
          <w:lang w:val="fr-FR" w:eastAsia="fr-FR"/>
        </w:rPr>
      </w:pPr>
    </w:p>
    <w:p w14:paraId="6A00E764" w14:textId="77777777" w:rsidR="000147DB" w:rsidRPr="003E7524" w:rsidRDefault="000147DB" w:rsidP="000147DB">
      <w:pPr>
        <w:spacing w:after="0" w:line="240" w:lineRule="auto"/>
        <w:jc w:val="center"/>
        <w:rPr>
          <w:rFonts w:eastAsia="Calibri" w:cs="Arial"/>
          <w:color w:val="FF0000"/>
          <w:lang w:val="fr-FR"/>
        </w:rPr>
      </w:pPr>
    </w:p>
    <w:p w14:paraId="3FB9C656" w14:textId="3BDDB8AC"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u w:val="single"/>
        </w:rPr>
      </w:pPr>
      <w:r>
        <w:rPr>
          <w:color w:val="FF0000"/>
          <w:sz w:val="24"/>
          <w:u w:val="single"/>
        </w:rPr>
        <w:t>Άρθρο 3. Ορισμοί</w:t>
      </w:r>
    </w:p>
    <w:p w14:paraId="54FAB75E"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lang w:val="fr-LU"/>
        </w:rPr>
      </w:pPr>
    </w:p>
    <w:p w14:paraId="31598118"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rPr>
        <w:t>Για τους σκοπούς του παρόντος νόμου, νοούνται ως:</w:t>
      </w:r>
    </w:p>
    <w:p w14:paraId="51BA376E"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 «οικονομικοί παράγοντες»: σε σχέση με τις συσκευασίες, οι προμηθευτές υλικών συσκευασίας, οι παραγωγοί και μετατροπείς συσκευασιών, τα εμφιαλωτήρια και οι χρήστες, οι εισαγωγείς, οι έμποροι και οι διανομείς, οι δημόσιες αρχές και οι δημόσιοι οργανισμοί·</w:t>
      </w:r>
    </w:p>
    <w:p w14:paraId="6FED5C4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 «περιβαλλοντική συμφωνία»: κάθε επίσημη συμφωνία που συνάπτεται μεταξύ του υπουργού που είναι αρμόδιος για το περιβάλλον (εφεξής: «ο υπουργός») και των υπεύθυνων για συσκευασίες ή εγκεκριμένων οργανισμών, η οποία πρέπει να είναι ανοικτή σε όλους τους οικονομικούς παράγοντες που επιθυμούν να συμμορφωθούν με τους όρους της συμφωνίας προκειμένου να συμβάλουν στην εκπλήρωση των στόχων του άρθρου 1·</w:t>
      </w:r>
    </w:p>
    <w:p w14:paraId="7FF966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3° «πρώτη συσκευασία»: η τοποθέτηση ενός τρόφιμου σε περιτύλιγμα ή σε περιέκτη που έρχεται σε άμεση επαφή με το εν λόγω τρόφιμο· το εν λόγω περιτύλιγμα ή περιέκτης·</w:t>
      </w:r>
    </w:p>
    <w:p w14:paraId="1DD8A02E" w14:textId="77777777" w:rsidR="000147DB" w:rsidRPr="00471E09"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4° «απόρριμμα συσκευασίας», οποιαδήποτε συσκευασία ή υλικό συσκευασίας που καλύπτεται από τον ορισμό για τα απορρίμματα που αναφέρεται στο άρθρο 4 του τροποποιημένου νόμου της 21ης Μαρτίου 2012 σχετικά με τα απορρίμματα και τους πόρους, εφεξής «ο νόμος της 21ης Μαρτίου 2012 », εκτός των καταλοίπων παραγωγής·</w:t>
      </w:r>
    </w:p>
    <w:p w14:paraId="1A85C693" w14:textId="77777777" w:rsidR="000147DB" w:rsidRPr="003E7524" w:rsidRDefault="000147DB" w:rsidP="000147DB">
      <w:pPr>
        <w:autoSpaceDE w:val="0"/>
        <w:autoSpaceDN w:val="0"/>
        <w:adjustRightInd w:val="0"/>
        <w:spacing w:after="0" w:line="240" w:lineRule="auto"/>
        <w:jc w:val="both"/>
        <w:rPr>
          <w:rFonts w:cs="TimesLTStd-Roman"/>
          <w:b/>
          <w:color w:val="FF0000"/>
          <w:sz w:val="24"/>
          <w:szCs w:val="24"/>
        </w:rPr>
      </w:pPr>
      <w:r>
        <w:rPr>
          <w:color w:val="FF0000"/>
          <w:sz w:val="24"/>
        </w:rPr>
        <w:lastRenderedPageBreak/>
        <w:t>5°«οικιακά απορρίμματα συσκευασίας», τα απορρίμματα συσκευασίας που αποτελούν δημοτικά οικιακά απορρίμματα σύμφωνα με το νόμο της 21ης Μαρτίου 2012·</w:t>
      </w:r>
    </w:p>
    <w:p w14:paraId="191FC24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6°«μη οικιακά απορρίμματα συσκευασίας», τα απορρίμματα συσκευασίας που αποτελούν δημοτικά μη οικιακά απορρίμματα σύμφωνα με το νόμο της 21ης Μαρτίου 2012·</w:t>
      </w:r>
    </w:p>
    <w:p w14:paraId="726D059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7° «συσκευασία»: κάθε προϊόν, κατασκευασμένο από οποιουδήποτε είδους υλικό και προοριζόμενο να χρησιμοποιείται για να περιέχει ορισμένα αγαθά και για την προστασία, τη διακίνηση, τη διάθεση και την παρουσίαση αγαθών, από πρώτες ύλες μέχρι επεξεργασμένα αγαθά, από τον παραγωγό μέχρι τον χρήστη ή τον καταναλωτή.</w:t>
      </w:r>
    </w:p>
    <w:p w14:paraId="5B7B7B7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B3C84B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Πρέπει να θεωρούνται ως συσκευασίες όλα τα είδη «μιας χρήσης» που χρησιμοποιούνται για τον ίδιο σκοπό.</w:t>
      </w:r>
    </w:p>
    <w:p w14:paraId="4BBCE7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9092297"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rPr>
        <w:t>Ως «συσκευασία» νοείται μόνον:</w:t>
      </w:r>
    </w:p>
    <w:p w14:paraId="5E80CA9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α) η συσκευασία προς πώληση ή πρωτογενής συσκευασία, δηλαδή η συσκευασία η σχεδιασμένη κατά τρόπο που να αποτελεί, στο σημείο αγοράς, χωριστή μονάδα προς πώληση στον τελικό χρήστη ή καταναλωτή·</w:t>
      </w:r>
    </w:p>
    <w:p w14:paraId="0DE873CC"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β) η ομαδοποιημένη συσκευασία ή δευτερογενής συσκευασία, δηλαδή η συσκευασία η σχεδιασμένη κατά τρόπο που να αποτελεί, στο σημείο αγοράς, σύνολο ορισμένου αριθμού μονάδων προς πώληση, είτε αυτές πωλούνται ως έχουν στον τελικό χρήστη ή καταναλωτή, είτε χρησιμεύουν μόνο για την πλήρωση των εκθετηρίων στο σημείο πώλησης· η εν λόγω συσκευασία μπορεί να αφαιρείται από το προϊόν χωρίς να επηρεάζονται τα χαρακτηριστικά του·</w:t>
      </w:r>
    </w:p>
    <w:p w14:paraId="29AF1F65"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γ) η συσκευασία μεταφοράς ή τριτογενής συσκευασία, δηλαδή η συσκευασία η σχεδιασμένη κατά τρόπο που να διευκολύνει τη διακίνηση και μεταφορά αριθμού μονάδων προς πώληση ή ομαδοποιημένων συσκευασιών, προκειμένου να αποφεύγεται η διά χειρός διακίνηση και οι ζημίες κατά τη μεταφορά. Στις συσκευασίες μεταφοράς δεν περιλαμβάνονται τα εμπορευματοκιβώτια των οδικών, σιδηροδρομικών, θαλάσσιων και αεροπορικών μεταφορών.</w:t>
      </w:r>
    </w:p>
    <w:p w14:paraId="3E5427B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3D83FF34"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rPr>
        <w:t>Ο ορισμός της έννοιας της «συσκευασίας» πρέπει επιπλέον να βασίζεται στα εξής κριτήρια:</w:t>
      </w:r>
    </w:p>
    <w:p w14:paraId="0BE24D6D" w14:textId="77777777" w:rsidR="000147DB" w:rsidRPr="00680045" w:rsidRDefault="000147DB" w:rsidP="000147DB">
      <w:pPr>
        <w:autoSpaceDE w:val="0"/>
        <w:autoSpaceDN w:val="0"/>
        <w:adjustRightInd w:val="0"/>
        <w:spacing w:after="0" w:line="240" w:lineRule="auto"/>
        <w:ind w:left="720"/>
        <w:jc w:val="both"/>
        <w:rPr>
          <w:rFonts w:eastAsia="Calibri" w:cs="TimesLTStd-Roman"/>
          <w:color w:val="FF0000"/>
          <w:spacing w:val="-4"/>
          <w:sz w:val="24"/>
          <w:szCs w:val="24"/>
        </w:rPr>
      </w:pPr>
      <w:r w:rsidRPr="00680045">
        <w:rPr>
          <w:color w:val="FF0000"/>
          <w:spacing w:val="-4"/>
          <w:sz w:val="24"/>
        </w:rPr>
        <w:t>i. Θεωρούνται συσκευασία τα αντικείμενα που πληρούν τον ανωτέρω ορισμό, με την επιφύλαξη άλλων λειτουργιών τις οποίες μπορεί επίσης να επιτελεί η συσκευασία, εκτός αν το αντικείμενο αποτελεί αναπόσπαστο μέρος προϊόντος, και είναι αναγκαίο για να περιέχει, υποστηρίζει ή διαφυλάσσει το προϊόν αυτό σε όλη τη διάρκεια της ζωής του και όλα τα στοιχεία προορίζονται να χρησιμοποιηθούν, να καταναλωθούν ή να διατεθούν από κοινού·</w:t>
      </w:r>
    </w:p>
    <w:p w14:paraId="03C118C8"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ii. Τα αντικείμενα που έχουν σχεδιασθεί για να γεμίζονται στο σημείο πώλησης, καθώς και τα αντικείμενα μιας χρήσης που πωλούνται γεμάτα ή έχουν σχεδιασθεί και προορίζονται για να γεμίζονται στο σημείο πώλησης, θεωρούνται συσκευασία, εφόσον επιτελούν λειτουργία συσκευασίας και συνιστούν συσκευασίες εξυπηρέτησης·</w:t>
      </w:r>
    </w:p>
    <w:p w14:paraId="21E05D6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 xml:space="preserve">iii. Τα συστατικά μέρη της συσκευασίας και τα ενσωματωμένα στη συσκευασία βοηθητικά στοιχεία θεωρούνται μέρος της συσκευασίας στην οποία είναι ενσωματωμένα. Τα βοηθητικά στοιχεία που είναι απευθείας αναρτημένα ή προσδεδεμένα σε ένα προϊόν και τα οποία επιτελούν λειτουργία συσκευασίας, </w:t>
      </w:r>
      <w:r>
        <w:rPr>
          <w:color w:val="FF0000"/>
          <w:sz w:val="24"/>
        </w:rPr>
        <w:lastRenderedPageBreak/>
        <w:t>θεωρούνται συσκευασία, εκτός αν αποτελούν αναπόσπαστο μέρος του προϊόντος και όλα τα στοιχεία προορίζονται να καταναλωθούν ή να διατεθούν από κοινού.</w:t>
      </w:r>
    </w:p>
    <w:p w14:paraId="376B89A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FR"/>
        </w:rPr>
      </w:pPr>
    </w:p>
    <w:p w14:paraId="338D0B69"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Τα άρθρα που απαριθμούνται στο παράρτημα Ι της οδηγίας 94/62/ΕΚ του Ευρωπαϊκού Κοινοβουλίου και του Συμβουλίου της 20ής Δεκεμβρίου 1994 για τις συσκευασίες και τα απορρίμματα συσκευασίας, όπως τροποποιήθηκε με τις κατ’ εξουσιοδότηση πράξεις της Ευρωπαϊκής Επιτροπής που θεσπίζονται σύμφωνα με το άρθρο 19 παράγραφος 2 και το άρθρο 21α της εν λόγω οδηγίας αποτελούν παραδείγματα της εφαρμογής των εν λόγω κριτηρίων·</w:t>
      </w:r>
    </w:p>
    <w:p w14:paraId="44FB8E0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8° «επαναχρησιμοποιήσιμη συσκευασία»: συσκευασία που έχει σχεδιαστεί, δημιουργηθεί και τοποθετηθεί στην αγορά προκειμένου να εκπληρώνει κατά τη διάρκεια του κύκλου ζωής της πολλαπλές διαδρομές ή επαναλαμβανόμενες χρήσεις, με την επαναπλήρωση ή την επαναχρησιμοποίησή της για τον ίδιο σκοπό για τον οποίο σχεδιάστηκε·</w:t>
      </w:r>
    </w:p>
    <w:p w14:paraId="0184054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9° «σύνθετη συσκευασία»: συσκευασία που αποτελείται από δύο ή περισσότερα στρώματα διαφορετικών υλικών τα οποία δεν είναι δυνατό να διαχωριστούν με το χέρι και συνιστούν μια ενιαία ολοκληρωμένη μονάδα αποτελούμενη από εσωτερικό δοχείο και εξωτερικό περίβλημα, η οποία γεμίζεται, αποθηκεύεται, μεταφέρεται και εκκενώνεται ενιαία·</w:t>
      </w:r>
    </w:p>
    <w:p w14:paraId="40CA1AE7"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rPr>
        <w:t>10°«κεντρική διαχείριση», σύστημα το οποίο συνίσταται, για έναν εγκεκριμένο οργανισμό, στην ανάληψη της ευθύνης για τα απορρίμματα συσκευασίας από ένα σημείο συλλογής με εθελοντική απόθεση με σκοπό την ανακύκλωσή τους·</w:t>
      </w:r>
    </w:p>
    <w:p w14:paraId="2476E1A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11° «διαχείριση των απορριμμάτων συσκευασίας»: η διαχείριση των απορριμμάτων, όπως ορίζεται στο άρθρο 4 του νόμου της 21ης Μαρτίου 2012·</w:t>
      </w:r>
    </w:p>
    <w:p w14:paraId="7FBC22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12° «υλικό συσκευασίας»: οποιοδήποτε υλικό απλό ή σύνθετο φυσικής ή τεχνητής προέλευσης από το οποίο αποτελείται μια συσκευασία·</w:t>
      </w:r>
    </w:p>
    <w:p w14:paraId="6F8770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 xml:space="preserve">13° «διαθεσιμότητα στην αγορά»: παροχή προϊόντος το οποίο προορίζεται να διανεμηθεί, καταναλωθεί ή χρησιμοποιηθεί στην αγορά του Λουξεμβούργου στο πλαίσιο εμπορικής δραστηριότητας επ' ανταλλάγματι ή δωρεάν· </w:t>
      </w:r>
    </w:p>
    <w:p w14:paraId="39E8CFE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14° «διάθεση στην αγορά»: η πρώτη διάθεση ενός προϊόντος στην αγορά του Λουξεμβούργου·</w:t>
      </w:r>
    </w:p>
    <w:p w14:paraId="337D071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 xml:space="preserve">15° «εγκεκριμένος οργανισμός»: το νομικό πρόσωπο που έχει λάβει άδεια σύμφωνα με το νόμο της 21ης Μαρτίου 2012, το οποίο αναλαμβάνει τις υποχρεώσεις της διευρυμένης ευθύνης του παραγωγού· </w:t>
      </w:r>
    </w:p>
    <w:p w14:paraId="3063727E" w14:textId="5A2948D3" w:rsidR="000147DB" w:rsidRPr="00680045"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680045">
        <w:rPr>
          <w:color w:val="FF0000"/>
          <w:spacing w:val="-4"/>
          <w:sz w:val="24"/>
        </w:rPr>
        <w:t>16° «πλαστικό»: ένα πολυμερές κατά την έννοια του άρθρου 3 σημείο 5) του κανονισμού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 (REACH) και για την ίδρυση του Ευρωπαϊκού Οργανισμού Χημικών Προϊόντων καθώς και για την τροποποίηση της οδηγίας 1999/45/EΚ και για την κατάργηση του κανονισμού (ΕΟΚ) αριθ. 793/93 του Συμβουλίου και του κανονισμού (ΕΚ) αριθ. 1488/94 της Επιτροπής καθώς και της οδηγίας 76/769/ΕΟΚ του Συμβουλίου και των οδηγιών της Επιτροπής 91/155/ΕΟΚ, 93/67/ΕΟΚ, 93/105/ΕΚ και 2000/21/ΕΚ , στο οποίο ενδεχομένως έχουν προστεθεί πρόσθετα ή άλλες ουσίες και το οποίο μπορεί να αποτελέσει κύριο δομικό στοιχείο σακουλών μεταφοράς·</w:t>
      </w:r>
    </w:p>
    <w:p w14:paraId="722C1B3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17° «οργανική ανακύκλωση»: η επεξεργασία υπό αερόβιες συνθήκες (λιπασματοποίηση) ή αναερόβιες συνθήκες (βιομεθανοποίηση), με μικροοργανισμούς και υπό ελεγμένες συνθήκες, των βιοαποικοδομήσιμων μερών των απορριμμάτων συσκευασίας, με παραγωγή οργανικών καταλοίπων σταθεροποιημένων ή από μεθάνιο. Η υγειονομική ταφή δεν μπορεί να θεωρηθεί ως μορφή οργανικής ανακύκλωσης·</w:t>
      </w:r>
    </w:p>
    <w:p w14:paraId="211C3BAF" w14:textId="77777777" w:rsidR="000147DB" w:rsidRPr="00471E09" w:rsidRDefault="000147DB" w:rsidP="000147DB">
      <w:pPr>
        <w:autoSpaceDE w:val="0"/>
        <w:autoSpaceDN w:val="0"/>
        <w:adjustRightInd w:val="0"/>
        <w:spacing w:after="0"/>
        <w:jc w:val="both"/>
        <w:rPr>
          <w:rFonts w:eastAsia="Calibri" w:cs="TimesLTStd-Roman"/>
          <w:color w:val="FF0000"/>
          <w:sz w:val="24"/>
          <w:szCs w:val="24"/>
        </w:rPr>
      </w:pPr>
      <w:r>
        <w:rPr>
          <w:color w:val="FF0000"/>
          <w:sz w:val="24"/>
        </w:rPr>
        <w:lastRenderedPageBreak/>
        <w:t>18° «υπεύθυνος για συσκευασίες»: κάθε φυσικό ή νομικό πρόσωπο εγκατεστημένο ή μη στο Μεγάλο Δουκάτο του Λουξεμβούργου, το οποίο διαθέτει, για επαγγελματικούς σκοπούς, συσκευασμένα προϊόντα στην αγορά του Λουξεμβούργου, ανεξάρτητα από τη χρησιμοποιούμενη τεχνική πωλήσεων, μεταξύ άλλων μέσω εξ αποστάσεως συμβάσεων, όπως ορίζονται στο άρθρο L.222-1 του Κώδικα Κατανάλωσης.</w:t>
      </w:r>
    </w:p>
    <w:p w14:paraId="532A7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Όσον αφορά τις συσκευασίες εξυπηρέτησης, θεωρείται ως υπεύθυνος για συσκευασίες κάθε πρόσωπο το οποίο, για επαγγελματικούς σκοπούς και με σκοπό τη διάθεσή τους στην αγορά του Λουξεμβούργου, παράγει ή εισάγει συσκευασίες εξυπηρέτησης·</w:t>
      </w:r>
    </w:p>
    <w:p w14:paraId="2066F35B" w14:textId="77777777" w:rsidR="000147DB" w:rsidRPr="00680045"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680045">
        <w:rPr>
          <w:color w:val="FF0000"/>
          <w:spacing w:val="-4"/>
          <w:sz w:val="24"/>
        </w:rPr>
        <w:t>19° «πλαστικές σακούλες μεταφοράς»: σακούλες μεταφοράς με ή χωρίς λαβή, από πλαστικό υλικό, οι οποίες διατίθενται στους καταναλωτές στο σημείο πώλησης εμπορευμάτων ή προϊόντων·</w:t>
      </w:r>
    </w:p>
    <w:p w14:paraId="2892A8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20° «λεπτές πλαστικές σακούλες μεταφοράς», οι πλαστικές σακούλες μεταφοράς με πάχος τοιχώματος μικρότερο από 50 μικρά·</w:t>
      </w:r>
    </w:p>
    <w:p w14:paraId="1D560F9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21° «πολύ λεπτές πλαστικές σακούλες μεταφοράς»: οι πλαστικές σακούλες μεταφοράς με πάχος τοιχώματος μικρότερο από 15 μικρά</w:t>
      </w:r>
    </w:p>
    <w:p w14:paraId="099FC67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οι οποίες απαιτούνται για λόγους υγιεινής ή παρέχονται ως πρωτογενής συσκευασία χύδην τροφίμων όταν η χρήση τους συμβάλλει στην αποφυγή σπατάλης τροφίμων·</w:t>
      </w:r>
    </w:p>
    <w:p w14:paraId="518E14E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22° «οξο-διασπώμενες πλαστικές σακούλες μεταφοράς»: πλαστικές σακούλες μεταφοράς από πλαστικά υλικά στα οποία περιλαμβάνονται πρόσθετα που καταλύουν τη διάσπαση των πλαστικών υλικών σε μικρο-τμήματα·</w:t>
      </w:r>
    </w:p>
    <w:p w14:paraId="3F38912D" w14:textId="7CDBAB0E"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23° «σύστημα παρακράτησης ποσού έναντι επιστροφής»: σύστημα επιστροφής μέσω του οποίου ο αγοραστής καταβάλλει ένα χρηματικό ποσό που του επιστρέφεται όταν επιστρέφει τη χρησιμοποιημένη συσκευασία·</w:t>
      </w:r>
    </w:p>
    <w:p w14:paraId="7826512C" w14:textId="77777777" w:rsidR="000147DB" w:rsidRPr="00680045"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680045">
        <w:rPr>
          <w:color w:val="FF0000"/>
          <w:spacing w:val="-4"/>
          <w:sz w:val="24"/>
        </w:rPr>
        <w:t>24° «ποσοστό μεριδίου αγοράς»: το ποσοστό, για μια δεδομένη περίοδο, συσκευασιών για ρευστά είδη διατροφής που περιλαμβάνουν στον αριθμητή τον όγκο των ρευστών ειδών διατροφής που διατίθενται στην αγορά συσκευασμένα σε επαναχρησιμοποιούμενη συσκευασία και καταναλώνονται στην εθνική επικράτεια και στον παρονομαστή το συνολικό όγκο των υγρών τροφίμων που διατίθενται στην αγορά και καταναλώνονται στην εθνική επικράτεια·</w:t>
      </w:r>
    </w:p>
    <w:p w14:paraId="7104F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25° «ποσοστό ανακύκλωσης»: ποσοστό, για μια δεδομένη περίοδο, των απορριμμάτων συσκευασίας που έχει ως αριθμητή το βάρος των απορριμμάτων συσκευασίας που αποτελούν πράγματι αντικείμενο ανακύκλωσης και ως παρονομαστή το συνολικό βάρος των ανακτήσιμων συσκευασιών που διατίθενται στην αγορά του Λουξεμβούργου από τον υπεύθυνο για συσκευασίες και καταναλώνονται στην εθνική επικράτεια.</w:t>
      </w:r>
    </w:p>
    <w:p w14:paraId="67C77E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Ο παρών ορισμός δεν καλύπτει τις συσκευασίες που υπόκεινται σε επαναχρησιμοποίηση σύμφωνα με τον παρόντα νόμο·</w:t>
      </w:r>
    </w:p>
    <w:p w14:paraId="6B41F5C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26° «ποσοστό ανάκτησης»: ποσοστό, για μια δεδομένη περίοδο, των απορριμμάτων συσκευασίας που έχει ως αριθμητή το βάρος των απορριμμάτων συσκευασίας που αποτελούν πράγματι αντικείμενο ανάκτησης και ως παρονομαστή το συνολικό βάρος των ανακτήσιμων συσκευασιών που διατίθενται στην αγορά του Λουξεμβούργου από τον υπεύθυνο για συσκευασίες και καταναλώνονται στην εθνική επικράτεια·</w:t>
      </w:r>
    </w:p>
    <w:p w14:paraId="5C7F69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Ο παρών ορισμός δεν καλύπτει τις συσκευασίες που υπόκεινται σε επαναχρησιμοποίηση σύμφωνα με τον παρόντα νόμο·</w:t>
      </w:r>
    </w:p>
    <w:p w14:paraId="1F021DE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lastRenderedPageBreak/>
        <w:t>27° «ανάκτηση ενέργειας»: η χρησιμοποίηση καύσιμων απορριμμάτων συσκευασίας ως μέσων παραγωγής ενέργειας, με άμεση καύση, μαζί ή χωρίς άλλα απόβλητα, αλλά με ανάκτηση της θερμότητας·</w:t>
      </w:r>
    </w:p>
    <w:p w14:paraId="2F42A15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Ο παρών ορισμός δεν καλύπτει τις συσκευασίες που υπόκεινται σε επαναχρησιμοποίηση σύμφωνα με τον παρόντα νόμο.</w:t>
      </w:r>
    </w:p>
    <w:p w14:paraId="2A33EF01"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Ισχύουν οι ορισμοί των όρων «απορρίμματα», «δημοτικά απορρίμματα», «δημοτικά οικιακά απορρίμματα», «δημοτικά μη οικιακά απορρίμματα», «διαχείριση απορριμμάτων», «συλλογή», «χωριστή συλλογή», «πρόληψη δημιουργίας», «επαναχρησιμοποίηση», «προετοιμασία για επαναχρησιμοποίηση», «επεξεργασία», «ανάκτηση», «ανακύκλωση», «ανακύκλωση υψηλής ποιότητας», «διάθεση», «κέντρο πόρων» και «σύστημα διευρυμένης ευθύνης του παραγωγού» που αναφέρονται στο άρθρο 4 του νόμου της 21ης Μαρτίου 2012.</w:t>
      </w:r>
    </w:p>
    <w:p w14:paraId="2564CAE3" w14:textId="77777777" w:rsidR="000147DB" w:rsidRPr="003E7524" w:rsidRDefault="000147DB" w:rsidP="000147DB">
      <w:pPr>
        <w:spacing w:after="0" w:line="240" w:lineRule="auto"/>
        <w:jc w:val="both"/>
        <w:rPr>
          <w:rFonts w:eastAsia="Times New Roman" w:cs="Arial"/>
          <w:lang w:val="fr-LU" w:eastAsia="fr-FR"/>
        </w:rPr>
      </w:pPr>
    </w:p>
    <w:p w14:paraId="26C831EB" w14:textId="77777777" w:rsidR="000147DB" w:rsidRPr="003E7524" w:rsidRDefault="000147DB" w:rsidP="000147DB">
      <w:pPr>
        <w:spacing w:after="0" w:line="240" w:lineRule="auto"/>
        <w:jc w:val="both"/>
        <w:rPr>
          <w:rFonts w:eastAsia="Times New Roman" w:cs="Arial"/>
          <w:lang w:val="fr-FR" w:eastAsia="fr-FR"/>
        </w:rPr>
      </w:pPr>
    </w:p>
    <w:p w14:paraId="692FDAD6" w14:textId="77777777" w:rsidR="000147DB" w:rsidRPr="003E7524" w:rsidRDefault="000147DB" w:rsidP="002F5A31">
      <w:pPr>
        <w:keepNext/>
        <w:keepLines/>
        <w:spacing w:after="0" w:line="240" w:lineRule="auto"/>
        <w:jc w:val="both"/>
        <w:rPr>
          <w:rFonts w:eastAsia="Times New Roman" w:cs="Arial"/>
          <w:b/>
          <w:iCs/>
        </w:rPr>
      </w:pPr>
      <w:r>
        <w:rPr>
          <w:b/>
        </w:rPr>
        <w:t>Άρθρο 4. Πρόληψη δημιουργίας και επαναχρησιμοποίηση και περιβαλλοντικές συμβάσεις</w:t>
      </w:r>
    </w:p>
    <w:p w14:paraId="6BEB351B" w14:textId="77777777" w:rsidR="000147DB" w:rsidRPr="003E7524" w:rsidRDefault="000147DB" w:rsidP="002F5A31">
      <w:pPr>
        <w:keepNext/>
        <w:keepLines/>
        <w:spacing w:after="0" w:line="240" w:lineRule="auto"/>
        <w:jc w:val="both"/>
        <w:rPr>
          <w:rFonts w:eastAsia="Times New Roman" w:cs="Arial"/>
          <w:b/>
          <w:iCs/>
          <w:lang w:val="fr-FR" w:eastAsia="fr-FR"/>
        </w:rPr>
      </w:pPr>
    </w:p>
    <w:p w14:paraId="39614631" w14:textId="77777777" w:rsidR="000147DB" w:rsidRPr="003E7524" w:rsidRDefault="000147DB" w:rsidP="002F5A31">
      <w:pPr>
        <w:keepNext/>
        <w:keepLines/>
        <w:spacing w:after="0" w:line="240" w:lineRule="auto"/>
        <w:jc w:val="both"/>
        <w:rPr>
          <w:rFonts w:eastAsia="Times New Roman" w:cs="Arial"/>
          <w:color w:val="FF0000"/>
          <w:lang w:val="fr-FR" w:eastAsia="fr-FR"/>
        </w:rPr>
      </w:pPr>
    </w:p>
    <w:p w14:paraId="63CEA987"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Εκτός από τα μέτρα για την πρόληψη της παραγωγής απορριμμάτων συσκευασίας, που θεσπίζονται σύμφωνα με το άρθρο 9 και με την επιφύλαξη της παραγράφου 2, ο υπουργός μπορεί να συνάπτει περιβαλλοντικές συμφωνίες που συμμορφώνονται με τους στόχους που αναφέρονται στο άρθρο 1 και προορίζονται κυρίως για τη μείωση των περιβαλλοντικών επιπτώσεων των συσκευασιών και για την πρόληψη της παραγωγής απορριμμάτων συσκευασίας. Οι συμφωνίες αυτές μπορούν να περιλαμβάνουν εκστρατείες ενημέρωσης και εκστρατείες ευαισθητοποίησης του κοινού.</w:t>
      </w:r>
    </w:p>
    <w:p w14:paraId="0A4A972F" w14:textId="77777777" w:rsidR="000147DB" w:rsidRPr="003E7524" w:rsidRDefault="000147DB" w:rsidP="000147DB">
      <w:pPr>
        <w:spacing w:after="0" w:line="240" w:lineRule="auto"/>
        <w:jc w:val="both"/>
        <w:rPr>
          <w:rFonts w:eastAsia="Times New Roman" w:cs="Arial"/>
          <w:color w:val="FF0000"/>
          <w:lang w:val="fr-FR" w:eastAsia="fr-FR"/>
        </w:rPr>
      </w:pPr>
    </w:p>
    <w:p w14:paraId="6A969234" w14:textId="77777777" w:rsidR="000147DB" w:rsidRPr="003E7524" w:rsidRDefault="000147DB" w:rsidP="000147DB">
      <w:pPr>
        <w:spacing w:after="0" w:line="240" w:lineRule="auto"/>
        <w:jc w:val="both"/>
        <w:rPr>
          <w:rFonts w:eastAsia="Times New Roman" w:cs="Arial"/>
          <w:lang w:val="fr-FR" w:eastAsia="fr-FR"/>
        </w:rPr>
      </w:pPr>
    </w:p>
    <w:p w14:paraId="2D73D492" w14:textId="77777777" w:rsidR="000147DB" w:rsidRPr="003E7524" w:rsidRDefault="000147DB" w:rsidP="000147DB">
      <w:pPr>
        <w:spacing w:after="0" w:line="240" w:lineRule="auto"/>
        <w:jc w:val="both"/>
        <w:rPr>
          <w:rFonts w:eastAsia="Times New Roman" w:cs="Arial"/>
        </w:rPr>
      </w:pPr>
      <w:r>
        <w:t>Όσον αφορά την παραγωγή συσκευασιών και άλλων προϊόντων, οι περιβαλλοντικές συμφωνίες μπορούν να ενθαρρύνουν τη χρήση υλικών από ανακυκλωμένα απορρίμματα συσκευασίας με τη βελτίωση των συνθηκών της αγοράς για τα υλικά αυτά.</w:t>
      </w:r>
    </w:p>
    <w:p w14:paraId="4FAEAC4C" w14:textId="77777777" w:rsidR="000147DB" w:rsidRPr="003E7524" w:rsidRDefault="000147DB" w:rsidP="000147DB">
      <w:pPr>
        <w:spacing w:after="0" w:line="240" w:lineRule="auto"/>
        <w:jc w:val="both"/>
        <w:rPr>
          <w:rFonts w:eastAsia="Times New Roman" w:cs="Arial"/>
        </w:rPr>
      </w:pPr>
      <w:r>
        <w:t>Όσον αφορά τη συσκευασία για τα ρευστά είδη διατροφής και άλλα προϊόντα, οι περιβαλλοντικές συμφωνίες μπορούν να καθορίζουν τους όρους και τους τρόπους προώθησης της παραγωγής και διάθεσης στην αγορά επαναχρησιμοποιήσιμων συσκευασιών και να αποβλέπουν σε στόχους που σχετίζονται με ποσοστά μεριδίων της αγοράς. Ο παρών νόμος δεν θίγει τη διατήρηση ή τη θέσπιση συστημάτων που εξασφαλίζουν την επαναχρησιμοποίηση των συσκευασιών, υπό μορφή συστήματος παρακράτησης ποσού έναντι επιστροφής ή υπό άλλη κατάλληλη μορφή και σύμφωνα με τους στόχους που προβλέπονται στο άρθρο 1.</w:t>
      </w:r>
    </w:p>
    <w:p w14:paraId="7B14AF7B" w14:textId="77777777" w:rsidR="000147DB" w:rsidRPr="003E7524" w:rsidRDefault="000147DB" w:rsidP="000147DB">
      <w:pPr>
        <w:spacing w:after="0" w:line="240" w:lineRule="auto"/>
        <w:jc w:val="both"/>
        <w:rPr>
          <w:rFonts w:eastAsia="Times New Roman" w:cs="Arial"/>
        </w:rPr>
      </w:pPr>
      <w:r>
        <w:t>2) Άλλα προληπτικά μέτρα, συμπεριλαμβανομένων μελετών και πιλοτικών σχεδίων, μπορούν να καθορίζονται από το εθνικό σχέδιο διαχείρισης αποβλήτων και, κατά περίπτωση, από ειδικό σχέδιο σύμφωνα με τον νόμο της 21ης Μαρτίου 2012.</w:t>
      </w:r>
    </w:p>
    <w:p w14:paraId="639CF3A6" w14:textId="77777777" w:rsidR="000147DB" w:rsidRPr="003E7524" w:rsidRDefault="000147DB" w:rsidP="000147DB">
      <w:pPr>
        <w:spacing w:after="0" w:line="240" w:lineRule="auto"/>
        <w:jc w:val="both"/>
        <w:rPr>
          <w:rFonts w:eastAsia="Times New Roman" w:cs="Arial"/>
          <w:lang w:val="fr-FR" w:eastAsia="fr-FR"/>
        </w:rPr>
      </w:pPr>
    </w:p>
    <w:p w14:paraId="173C0BC9" w14:textId="77777777" w:rsidR="000147DB" w:rsidRPr="003E7524" w:rsidRDefault="000147DB" w:rsidP="000147DB">
      <w:pPr>
        <w:spacing w:after="0" w:line="240" w:lineRule="auto"/>
        <w:jc w:val="both"/>
        <w:rPr>
          <w:rFonts w:eastAsia="Times New Roman" w:cs="Arial"/>
          <w:lang w:val="fr-FR" w:eastAsia="fr-FR"/>
        </w:rPr>
      </w:pPr>
    </w:p>
    <w:p w14:paraId="759CE7BF" w14:textId="77777777" w:rsidR="000147DB" w:rsidRPr="003E7524" w:rsidRDefault="000147DB" w:rsidP="000147DB">
      <w:pPr>
        <w:spacing w:after="0" w:line="240" w:lineRule="auto"/>
        <w:jc w:val="both"/>
        <w:rPr>
          <w:rFonts w:eastAsia="Times New Roman" w:cs="Arial"/>
          <w:strike/>
          <w:lang w:val="fr-FR" w:eastAsia="fr-FR"/>
        </w:rPr>
      </w:pPr>
    </w:p>
    <w:p w14:paraId="1F738067" w14:textId="77777777" w:rsidR="000147DB" w:rsidRPr="00471E09" w:rsidRDefault="000147DB" w:rsidP="002F5A31">
      <w:pPr>
        <w:keepNext/>
        <w:keepLines/>
        <w:spacing w:beforeLines="100" w:before="240" w:after="240" w:line="240" w:lineRule="auto"/>
        <w:jc w:val="both"/>
        <w:rPr>
          <w:rFonts w:eastAsia="Calibri" w:cs="TimesNewRoman"/>
          <w:b/>
          <w:color w:val="FF0000"/>
          <w:sz w:val="24"/>
          <w:szCs w:val="24"/>
          <w:u w:val="single"/>
        </w:rPr>
      </w:pPr>
      <w:r>
        <w:rPr>
          <w:b/>
          <w:color w:val="FF0000"/>
          <w:sz w:val="24"/>
          <w:u w:val="single"/>
        </w:rPr>
        <w:lastRenderedPageBreak/>
        <w:t xml:space="preserve">Άρθρο 5. Μείωση των συσκευασιών </w:t>
      </w:r>
    </w:p>
    <w:p w14:paraId="2D11A631"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rPr>
        <w:t>Προκειμένου να μειωθεί κατά τρόπο βιώσιμο η κατανάλωση συσκευασιών στην επικράτεια του Λουξεμβούργου:</w:t>
      </w:r>
    </w:p>
    <w:p w14:paraId="1921772D" w14:textId="2F6CC734" w:rsidR="000147DB" w:rsidRPr="00680045" w:rsidRDefault="000147DB" w:rsidP="000147DB">
      <w:pPr>
        <w:pStyle w:val="Liste10"/>
        <w:spacing w:before="240"/>
        <w:ind w:left="360" w:hanging="427"/>
        <w:rPr>
          <w:rFonts w:cs="TimesNewRoman"/>
          <w:color w:val="FF0000"/>
          <w:spacing w:val="-4"/>
          <w:sz w:val="24"/>
          <w:szCs w:val="24"/>
        </w:rPr>
      </w:pPr>
      <w:r w:rsidRPr="00680045">
        <w:rPr>
          <w:color w:val="FF0000"/>
          <w:spacing w:val="-4"/>
          <w:sz w:val="24"/>
        </w:rPr>
        <w:t>1°</w:t>
      </w:r>
      <w:r w:rsidRPr="00680045">
        <w:rPr>
          <w:color w:val="FF0000"/>
          <w:spacing w:val="-4"/>
          <w:sz w:val="24"/>
        </w:rPr>
        <w:tab/>
        <w:t>i) από την 1η Ιανουαρίου 2022, κάθε λιανική επιχείρηση που εκθέτει προς πώληση φρέσκα φρούτα και λαχανικά που αναφέρονται στο παράρτημα III, συμπεριλαμβανομένων των αποφλοιωμένων ή κομμένων φρούτων και λαχανικών, πρέπει να τα εκθέτει χωρίς συσκευασία που αποτελείται εξ ολοκλήρου ή εν μέρει από πλαστική ύλη. Η υποχρέωση αυτή δεν ισχύει για τα φρούτα και τα λαχανικά που συσκευάζονται σε παρτίδες του 1,5 kg και άνω· </w:t>
      </w:r>
    </w:p>
    <w:p w14:paraId="33E5B6DD" w14:textId="77777777" w:rsidR="000147DB" w:rsidRPr="003E7524" w:rsidRDefault="000147DB" w:rsidP="000147DB">
      <w:pPr>
        <w:pStyle w:val="Liste10"/>
        <w:spacing w:before="240"/>
        <w:ind w:left="360"/>
        <w:rPr>
          <w:rFonts w:cs="TimesNewRoman"/>
          <w:b/>
          <w:sz w:val="24"/>
          <w:szCs w:val="24"/>
          <w:lang w:val="fr-LU" w:eastAsia="fr-BE"/>
        </w:rPr>
      </w:pPr>
    </w:p>
    <w:p w14:paraId="0EA51AFF" w14:textId="633BD9CF" w:rsidR="000147DB" w:rsidRPr="003E7524" w:rsidRDefault="000147DB" w:rsidP="002F5A31">
      <w:pPr>
        <w:tabs>
          <w:tab w:val="left" w:pos="284"/>
        </w:tabs>
        <w:spacing w:beforeLines="100" w:before="240" w:after="240" w:line="240" w:lineRule="auto"/>
        <w:jc w:val="both"/>
        <w:rPr>
          <w:rFonts w:eastAsia="Calibri" w:cs="TimesNewRoman"/>
          <w:color w:val="FF0000"/>
          <w:sz w:val="24"/>
          <w:szCs w:val="24"/>
        </w:rPr>
      </w:pPr>
      <w:r>
        <w:rPr>
          <w:color w:val="FF0000"/>
          <w:sz w:val="24"/>
        </w:rPr>
        <w:t>2° η ετήσια κατανάλωση λεπτών πλαστικών σακουλών μεταφοράς δεν πρέπει να υπερβαίνει τις 90 μονάδες σακούλας ανά άτομο στις 31 Δεκεμβρίου 2019 και τις σαράντα μονάδες ανά άτομο στις 31 Δεκεμβρίου 2025. Εξαιρούνται οι πολύ λεπτές πλαστικές σακούλες κατά την έννοια του άρθρου 3, σημείο 5·</w:t>
      </w:r>
    </w:p>
    <w:p w14:paraId="6F0972E3" w14:textId="77777777" w:rsidR="000147DB" w:rsidRPr="00680045" w:rsidRDefault="000147DB" w:rsidP="000147DB">
      <w:pPr>
        <w:spacing w:beforeLines="100" w:before="240" w:after="240" w:line="240" w:lineRule="auto"/>
        <w:jc w:val="both"/>
        <w:rPr>
          <w:rFonts w:eastAsia="Calibri" w:cs="TimesNewRoman"/>
          <w:color w:val="FF0000"/>
          <w:spacing w:val="-4"/>
          <w:sz w:val="24"/>
          <w:szCs w:val="24"/>
        </w:rPr>
      </w:pPr>
      <w:r w:rsidRPr="00680045">
        <w:rPr>
          <w:color w:val="FF0000"/>
          <w:spacing w:val="-4"/>
          <w:sz w:val="24"/>
        </w:rPr>
        <w:t>3° καμία πλαστική σακούλα δεν παρέχεται δωρεάν στα σημεία πώλησης εμπορευμάτων ή αγαθών. Εξαιρούνται οι πολύ λεπτές πλαστικές σακούλες κατά την έννοια του άρθρου 3, σημείο 5·</w:t>
      </w:r>
    </w:p>
    <w:p w14:paraId="58896EE4" w14:textId="77777777" w:rsidR="000147DB" w:rsidRPr="003E7524" w:rsidRDefault="000147DB" w:rsidP="002F5A31">
      <w:pPr>
        <w:keepNext/>
        <w:keepLines/>
        <w:spacing w:beforeLines="100" w:before="240" w:after="240" w:line="240" w:lineRule="auto"/>
        <w:jc w:val="both"/>
        <w:rPr>
          <w:rFonts w:cs="TimesNewRoman"/>
          <w:color w:val="FF0000"/>
          <w:sz w:val="24"/>
          <w:szCs w:val="24"/>
        </w:rPr>
      </w:pPr>
      <w:r>
        <w:rPr>
          <w:color w:val="FF0000"/>
          <w:sz w:val="24"/>
        </w:rPr>
        <w:t xml:space="preserve">4° οι ακόλουθες συσκευασίες εξυπηρέτησης δεν επιτρέπεται να παρέχονται δωρεάν στα σημεία πώλησης εμπορευμάτων ή αγαθών, σύμφωνα με το ακόλουθο χρονοδιάγραμμα: </w:t>
      </w:r>
    </w:p>
    <w:p w14:paraId="2B70078E"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rPr>
        <w:t>από την 1η Ιανουαρίου 2023, για τις σακούλες, ανεξάρτητα από το υλικό από το οποίο είναι κατασκευασμένες·</w:t>
      </w:r>
    </w:p>
    <w:p w14:paraId="03DEAD8E" w14:textId="77777777" w:rsidR="000147DB" w:rsidRPr="00471E09" w:rsidRDefault="000147DB" w:rsidP="000147DB">
      <w:pPr>
        <w:spacing w:beforeLines="100" w:before="240" w:after="240" w:line="240" w:lineRule="auto"/>
        <w:jc w:val="both"/>
        <w:rPr>
          <w:rFonts w:eastAsia="Calibri" w:cs="TimesNewRoman"/>
          <w:color w:val="FF0000"/>
          <w:sz w:val="24"/>
          <w:szCs w:val="24"/>
        </w:rPr>
      </w:pPr>
      <w:r>
        <w:rPr>
          <w:color w:val="FF0000"/>
          <w:sz w:val="24"/>
        </w:rPr>
        <w:t>από την 1η Ιανουαρίου 2024, οι συσκευασίες εξυπηρέτησης που θεωρούνται προϊόντα μιας χρήσης που περιλαμβάνονται στο παράρτημα, μέρος Α του νόμου της... σχετικά με την αξιολόγηση των επιπτώσεων ορισμένων πλαστικών προϊόντων στο περιβάλλον, ανεξάρτητα από το υλικό από το οποίο είναι κατασκευασμένες·</w:t>
      </w:r>
    </w:p>
    <w:p w14:paraId="10B4C155"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rPr>
        <w:t>από την 1η Ιανουαρίου 2025, για κάθε συσκευασία εξυπηρέτησης.</w:t>
      </w:r>
    </w:p>
    <w:p w14:paraId="01699BD2" w14:textId="77777777" w:rsidR="000147DB" w:rsidRPr="00471E09" w:rsidRDefault="000147DB" w:rsidP="000147DB">
      <w:pPr>
        <w:spacing w:beforeLines="100" w:before="240" w:after="240" w:line="240" w:lineRule="auto"/>
        <w:jc w:val="both"/>
        <w:rPr>
          <w:rFonts w:eastAsia="Calibri" w:cstheme="minorHAnsi"/>
          <w:bCs/>
          <w:color w:val="FF0000"/>
          <w:sz w:val="24"/>
          <w:szCs w:val="24"/>
        </w:rPr>
      </w:pPr>
      <w:r>
        <w:rPr>
          <w:color w:val="FF0000"/>
          <w:sz w:val="24"/>
        </w:rPr>
        <w:t>2) τα προϊόντα της παραγράφου 1, σημεία 3) και 4) πρέπει να έχουν αποτρεπτική τιμή, η οποία να αναγράφεται χωριστά και ευκρινώς στο σημείο πώλησης και στην απόδειξη. Η ελάχιστη τιμή μπορεί να οριστεί με περιβαλλοντική συμφωνία.</w:t>
      </w:r>
    </w:p>
    <w:p w14:paraId="4B8B74C5" w14:textId="77777777" w:rsidR="000147DB" w:rsidRPr="003E7524" w:rsidRDefault="000147DB" w:rsidP="000147DB">
      <w:pPr>
        <w:spacing w:after="0" w:line="240" w:lineRule="auto"/>
        <w:jc w:val="both"/>
        <w:rPr>
          <w:rFonts w:eastAsia="Times New Roman" w:cs="Arial"/>
          <w:color w:val="FF0000"/>
          <w:lang w:val="fr-FR" w:eastAsia="fr-FR"/>
        </w:rPr>
      </w:pPr>
    </w:p>
    <w:p w14:paraId="400B8D39" w14:textId="77777777" w:rsidR="000147DB" w:rsidRPr="003E7524" w:rsidRDefault="000147DB" w:rsidP="00680045">
      <w:pPr>
        <w:keepNext/>
        <w:keepLines/>
        <w:spacing w:beforeLines="100" w:before="240" w:after="240" w:line="240" w:lineRule="auto"/>
        <w:jc w:val="both"/>
        <w:rPr>
          <w:rFonts w:eastAsia="Calibri" w:cs="TimesNewRoman"/>
          <w:color w:val="FF0000"/>
          <w:sz w:val="24"/>
          <w:szCs w:val="24"/>
          <w:u w:val="single"/>
        </w:rPr>
      </w:pPr>
      <w:r>
        <w:rPr>
          <w:color w:val="FF0000"/>
          <w:sz w:val="24"/>
          <w:u w:val="single"/>
        </w:rPr>
        <w:lastRenderedPageBreak/>
        <w:t>«Άρθρο 5</w:t>
      </w:r>
      <w:r>
        <w:rPr>
          <w:i/>
          <w:iCs/>
          <w:color w:val="FF0000"/>
          <w:sz w:val="24"/>
          <w:u w:val="single"/>
        </w:rPr>
        <w:t>α.</w:t>
      </w:r>
      <w:r>
        <w:rPr>
          <w:color w:val="FF0000"/>
          <w:sz w:val="24"/>
          <w:u w:val="single"/>
        </w:rPr>
        <w:t xml:space="preserve"> Επαναχρησιμοποίηση </w:t>
      </w:r>
    </w:p>
    <w:p w14:paraId="163598FA" w14:textId="77777777" w:rsidR="000147DB" w:rsidRPr="00680045" w:rsidRDefault="000147DB" w:rsidP="00680045">
      <w:pPr>
        <w:keepNext/>
        <w:keepLines/>
        <w:jc w:val="both"/>
        <w:rPr>
          <w:color w:val="FF0000"/>
          <w:spacing w:val="-4"/>
          <w:sz w:val="24"/>
        </w:rPr>
      </w:pPr>
      <w:r w:rsidRPr="00680045">
        <w:rPr>
          <w:color w:val="FF0000"/>
          <w:spacing w:val="-4"/>
          <w:sz w:val="24"/>
        </w:rPr>
        <w:t>Σύμφωνα με την ιεράρχηση των αποβλήτων που ορίζεται στο άρθρο 9 του νόμου της 21ης Μαρτίου 2012, ο υπουργός μπορεί να συνάπτει περιβαλλοντικές συμφωνίες για να ενθαρρύνει την αύξηση του ποσοστού επαναχρησιμοποιήσιμων συσκευασιών που διατίθενται στην αγορά και των συστημάτων επαναχρησιμοποίησης των συσκευασιών κατά τρόπο αβλαβή για το περιβάλλον.</w:t>
      </w:r>
    </w:p>
    <w:p w14:paraId="213A7D6C" w14:textId="77777777" w:rsidR="000147DB" w:rsidRPr="003E7524" w:rsidRDefault="000147DB" w:rsidP="002F5A31">
      <w:pPr>
        <w:keepNext/>
        <w:keepLines/>
        <w:jc w:val="both"/>
        <w:rPr>
          <w:color w:val="FF0000"/>
          <w:sz w:val="24"/>
        </w:rPr>
      </w:pPr>
      <w:r>
        <w:rPr>
          <w:color w:val="FF0000"/>
          <w:sz w:val="24"/>
        </w:rPr>
        <w:t xml:space="preserve">Οι συμφωνίες αυτές είναι δυνατό να περιλαμβάνουν, μεταξύ άλλων, τα εξής: </w:t>
      </w:r>
    </w:p>
    <w:p w14:paraId="5BEA6077" w14:textId="77777777" w:rsidR="000147DB" w:rsidRPr="003E7524" w:rsidRDefault="000147DB" w:rsidP="000147DB">
      <w:pPr>
        <w:jc w:val="both"/>
        <w:rPr>
          <w:color w:val="FF0000"/>
          <w:sz w:val="24"/>
        </w:rPr>
      </w:pPr>
      <w:r>
        <w:rPr>
          <w:color w:val="FF0000"/>
          <w:sz w:val="24"/>
        </w:rPr>
        <w:t>1° τη χρήση προγραμμάτων παρακράτησης ποσού έναντι επιστροφής·</w:t>
      </w:r>
    </w:p>
    <w:p w14:paraId="498392F7" w14:textId="77777777" w:rsidR="000147DB" w:rsidRPr="003E7524" w:rsidRDefault="000147DB" w:rsidP="000147DB">
      <w:pPr>
        <w:jc w:val="both"/>
        <w:rPr>
          <w:color w:val="FF0000"/>
          <w:sz w:val="24"/>
        </w:rPr>
      </w:pPr>
      <w:r>
        <w:rPr>
          <w:color w:val="FF0000"/>
          <w:sz w:val="24"/>
        </w:rPr>
        <w:t>2° τον ορισμό ποιοτικών ή ποσοτικών στόχων·</w:t>
      </w:r>
    </w:p>
    <w:p w14:paraId="57A9F07C" w14:textId="77777777" w:rsidR="000147DB" w:rsidRPr="003E7524" w:rsidRDefault="000147DB" w:rsidP="000147DB">
      <w:pPr>
        <w:jc w:val="both"/>
        <w:rPr>
          <w:color w:val="FF0000"/>
          <w:sz w:val="24"/>
        </w:rPr>
      </w:pPr>
      <w:r>
        <w:rPr>
          <w:color w:val="FF0000"/>
          <w:sz w:val="24"/>
        </w:rPr>
        <w:t>3° τη χρήση οικονομικών κινήτρων·</w:t>
      </w:r>
    </w:p>
    <w:p w14:paraId="2D7BAE53" w14:textId="77777777" w:rsidR="000147DB" w:rsidRPr="003E7524" w:rsidRDefault="000147DB" w:rsidP="000147DB">
      <w:pPr>
        <w:jc w:val="both"/>
        <w:rPr>
          <w:color w:val="FF0000"/>
          <w:sz w:val="24"/>
        </w:rPr>
      </w:pPr>
      <w:r>
        <w:rPr>
          <w:color w:val="FF0000"/>
          <w:sz w:val="24"/>
        </w:rPr>
        <w:t>4° τον ορισμό ελάχιστου ποσοστού επαναχρησιμοποιήσιμων συσκευασιών που διατίθενται στην αγορά κάθε έτος για κάθε ροή συσκευασιών.</w:t>
      </w:r>
    </w:p>
    <w:p w14:paraId="7CDB617E" w14:textId="77777777" w:rsidR="000147DB" w:rsidRPr="003E7524" w:rsidRDefault="000147DB" w:rsidP="000147DB">
      <w:pPr>
        <w:spacing w:after="0" w:line="240" w:lineRule="auto"/>
        <w:jc w:val="both"/>
        <w:rPr>
          <w:rFonts w:eastAsia="Times New Roman" w:cs="Arial"/>
          <w:lang w:val="fr-LU" w:eastAsia="fr-FR"/>
        </w:rPr>
      </w:pPr>
    </w:p>
    <w:p w14:paraId="07381996" w14:textId="77777777" w:rsidR="000147DB" w:rsidRPr="003E7524" w:rsidRDefault="000147DB" w:rsidP="000147DB">
      <w:pPr>
        <w:spacing w:after="0" w:line="240" w:lineRule="auto"/>
        <w:jc w:val="both"/>
        <w:rPr>
          <w:rFonts w:eastAsia="Times New Roman" w:cs="Arial"/>
          <w:lang w:val="fr-FR" w:eastAsia="fr-FR"/>
        </w:rPr>
      </w:pPr>
    </w:p>
    <w:p w14:paraId="0E3A37E2" w14:textId="77777777" w:rsidR="000147DB" w:rsidRPr="003E7524" w:rsidRDefault="000147DB" w:rsidP="002F5A31">
      <w:pPr>
        <w:pStyle w:val="Liste10"/>
        <w:keepNext/>
        <w:keepLines/>
        <w:spacing w:before="240"/>
        <w:rPr>
          <w:rFonts w:cs="TimesNewRoman"/>
          <w:b/>
          <w:color w:val="FF0000"/>
          <w:sz w:val="24"/>
          <w:szCs w:val="24"/>
        </w:rPr>
      </w:pPr>
      <w:r>
        <w:rPr>
          <w:color w:val="FF0000"/>
          <w:sz w:val="24"/>
          <w:u w:val="single"/>
        </w:rPr>
        <w:t>Άρθρο 6. Ανάκτηση και ανακύκλωση</w:t>
      </w:r>
    </w:p>
    <w:p w14:paraId="6A7E88E7" w14:textId="77777777" w:rsidR="000147DB" w:rsidRPr="003E7524" w:rsidRDefault="000147DB" w:rsidP="002F5A31">
      <w:pPr>
        <w:pStyle w:val="Liste10"/>
        <w:keepNext/>
        <w:keepLines/>
        <w:spacing w:before="240"/>
        <w:rPr>
          <w:rFonts w:cs="TimesNewRoman"/>
          <w:b/>
          <w:color w:val="FF0000"/>
          <w:sz w:val="24"/>
          <w:szCs w:val="24"/>
        </w:rPr>
      </w:pPr>
      <w:r>
        <w:rPr>
          <w:color w:val="FF0000"/>
          <w:sz w:val="24"/>
        </w:rPr>
        <w:t>Οι υπεύθυνοι για συσκευασίες πρέπει να επιτύχουν τους ακόλουθους ελάχιστους στόχους: </w:t>
      </w:r>
    </w:p>
    <w:p w14:paraId="135701C7" w14:textId="77777777" w:rsidR="000147DB" w:rsidRPr="003E7524" w:rsidRDefault="000147DB" w:rsidP="000147DB">
      <w:pPr>
        <w:pStyle w:val="Liste10"/>
        <w:spacing w:before="240"/>
        <w:rPr>
          <w:rFonts w:cs="TimesNewRoman"/>
          <w:b/>
          <w:color w:val="FF0000"/>
          <w:sz w:val="24"/>
          <w:szCs w:val="24"/>
        </w:rPr>
      </w:pPr>
      <w:r>
        <w:rPr>
          <w:color w:val="FF0000"/>
          <w:sz w:val="24"/>
        </w:rPr>
        <w:t>1) το 65 τοις εκατό κατά βάρος των απορριμμάτων συσκευασίας θα ανακυκλώνεται ή θα αποτεφρώνεται σε εγκαταστάσεις αποτέφρωσης απορριμμάτων με ανάκτηση ενέργειας·</w:t>
      </w:r>
    </w:p>
    <w:p w14:paraId="0BEBEC70" w14:textId="77777777" w:rsidR="000147DB" w:rsidRPr="003E7524" w:rsidRDefault="000147DB" w:rsidP="000147DB">
      <w:pPr>
        <w:pStyle w:val="Liste10"/>
        <w:spacing w:before="240"/>
        <w:rPr>
          <w:rFonts w:cs="TimesNewRoman"/>
          <w:b/>
          <w:color w:val="FF0000"/>
          <w:sz w:val="24"/>
          <w:szCs w:val="24"/>
        </w:rPr>
      </w:pPr>
      <w:r>
        <w:rPr>
          <w:color w:val="FF0000"/>
          <w:sz w:val="24"/>
        </w:rPr>
        <w:t>2) το 60 τοις εκατό κατά βάρος των απορριμμάτων συσκευασίας ανακυκλώνονται, με τους ακόλουθους ελάχιστους στόχους για ανακύκλωση όσον αφορά τα ακόλουθα συγκεκριμένα υλικά που περιέχονται στα απορρίμματα συσκευασίας: το 60 τοις εκατό κατά βάρος του γυαλιού· το 60 τοις εκατό κατά βάρος του χαρτιού και χαρτονιού· το 50 τοις εκατό κατά βάρος των μετάλλων· το 22,5 τοις εκατό κατά βάρος των πλαστικών, υπολογίζοντας μόνο τα υλικά που ανακυκλώνονται ως πλαστικά· και 15 τοις εκατό κατά βάρος του ξύλου.</w:t>
      </w:r>
    </w:p>
    <w:p w14:paraId="74DA408D" w14:textId="77777777" w:rsidR="000147DB" w:rsidRPr="003E7524" w:rsidRDefault="000147DB" w:rsidP="000147DB">
      <w:pPr>
        <w:pStyle w:val="Liste10"/>
        <w:spacing w:before="240"/>
        <w:rPr>
          <w:rFonts w:cs="TimesNewRoman"/>
          <w:b/>
          <w:color w:val="FF0000"/>
          <w:sz w:val="24"/>
          <w:szCs w:val="24"/>
        </w:rPr>
      </w:pPr>
      <w:r>
        <w:rPr>
          <w:color w:val="FF0000"/>
          <w:sz w:val="24"/>
        </w:rPr>
        <w:t>3) το αργότερο έως τις 31 Δεκεμβρίου 2025, τουλάχιστον το 65 τοις εκατό κατά βάρος του συνόλου των απορριμμάτων συσκευασίας θα ανακυκλώνεται·</w:t>
      </w:r>
    </w:p>
    <w:p w14:paraId="73EB6671" w14:textId="77777777" w:rsidR="000147DB" w:rsidRPr="003E7524" w:rsidRDefault="000147DB" w:rsidP="002F5A31">
      <w:pPr>
        <w:pStyle w:val="Liste10"/>
        <w:keepNext/>
        <w:keepLines/>
        <w:spacing w:before="240"/>
        <w:rPr>
          <w:rFonts w:cs="TimesNewRoman"/>
          <w:b/>
          <w:color w:val="FF0000"/>
          <w:sz w:val="24"/>
          <w:szCs w:val="24"/>
        </w:rPr>
      </w:pPr>
      <w:r>
        <w:rPr>
          <w:color w:val="FF0000"/>
          <w:sz w:val="24"/>
        </w:rPr>
        <w:t>4) το αργότερο έως τις 31 Δεκεμβρίου 2025, πρέπει να καλυφθούν οι ακόλουθοι ελάχιστοι στόχοι για ανακύκλωση όσον αφορά τα ακόλουθα συγκεκριμένα υλικά που περιέχονται στα απορρίμματα συσκευασίας:</w:t>
      </w:r>
    </w:p>
    <w:p w14:paraId="28C5FBC2" w14:textId="77777777" w:rsidR="000147DB" w:rsidRPr="003E7524" w:rsidRDefault="000147DB" w:rsidP="000147DB">
      <w:pPr>
        <w:pStyle w:val="Liste10"/>
        <w:spacing w:before="240"/>
        <w:ind w:left="851"/>
        <w:rPr>
          <w:rFonts w:cs="TimesNewRoman"/>
          <w:b/>
          <w:color w:val="FF0000"/>
          <w:sz w:val="24"/>
          <w:szCs w:val="24"/>
        </w:rPr>
      </w:pPr>
      <w:r>
        <w:rPr>
          <w:color w:val="FF0000"/>
          <w:sz w:val="24"/>
        </w:rPr>
        <w:t>α) το 50 % κατά βάρος των πλαστικών·</w:t>
      </w:r>
    </w:p>
    <w:p w14:paraId="4E57FAF2" w14:textId="77777777" w:rsidR="000147DB" w:rsidRPr="003E7524" w:rsidRDefault="000147DB" w:rsidP="000147DB">
      <w:pPr>
        <w:pStyle w:val="Liste10"/>
        <w:spacing w:before="240"/>
        <w:ind w:left="851"/>
        <w:rPr>
          <w:rFonts w:cs="TimesNewRoman"/>
          <w:b/>
          <w:color w:val="FF0000"/>
          <w:sz w:val="24"/>
          <w:szCs w:val="24"/>
        </w:rPr>
      </w:pPr>
      <w:r>
        <w:rPr>
          <w:color w:val="FF0000"/>
          <w:sz w:val="24"/>
        </w:rPr>
        <w:t>β) το 25 % κατά βάρος του ξύλου·</w:t>
      </w:r>
    </w:p>
    <w:p w14:paraId="2042FBF8" w14:textId="77777777" w:rsidR="000147DB" w:rsidRPr="003E7524" w:rsidRDefault="000147DB" w:rsidP="000147DB">
      <w:pPr>
        <w:pStyle w:val="Liste10"/>
        <w:spacing w:before="240"/>
        <w:ind w:left="851"/>
        <w:rPr>
          <w:rFonts w:cs="TimesNewRoman"/>
          <w:b/>
          <w:color w:val="FF0000"/>
          <w:sz w:val="24"/>
          <w:szCs w:val="24"/>
        </w:rPr>
      </w:pPr>
      <w:r>
        <w:rPr>
          <w:color w:val="FF0000"/>
          <w:sz w:val="24"/>
        </w:rPr>
        <w:lastRenderedPageBreak/>
        <w:t>γ) το 70 % κατά βάρος των σιδηρούχων μετάλλων·</w:t>
      </w:r>
    </w:p>
    <w:p w14:paraId="44C91BB4" w14:textId="77777777" w:rsidR="000147DB" w:rsidRPr="003E7524" w:rsidRDefault="000147DB" w:rsidP="000147DB">
      <w:pPr>
        <w:pStyle w:val="Liste10"/>
        <w:spacing w:before="240"/>
        <w:ind w:left="851"/>
        <w:rPr>
          <w:rFonts w:cs="TimesNewRoman"/>
          <w:b/>
          <w:color w:val="FF0000"/>
          <w:sz w:val="24"/>
          <w:szCs w:val="24"/>
        </w:rPr>
      </w:pPr>
      <w:r>
        <w:rPr>
          <w:color w:val="FF0000"/>
          <w:sz w:val="24"/>
        </w:rPr>
        <w:t>δ) το 50 % κατά βάρος του αλουμινίου·</w:t>
      </w:r>
    </w:p>
    <w:p w14:paraId="7238B496" w14:textId="77777777" w:rsidR="000147DB" w:rsidRPr="003E7524" w:rsidRDefault="000147DB" w:rsidP="000147DB">
      <w:pPr>
        <w:pStyle w:val="Liste10"/>
        <w:spacing w:before="240"/>
        <w:ind w:left="851"/>
        <w:rPr>
          <w:rFonts w:cs="TimesNewRoman"/>
          <w:b/>
          <w:color w:val="FF0000"/>
          <w:sz w:val="24"/>
          <w:szCs w:val="24"/>
        </w:rPr>
      </w:pPr>
      <w:r>
        <w:rPr>
          <w:color w:val="FF0000"/>
          <w:sz w:val="24"/>
        </w:rPr>
        <w:t>ε) το 70 % κατά βάρος του γυαλιού·</w:t>
      </w:r>
    </w:p>
    <w:p w14:paraId="0474C36D" w14:textId="77777777" w:rsidR="000147DB" w:rsidRPr="003E7524" w:rsidRDefault="000147DB" w:rsidP="000147DB">
      <w:pPr>
        <w:pStyle w:val="Liste10"/>
        <w:spacing w:before="240"/>
        <w:ind w:left="851"/>
        <w:rPr>
          <w:rFonts w:cs="TimesNewRoman"/>
          <w:b/>
          <w:color w:val="FF0000"/>
          <w:sz w:val="24"/>
          <w:szCs w:val="24"/>
        </w:rPr>
      </w:pPr>
      <w:r>
        <w:rPr>
          <w:color w:val="FF0000"/>
          <w:sz w:val="24"/>
        </w:rPr>
        <w:t>στ) το 75 % κατά βάρος του χαρτιού και χαρτονιού.</w:t>
      </w:r>
    </w:p>
    <w:p w14:paraId="0E79D37D" w14:textId="77777777" w:rsidR="000147DB" w:rsidRPr="00471E09" w:rsidRDefault="000147DB" w:rsidP="000147DB">
      <w:pPr>
        <w:pStyle w:val="Liste10"/>
        <w:spacing w:before="240"/>
        <w:rPr>
          <w:rFonts w:cs="TimesNewRoman"/>
          <w:color w:val="FF0000"/>
          <w:sz w:val="24"/>
          <w:szCs w:val="24"/>
        </w:rPr>
      </w:pPr>
      <w:r>
        <w:rPr>
          <w:color w:val="FF0000"/>
          <w:sz w:val="24"/>
        </w:rPr>
        <w:t>5) το αργότερο έως τις 31 Δεκεμβρίου 2030, τουλάχιστον το 70 τοις εκατό κατά βάρος του συνόλου των απορριμμάτων συσκευασίας θα ανακυκλώνεται·</w:t>
      </w:r>
    </w:p>
    <w:p w14:paraId="72B3204C" w14:textId="77777777" w:rsidR="000147DB" w:rsidRPr="00471E09" w:rsidRDefault="000147DB" w:rsidP="002F5A31">
      <w:pPr>
        <w:pStyle w:val="Liste10"/>
        <w:keepNext/>
        <w:keepLines/>
        <w:spacing w:before="240"/>
        <w:rPr>
          <w:rFonts w:cs="TimesNewRoman"/>
          <w:color w:val="FF0000"/>
          <w:sz w:val="24"/>
          <w:szCs w:val="24"/>
        </w:rPr>
      </w:pPr>
      <w:r>
        <w:rPr>
          <w:color w:val="FF0000"/>
          <w:sz w:val="24"/>
        </w:rPr>
        <w:t>6) το αργότερο έως τις 31 Δεκεμβρίου 2030, πρέπει να καλυφθούν οι ακόλουθοι ελάχιστοι στόχοι για ανακύκλωση όσον αφορά τα συγκεκριμένα υλικά που περιέχονται στα απορρίμματα συσκευασίας:</w:t>
      </w:r>
    </w:p>
    <w:p w14:paraId="5CEB0529" w14:textId="77777777" w:rsidR="000147DB" w:rsidRPr="003E7524" w:rsidRDefault="000147DB" w:rsidP="000147DB">
      <w:pPr>
        <w:pStyle w:val="Liste10"/>
        <w:spacing w:before="240"/>
        <w:ind w:left="851"/>
        <w:rPr>
          <w:rFonts w:cs="TimesNewRoman"/>
          <w:b/>
          <w:color w:val="FF0000"/>
          <w:sz w:val="24"/>
          <w:szCs w:val="24"/>
        </w:rPr>
      </w:pPr>
      <w:r>
        <w:rPr>
          <w:color w:val="FF0000"/>
          <w:sz w:val="24"/>
        </w:rPr>
        <w:t>α) το 55 % κατά βάρος των πλαστικών·</w:t>
      </w:r>
    </w:p>
    <w:p w14:paraId="3F31D1FB" w14:textId="77777777" w:rsidR="000147DB" w:rsidRPr="003E7524" w:rsidRDefault="000147DB" w:rsidP="000147DB">
      <w:pPr>
        <w:pStyle w:val="Liste10"/>
        <w:spacing w:before="240"/>
        <w:ind w:left="851"/>
        <w:rPr>
          <w:rFonts w:cs="TimesNewRoman"/>
          <w:b/>
          <w:color w:val="FF0000"/>
          <w:sz w:val="24"/>
          <w:szCs w:val="24"/>
        </w:rPr>
      </w:pPr>
      <w:r>
        <w:rPr>
          <w:color w:val="FF0000"/>
          <w:sz w:val="24"/>
        </w:rPr>
        <w:t>β) το 30 % κατά βάρος του ξύλου·</w:t>
      </w:r>
    </w:p>
    <w:p w14:paraId="75516D16" w14:textId="77777777" w:rsidR="000147DB" w:rsidRPr="003E7524" w:rsidRDefault="000147DB" w:rsidP="000147DB">
      <w:pPr>
        <w:pStyle w:val="Liste10"/>
        <w:spacing w:before="240"/>
        <w:ind w:left="851"/>
        <w:rPr>
          <w:rFonts w:cs="TimesNewRoman"/>
          <w:b/>
          <w:color w:val="FF0000"/>
          <w:sz w:val="24"/>
          <w:szCs w:val="24"/>
        </w:rPr>
      </w:pPr>
      <w:r>
        <w:rPr>
          <w:color w:val="FF0000"/>
          <w:sz w:val="24"/>
        </w:rPr>
        <w:t>γ) το 80 % κατά βάρος των σιδηρούχων μετάλλων·</w:t>
      </w:r>
    </w:p>
    <w:p w14:paraId="4FD2DC34" w14:textId="77777777" w:rsidR="000147DB" w:rsidRPr="003E7524" w:rsidRDefault="000147DB" w:rsidP="000147DB">
      <w:pPr>
        <w:pStyle w:val="Liste10"/>
        <w:spacing w:before="240"/>
        <w:ind w:left="851"/>
        <w:rPr>
          <w:rFonts w:cs="TimesNewRoman"/>
          <w:b/>
          <w:color w:val="FF0000"/>
          <w:sz w:val="24"/>
          <w:szCs w:val="24"/>
        </w:rPr>
      </w:pPr>
      <w:r>
        <w:rPr>
          <w:color w:val="FF0000"/>
          <w:sz w:val="24"/>
        </w:rPr>
        <w:t>δ) το 60 % κατά βάρος του αλουμινίου·</w:t>
      </w:r>
    </w:p>
    <w:p w14:paraId="6756906E" w14:textId="77777777" w:rsidR="000147DB" w:rsidRPr="003E7524" w:rsidRDefault="000147DB" w:rsidP="000147DB">
      <w:pPr>
        <w:pStyle w:val="Liste10"/>
        <w:spacing w:before="240"/>
        <w:ind w:left="851"/>
        <w:rPr>
          <w:rFonts w:cs="TimesNewRoman"/>
          <w:b/>
          <w:color w:val="FF0000"/>
          <w:sz w:val="24"/>
          <w:szCs w:val="24"/>
        </w:rPr>
      </w:pPr>
      <w:r>
        <w:rPr>
          <w:color w:val="FF0000"/>
          <w:sz w:val="24"/>
        </w:rPr>
        <w:t>ε) το 75 % κατά βάρος του γυαλιού·</w:t>
      </w:r>
    </w:p>
    <w:p w14:paraId="7EEFA81F" w14:textId="77777777" w:rsidR="000147DB" w:rsidRPr="003E7524" w:rsidRDefault="000147DB" w:rsidP="000147DB">
      <w:pPr>
        <w:pStyle w:val="Liste10"/>
        <w:spacing w:before="240"/>
        <w:ind w:left="851"/>
        <w:rPr>
          <w:rFonts w:cs="TimesNewRoman"/>
          <w:b/>
          <w:color w:val="FF0000"/>
          <w:sz w:val="24"/>
          <w:szCs w:val="24"/>
        </w:rPr>
      </w:pPr>
      <w:r>
        <w:rPr>
          <w:color w:val="FF0000"/>
          <w:sz w:val="24"/>
        </w:rPr>
        <w:t>στ) το 85 % κατά βάρος του χαρτιού και χαρτονιού.</w:t>
      </w:r>
    </w:p>
    <w:p w14:paraId="4B119723" w14:textId="77777777" w:rsidR="000147DB" w:rsidRPr="00471E09" w:rsidRDefault="000147DB" w:rsidP="000147DB">
      <w:pPr>
        <w:pStyle w:val="Liste10"/>
        <w:spacing w:before="240"/>
        <w:rPr>
          <w:rFonts w:cs="TimesNewRoman"/>
          <w:color w:val="FF0000"/>
          <w:sz w:val="24"/>
          <w:szCs w:val="24"/>
        </w:rPr>
      </w:pPr>
      <w:r>
        <w:rPr>
          <w:color w:val="FF0000"/>
          <w:sz w:val="24"/>
        </w:rPr>
        <w:t>Με την επιφύλαξη του άρθρου 14, η διοίκηση περιβάλλοντος εξασφαλίζει ότι αυτοί οι στόχοι και οι υποχρεώσεις θα αποτελέσουν αντικείμενο ενημέρωσης απευθυνόμενες στο ευρύ κοινό και στους οικονομικούς παράγοντες.</w:t>
      </w:r>
    </w:p>
    <w:p w14:paraId="7CDFE683" w14:textId="77777777" w:rsidR="000147DB" w:rsidRPr="003E7524" w:rsidRDefault="000147DB" w:rsidP="000147DB">
      <w:pPr>
        <w:spacing w:after="0" w:line="240" w:lineRule="auto"/>
        <w:jc w:val="both"/>
        <w:rPr>
          <w:rFonts w:eastAsia="Times New Roman" w:cs="Arial"/>
          <w:color w:val="FF0000"/>
          <w:lang w:val="fr-LU" w:eastAsia="fr-FR"/>
        </w:rPr>
      </w:pPr>
    </w:p>
    <w:p w14:paraId="349B36C3"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u w:val="single"/>
        </w:rPr>
        <w:t>Άρθρο 6</w:t>
      </w:r>
      <w:r>
        <w:rPr>
          <w:i/>
          <w:iCs/>
          <w:color w:val="FF0000"/>
          <w:sz w:val="24"/>
          <w:u w:val="single"/>
        </w:rPr>
        <w:t>α.</w:t>
      </w:r>
      <w:r>
        <w:rPr>
          <w:color w:val="FF0000"/>
          <w:sz w:val="24"/>
          <w:u w:val="single"/>
        </w:rPr>
        <w:t xml:space="preserve"> Ισχύοντες κανόνες σχετικά με τον υπολογισμό που αποσκοπεί στην αξιολόγηση της επίτευξης των στόχων</w:t>
      </w:r>
    </w:p>
    <w:p w14:paraId="4190A464"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rPr>
        <w:t>1) Για να υπολογιστεί εάν έχουν επιτευχθεί οι στόχοι που ορίζονται στο άρθρο 6 παράγραφος 1 σημεία 3 έως 6:</w:t>
      </w:r>
    </w:p>
    <w:p w14:paraId="64FF6A17"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rPr>
        <w:t>1. υπολογίζεται το βάρος των απορριμμάτων συσκευασίας που παράγονται και ανακυκλώνονται σε ένα δεδομένο ημερολογιακό έτος. Η ποσότητα των απορριμμάτων συσκευασίας που παράγονται μπορεί να θεωρηθεί ότι ισούται με την ποσότητα των συσκευασιών που διατίθενται στην αγορά κατά τη διάρκεια του ιδίου έτους·</w:t>
      </w:r>
    </w:p>
    <w:p w14:paraId="3595E56C" w14:textId="77777777" w:rsidR="000147DB" w:rsidRPr="003E7524" w:rsidRDefault="000147DB" w:rsidP="00680045">
      <w:pPr>
        <w:keepLines/>
        <w:spacing w:beforeLines="100" w:before="240" w:after="240" w:line="240" w:lineRule="auto"/>
        <w:ind w:left="720"/>
        <w:jc w:val="both"/>
        <w:rPr>
          <w:rFonts w:eastAsia="Calibri" w:cs="TimesNewRoman"/>
          <w:color w:val="FF0000"/>
          <w:sz w:val="24"/>
          <w:szCs w:val="24"/>
        </w:rPr>
      </w:pPr>
      <w:r>
        <w:rPr>
          <w:color w:val="FF0000"/>
          <w:sz w:val="24"/>
        </w:rPr>
        <w:lastRenderedPageBreak/>
        <w:t>2. το βάρος των απορριμμάτων συσκευασίας που ανακυκλώθηκαν υπολογίζεται ως το βάρος των συσκευασιών που έχουν καταστεί απορρίμματα και που, αφού υποβλήθηκαν σε όλες τις αναγκαίες εργασίες ελέγχου και διαλογής και σε άλλες προπαρασκευαστικές εργασίες αναγκαίες για την απομάκρυνση των αποβλήτων υλικών που δεν αποτελούν αντικείμενο της επακόλουθης επανεπεξεργασίας και για την εξασφάλιση υψηλής ποιότητας ανακύκλωσης, εισέρχονται σε εργασία ανακύκλωσης, μέσω της οποίας τα απόβλητα υλικά μετατρέπονται σε προϊόντα, υλικά ή ουσίες.</w:t>
      </w:r>
    </w:p>
    <w:p w14:paraId="528F3DBE"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2) Για τους σκοπούς της παραγράφου 1 σημείο 1, το βάρος των ανακυκλωμένων απορριμμάτων συσκευασίας μετράται κατά την είσοδο των απορριμμάτων στην εργασία ανακύκλωσης.</w:t>
      </w:r>
    </w:p>
    <w:p w14:paraId="5C40963C"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rPr>
        <w:t>Κατά παρέκκλιση από το πρώτο εδάφιο, το βάρος των ανακυκλωμένων απορριμμάτων συσκευασίας μπορεί να μετράται στην έξοδο οποιωνδήποτε εργασιών διαλογής, υπό την προϋπόθεση ότι:</w:t>
      </w:r>
    </w:p>
    <w:p w14:paraId="34D0716F"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rPr>
        <w:t>1. τα εν λόγω εξερχόμενα απορρίμματα υποβάλλονται στη συνέχεια σε ανακύκλωση·</w:t>
      </w:r>
    </w:p>
    <w:p w14:paraId="3B9C8FE8" w14:textId="77777777" w:rsidR="000147DB" w:rsidRPr="00680045" w:rsidRDefault="000147DB" w:rsidP="000147DB">
      <w:pPr>
        <w:spacing w:beforeLines="100" w:before="240" w:after="240" w:line="240" w:lineRule="auto"/>
        <w:ind w:left="851"/>
        <w:jc w:val="both"/>
        <w:rPr>
          <w:rFonts w:eastAsia="Calibri" w:cs="TimesNewRoman"/>
          <w:color w:val="FF0000"/>
          <w:spacing w:val="-4"/>
          <w:sz w:val="24"/>
          <w:szCs w:val="24"/>
        </w:rPr>
      </w:pPr>
      <w:r w:rsidRPr="00680045">
        <w:rPr>
          <w:color w:val="FF0000"/>
          <w:spacing w:val="-4"/>
          <w:sz w:val="24"/>
        </w:rPr>
        <w:t>2. το βάρος των υλικών ή ουσιών που αφαιρούνται μέσω περαιτέρω εργασιών οι οποίες προηγούνται της εργασίας ανακύκλωσης και που δεν ανακυκλώνονται στη συνέχεια, δεν περιλαμβάνεται στο βάρος των απορριμμάτων που αναφέρονται ως ανακυκλωμένα.</w:t>
      </w:r>
    </w:p>
    <w:p w14:paraId="0049964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 xml:space="preserve">3) Για να εξασφαλιστεί ότι τηρούνται οι κανόνες υπολογισμού και ότι όλα τα στοιχεία έχουν διαβιβαστεί στην αρμόδια διοίκηση, δημιουργείται ηλεκτρονικό μητρώο σύμφωνα με το άρθρο 34 του νόμου της 21ης Μαρτίου 2012. </w:t>
      </w:r>
    </w:p>
    <w:p w14:paraId="22177B03"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4) Η ποσότητα απορριμμάτων συσκευασίας που παύουν να είναι απορρίμματα ως αποτέλεσμα προπαρασκευαστικής εργασίας πριν υποβληθούν σε επανεπεξεργασία, μπορεί να λογίζεται ως ανακυκλωμένη υπό την προϋπόθεση ότι τα υλικά αυτά προορίζονται να μετατραπούν με επακόλουθη επανεπεξεργασία σε προϊόντα, υλικά ή ουσίες που θα χρησιμοποιηθούν είτε για τον αρχικό είτε για άλλον σκοπό. Ωστόσο, τα υλικά από αποχαρακτηρισμένα απόβλητα που πρόκειται να χρησιμοποιηθούν ως καύσιμα ή ως άλλο μέσο παραγωγής ενέργειας ή προορίζονται για αποτέφρωση, επίχωση ή διάθεση σε χώρο υγειονομικής ταφής δεν λαμβάνονται υπόψη για την επίτευξη των στόχων ανακύκλωσης.</w:t>
      </w:r>
    </w:p>
    <w:p w14:paraId="79D6EBAB" w14:textId="77777777" w:rsidR="000147DB" w:rsidRPr="00680045" w:rsidRDefault="000147DB" w:rsidP="000147DB">
      <w:pPr>
        <w:spacing w:beforeLines="100" w:before="240" w:after="240" w:line="240" w:lineRule="auto"/>
        <w:jc w:val="both"/>
        <w:rPr>
          <w:rFonts w:eastAsia="Calibri" w:cs="TimesNewRoman"/>
          <w:color w:val="FF0000"/>
          <w:spacing w:val="-4"/>
          <w:sz w:val="24"/>
          <w:szCs w:val="24"/>
        </w:rPr>
      </w:pPr>
      <w:r w:rsidRPr="00680045">
        <w:rPr>
          <w:color w:val="FF0000"/>
          <w:spacing w:val="-4"/>
          <w:sz w:val="24"/>
        </w:rPr>
        <w:t>5) Για να υπολογιστεί εάν έχουν επιτευχθεί οι στόχοι που ορίζονται στο άρθρο 6 παράγραφος 1 σημεία 3 έως 6, η Διοίκηση Περιβάλλοντος μπορεί να λάβει υπόψη την ανακύκλωση των μετάλλων που διαχωρίζονται μετά την αποτέφρωση απορριμμάτων κατ’ αναλογία του μεριδίου των απορριμμάτων συσκευασίας που αποτεφρώνονται, με την προϋπόθεση ότι τα ανακυκλωμένα μέταλλα πληρούν συγκεκριμένα ποιοτικά κριτήρια</w:t>
      </w:r>
      <w:r w:rsidRPr="00680045">
        <w:rPr>
          <w:color w:val="FF0000"/>
          <w:spacing w:val="-4"/>
        </w:rPr>
        <w:t>,</w:t>
      </w:r>
      <w:r w:rsidRPr="00680045">
        <w:rPr>
          <w:color w:val="FF0000"/>
          <w:spacing w:val="-4"/>
          <w:sz w:val="24"/>
        </w:rPr>
        <w:t xml:space="preserve"> τα οποία προσδιορίζονται στην εκτελεστική πράξη που εγκρίνεται δυνάμει του άρθρου 11α παράγραφος 9 της οδηγίας 2008/98/ΕΚ.</w:t>
      </w:r>
    </w:p>
    <w:p w14:paraId="451BF595"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6) Απορρίμματα συσκευασίας που αποστέλλονται σε άλλο κράτος μέλος της Ευρωπαϊκής Ένωσης για ανακύκλωση στο εν λόγω άλλο κράτος μέλος, μπορούν να προσμετρηθούν στην επίτευξη των στόχων που ορίζονται στο άρθρο 6 παράγραφος 1 σημεία 3 έως 6, όσον αφορά το Λουξεμβούργο.</w:t>
      </w:r>
    </w:p>
    <w:p w14:paraId="5CA935B6" w14:textId="77777777" w:rsidR="000147DB" w:rsidRPr="00680045" w:rsidRDefault="000147DB" w:rsidP="000147DB">
      <w:pPr>
        <w:spacing w:beforeLines="100" w:before="240" w:after="240" w:line="240" w:lineRule="auto"/>
        <w:jc w:val="both"/>
        <w:rPr>
          <w:rFonts w:eastAsia="Calibri" w:cs="TimesNewRoman"/>
          <w:color w:val="FF0000"/>
          <w:spacing w:val="-4"/>
          <w:sz w:val="24"/>
          <w:szCs w:val="24"/>
        </w:rPr>
      </w:pPr>
      <w:r w:rsidRPr="00680045">
        <w:rPr>
          <w:color w:val="FF0000"/>
          <w:spacing w:val="-4"/>
          <w:sz w:val="24"/>
        </w:rPr>
        <w:lastRenderedPageBreak/>
        <w:t>7) Τα απορρίμματα συσκευασίας που εξάγονται από την Ευρωπαϊκή Ένωση δεν λαμβάνονται υπόψη στον υπολογισμό για την αξιολόγηση της επίτευξης των στόχων που καθορίζονται στο άρθρο 6 παράγραφος 1, μόνο εάν τηρούνται οι απαιτήσεις της παραγράφου 3 και αν, σύμφωνα με τον κανονισμό (ΕΚ) αριθ. 1013/2006 του Ευρωπαϊκού Κοινοβουλίου και του Συμβουλίου, της 14ης Ιουνίου 2006, για τις μεταφορές αποβλήτων, ο εξαγωγέας μπορεί να αποδείξει ότι η μεταφορά των αποβλήτων συμμορφώνεται με τις απαιτήσεις του εν λόγω κανονισμού και ότι η επεξεργασία των απορριμμάτων συσκευασίας εκτός της Ευρωπαϊκής Ένωσης διενεργείται υπό ισοδύναμες εν γένει συνθήκες με αυτές που επιβάλλει το σχετικό περιβαλλοντικό δίκαιο της Ένωσης.</w:t>
      </w:r>
    </w:p>
    <w:p w14:paraId="627E6620" w14:textId="77777777" w:rsidR="000147DB" w:rsidRPr="003E7524" w:rsidRDefault="000147DB" w:rsidP="000147DB">
      <w:pPr>
        <w:spacing w:after="0" w:line="240" w:lineRule="auto"/>
        <w:jc w:val="center"/>
        <w:rPr>
          <w:rFonts w:eastAsia="Calibri" w:cs="Arial"/>
          <w:lang w:val="fr-FR"/>
        </w:rPr>
      </w:pPr>
    </w:p>
    <w:p w14:paraId="2620BFC1" w14:textId="77777777" w:rsidR="000147DB" w:rsidRPr="003E7524" w:rsidRDefault="000147DB" w:rsidP="000147DB">
      <w:pPr>
        <w:spacing w:after="0" w:line="240" w:lineRule="auto"/>
        <w:jc w:val="both"/>
        <w:rPr>
          <w:rFonts w:eastAsia="Times New Roman" w:cs="Arial"/>
          <w:strike/>
          <w:color w:val="FF0000"/>
          <w:lang w:val="fr-FR" w:eastAsia="fr-FR"/>
        </w:rPr>
      </w:pPr>
    </w:p>
    <w:p w14:paraId="516918B1" w14:textId="77777777" w:rsidR="000147DB" w:rsidRPr="003E7524" w:rsidRDefault="000147DB" w:rsidP="000147DB">
      <w:pPr>
        <w:spacing w:after="0" w:line="240" w:lineRule="auto"/>
        <w:jc w:val="center"/>
        <w:rPr>
          <w:rFonts w:eastAsia="Calibri" w:cs="Arial"/>
          <w:color w:val="FF0000"/>
          <w:lang w:val="fr-FR"/>
        </w:rPr>
      </w:pPr>
    </w:p>
    <w:p w14:paraId="47E52660" w14:textId="77777777" w:rsidR="000147DB" w:rsidRPr="003E7524" w:rsidRDefault="000147DB" w:rsidP="002F5A31">
      <w:pPr>
        <w:keepNext/>
        <w:keepLines/>
        <w:shd w:val="clear" w:color="auto" w:fill="FFFFFF"/>
        <w:spacing w:before="142" w:after="28"/>
        <w:jc w:val="both"/>
        <w:rPr>
          <w:rFonts w:eastAsia="Calibri" w:cs="TimesNewRoman"/>
          <w:color w:val="FF0000"/>
          <w:sz w:val="24"/>
          <w:szCs w:val="24"/>
        </w:rPr>
      </w:pPr>
      <w:r>
        <w:rPr>
          <w:color w:val="FF0000"/>
          <w:sz w:val="24"/>
          <w:u w:val="single"/>
        </w:rPr>
        <w:t>Άρθρο 7. Συστήματα επιστροφής, συλλογής και ανάκτησης</w:t>
      </w:r>
    </w:p>
    <w:p w14:paraId="3CFE162E"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t>1) Για να επιτύχουν τους στόχους που καθορίζονται στο άρθρο 1 και σύμφωνα με την παράγραφο 2, οι υπεύθυνοι για συσκευασίες πρέπει να διασφαλίσουν, συμμορφούμενοι συγχρόνως με τις απαιτήσεις υγιεινής, τα ακόλουθα:</w:t>
      </w:r>
    </w:p>
    <w:p w14:paraId="7AA5AC5D"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rPr>
        <w:t>1. την επιστροφή ή τη συλλογή χρησιμοποιημένων συσκευασιών ή απορριμμάτων συσκευασίας από τον καταναλωτή, από άλλον τελικό χρήστη ή από τη ροή απορριμμάτων, προκειμένου αυτά να διοχετεύονται προς τις πλέον ενδεδειγμένες εναλλακτικές λύσεις διαχείρισης απορριμμάτων·</w:t>
      </w:r>
    </w:p>
    <w:p w14:paraId="40D25AD4"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rPr>
        <w:t>2. την επαναχρησιμοποίηση, την προετοιμασία για επαναχρησιμοποίηση ή την ανάκτηση, συμπεριλαμβανομένης της ανακύκλωσης, των συλλεγόμενων συσκευασιών ή απορριμμάτων συσκευασίας.</w:t>
      </w:r>
    </w:p>
    <w:p w14:paraId="60F35859"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Τα εν λόγω συστήματα επιτρέπουν τη συμμετοχή των οικονομικών παραγόντων των σχετικών τομέων και τη συμμετοχή των αρμόδιων δημόσιων αρχών. Τα συστήματα αυτά εφαρμόζονται επίσης για τα εισαγόμενα προϊόντα, υπό συνθήκες που δεν εισάγουν διακρίσεις, συμπεριλαμβανομένων των λεπτομερειών που ισχύουν και των τυχόν τελών που επιβάλλονται για την πρόσβαση στα συστήματα, και σχεδιάζονται κατά τρόπον ώστε να αποφεύγονται εμπόδια στο εμπόριο ή στρεβλώσεις του ανταγωνισμού.</w:t>
      </w:r>
    </w:p>
    <w:p w14:paraId="7291264C"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2) Προκειμένου να μειωθεί στο ελάχιστο η διάθεση των απορριμμάτων συσκευασίας υπό μορφή δημοτικών απορριμμάτων και για να επιτευχθεί υψηλό επίπεδο χωριστής συλλογής των απορριμμάτων συσκευασίας, εφαρμόζονται οι ακόλουθες διατάξεις:</w:t>
      </w:r>
    </w:p>
    <w:p w14:paraId="457714E4"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t>α) για τα οικιακά απορρίμματα συσκευασίας:</w:t>
      </w:r>
    </w:p>
    <w:p w14:paraId="04693C3C"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rPr>
        <w:t xml:space="preserve">Με την επιφύλαξη των υποχρεώσεων των δήμων ή των ενώσεων των δήμων που είναι επιφορτισμένοι με τη διαχείριση των δημοτικών οικιακών απορριμμάτων δυνάμει του νόμου της 21ης Μαρτίου 2012, οι δήμοι ή οι ενώσεις δήμων πρέπει να εξασφαλίζουν τη διαθεσιμότητα των συστημάτων χωριστής συλλογής. Οι δήμοι ή οι ενώσεις δήμων πρέπει </w:t>
      </w:r>
      <w:r>
        <w:rPr>
          <w:color w:val="FF0000"/>
          <w:sz w:val="24"/>
        </w:rPr>
        <w:lastRenderedPageBreak/>
        <w:t>να εξασφαλίζουν, κατά περίπτωση, σε συνεργασία με τους εγκεκριμένους οργανισμούς, τη διαθεσιμότητα και την προσβασιμότητα των δημόσιων υποδομών χωριστής συλλογής οικιακών απορριμμάτων συσκευασίας που επιτρέπουν στους τελικούς κατόχους να επιστρέφουν τουλάχιστον δωρεάν τα απορρίμματα συσκευασίας αυτά.</w:t>
      </w:r>
    </w:p>
    <w:p w14:paraId="54386F43"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rPr>
        <w:t>Οι εγκεκριμένοι οργανισμοί είναι εξουσιοδοτημένοι να οργανώνουν και να θέτουν σε λειτουργία συστήματα επιστροφής οικιακών απορριμμάτων συσκευασίας, εναλλακτικά ή συμπληρωματικά, υπό τον όρο ότι αυτά τα συστήματα συμμορφώνονται με τους στόχους του παρόντος νόμου, διασφαλίζοντας την ίδια εδαφική κάλυψη με τα συστήματα των κοινοτήτων ή των ενώσεων κοινοτήτων και τουλάχιστον τη δωρεάν επιστροφή των οικιακών απορριμμάτων συσκευασίας.</w:t>
      </w:r>
    </w:p>
    <w:p w14:paraId="1411304A"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rPr>
        <w:t>Οι χρήστες οικιακών συσκευασιών έχουν την υποχρέωση να χρησιμοποιούν τα συστήματα επιστροφής χωριστής συλλογής οικιακών απορριμμάτων συσκευασίας που τίθενται στη διάθεσή τους από τους δήμους ή τις ενώσεις δήμων ή από τους εγκεκριμένους οργανισμούς.</w:t>
      </w:r>
    </w:p>
    <w:p w14:paraId="72763D47"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β) για τα μη οικιακά απορρίμματα συσκευασίας·</w:t>
      </w:r>
    </w:p>
    <w:p w14:paraId="3D19C80D"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rPr>
        <w:t>Οι διαχειριστές συσκευασιών που δεν είναι οικιακές διασφαλίζουν τη συλλογή και την ανάκτηση των εν λόγω απορριμμάτων στο πλαίσιο ενός συστήματος διευρυμένης ευθύνης του παραγωγού, όπως περιγράφεται στο άρθρο 8 του παρόντος νόμου.</w:t>
      </w:r>
    </w:p>
    <w:p w14:paraId="211C6CEC" w14:textId="165B29C7" w:rsidR="000147DB" w:rsidRPr="00471E09"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3) Οι εγκαταστάσεις ή οι εταιρείες που καλύπτονται από το άρθρο 30 παράγραφος 1 του </w:t>
      </w:r>
      <w:hyperlink r:id="rId6" w:history="1">
        <w:r>
          <w:rPr>
            <w:color w:val="FF0000"/>
            <w:sz w:val="24"/>
            <w:szCs w:val="24"/>
          </w:rPr>
          <w:t>νόμου της 21ης Μαρτίου 2012</w:t>
        </w:r>
      </w:hyperlink>
      <w:r>
        <w:rPr>
          <w:color w:val="FF0000"/>
          <w:sz w:val="24"/>
        </w:rPr>
        <w:t xml:space="preserve"> μπορούν να συλλέγουν ή να μεταφέρουν απορρίμματα συσκευασίας που αποτελούν οικιακά απορρίμματα μόνο στο βαθμό που έχουν εξουσιοδοτηθεί για τον σκοπό αυτό από τους εγκεκριμένους οργανισμούς.</w:t>
      </w:r>
    </w:p>
    <w:p w14:paraId="5A8B572D" w14:textId="03908A6C" w:rsidR="000147DB" w:rsidRPr="00680045"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680045">
        <w:rPr>
          <w:color w:val="FF0000"/>
          <w:spacing w:val="-4"/>
          <w:sz w:val="24"/>
        </w:rPr>
        <w:t> 4) Οι συσκευασίες ποτών που χρησιμοποιούνται για ανθρώπινη κατανάλωση και διατίθενται στην αγορά του Λουξεμβούργου υπόκεινται στο ενιαίο εθνικό σύστημα παρακράτησης ποσού έναντι επιστροφής. Το ποσό της παρακράτησης ποικίλλει ανάλογα με τη φύση της συσκευασίας μεταξύ 10 λεπτών και 1 ευρώ. Η ημερομηνία και οι όροι εφαρμογής του συστήματος παρακράτησης ποσού έναντι επιστροφής καθορίζονται από κανονισμό του Μεγάλου Δουκάτου. </w:t>
      </w:r>
    </w:p>
    <w:p w14:paraId="2E9C3117" w14:textId="77777777" w:rsidR="000147DB" w:rsidRPr="003E7524" w:rsidRDefault="000147DB" w:rsidP="000147DB">
      <w:pPr>
        <w:spacing w:after="0" w:line="240" w:lineRule="auto"/>
        <w:jc w:val="both"/>
        <w:rPr>
          <w:rFonts w:eastAsia="Times New Roman" w:cs="Arial"/>
          <w:b/>
          <w:bCs/>
          <w:lang w:val="fr-LU" w:eastAsia="fr-FR"/>
        </w:rPr>
      </w:pPr>
    </w:p>
    <w:p w14:paraId="39140DBB" w14:textId="77777777" w:rsidR="000147DB" w:rsidRPr="003E7524" w:rsidRDefault="000147DB" w:rsidP="000147DB">
      <w:pPr>
        <w:spacing w:after="0" w:line="240" w:lineRule="auto"/>
        <w:jc w:val="both"/>
        <w:rPr>
          <w:rFonts w:eastAsia="Times New Roman" w:cs="Arial"/>
          <w:b/>
          <w:bCs/>
          <w:lang w:val="fr-FR" w:eastAsia="fr-FR"/>
        </w:rPr>
      </w:pPr>
    </w:p>
    <w:p w14:paraId="515F989F" w14:textId="77777777" w:rsidR="000147DB" w:rsidRPr="003E7524" w:rsidRDefault="000147DB" w:rsidP="000147DB">
      <w:pPr>
        <w:spacing w:after="0" w:line="240" w:lineRule="auto"/>
        <w:jc w:val="both"/>
        <w:rPr>
          <w:rFonts w:eastAsia="Times New Roman" w:cs="Arial"/>
          <w:strike/>
          <w:color w:val="FF0000"/>
          <w:lang w:val="fr-FR" w:eastAsia="fr-FR"/>
        </w:rPr>
      </w:pPr>
    </w:p>
    <w:p w14:paraId="5B6EF5DC"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t>Άρθρο 8.</w:t>
      </w:r>
      <w:r>
        <w:rPr>
          <w:color w:val="FF0000"/>
          <w:sz w:val="24"/>
          <w:u w:val="single"/>
        </w:rPr>
        <w:t xml:space="preserve"> Υπεύθυνοι για συσκευασίες και εγκεκριμένοι οργανισμοί</w:t>
      </w:r>
    </w:p>
    <w:p w14:paraId="4ADADA8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 xml:space="preserve">1) Προκειμένου να εκπληρώσει τις υποχρεώσεις του βάσει του παρόντος νόμου και βάσει του νόμου για την εκτίμηση των επιπτώσεων ορισμένων πλαστικών προϊόντων στο περιβάλλον, ο υπεύθυνος για συσκευασίες υπόκειται στο σύστημα διευρυμένης ευθύνης του παραγωγού που αναφέρεται στο άρθρο 19 του νόμου της 21ης Μαρτίου 2012. </w:t>
      </w:r>
    </w:p>
    <w:p w14:paraId="48FF4710" w14:textId="77777777" w:rsidR="000147DB" w:rsidRPr="003E7524" w:rsidRDefault="000147DB" w:rsidP="00680045">
      <w:pPr>
        <w:keepLines/>
        <w:shd w:val="clear" w:color="auto" w:fill="FFFFFF"/>
        <w:spacing w:before="100" w:beforeAutospacing="1" w:after="0" w:line="240" w:lineRule="auto"/>
        <w:jc w:val="both"/>
        <w:rPr>
          <w:rFonts w:eastAsia="Calibri" w:cs="TimesNewRoman"/>
          <w:color w:val="FF0000"/>
          <w:sz w:val="24"/>
          <w:szCs w:val="24"/>
        </w:rPr>
      </w:pPr>
      <w:r>
        <w:rPr>
          <w:color w:val="FF0000"/>
          <w:sz w:val="24"/>
        </w:rPr>
        <w:lastRenderedPageBreak/>
        <w:t xml:space="preserve">Για τις επαναχρησιμοποιήσιμες οικιακές συσκευασίες για τις οποίες υπάρχει σύστημα παρακράτησης ποσού έναντι επιστροφής, μπορεί να ανατεθεί σε εγκεκριμένο οργανισμό με σύμβαση η εκπλήρωση του συνόλου ή μέρους αυτής της υποχρέωσης. Για τις λοιπές οικιακές συσκευασίες, πρέπει να αναθέτει με σύμβαση σε εγκεκριμένο οργανισμό την εκπλήρωση της υποχρέωσης αυτής. Για τις μη οικιακές συσκευασίες, πρέπει να ανατεθεί με σύμβαση σε εγκεκριμένο οργανισμό η εκπλήρωση του συνόλου ή μέρους αυτής της υποχρέωσης. </w:t>
      </w:r>
    </w:p>
    <w:p w14:paraId="0456039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2) Για τα απορρίμματα συσκευασίας που υπάγονται σε κεντρική διαχείριση, οι εγκεκριμένοι οργανισμοί παρέχουν, ο καθένας στον τομέα του, χρηματοδότηση για τη διαχείριση των αποβλήτων, συμπεριλαμβανομένων των εργασιών προετοιμασίας για επαναχρησιμοποίηση, από το σημείο συλλογής μέσω εθελοντικής απόθεσης.</w:t>
      </w:r>
    </w:p>
    <w:p w14:paraId="72D5467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Για τα απορρίμματα συσκευασίας που δεν υπάγονται σε κεντρική διαχείριση, οι λεπτομέρειες της χρηματοδοτικής παρέμβασης των εγκεκριμένων οργανισμών στη χωριστή συλλογή των απορριμμάτων αυτών καθορίζονται με κοινή συμφωνία μεταξύ των εν λόγω οργανισμών και των ενδιαφερόμενων δήμων. Όλα τα έξοδα διαχείρισης αποβλήτων, συμπεριλαμβανομένων των εργασιών προετοιμασίας για επαναχρησιμοποίηση, πρέπει να καλύπτονται από συνεισφορές των υπεύθυνων για συσκευασίες.</w:t>
      </w:r>
    </w:p>
    <w:p w14:paraId="7AFE5345"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t>3) Επιπλέον, ο εγκεκριμένος οργανισμός υποχρεούται:</w:t>
      </w:r>
    </w:p>
    <w:p w14:paraId="09CD75E1"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1° να υπολογίζει τις συνεισφορές των αναδόχων του προκειμένου να χρηματοδοτεί το σχετικό κόστος των υφιστάμενων και μελλοντικών συλλογών απορριμμάτων συσκευασιών, της διαλογής αποβλήτων από συλλεγμένες συσκευασίες, των εργασιών προετοιμασίας για επαναχρησιμοποίηση, της επεξεργασίας απορριμμάτων συσκευασίας, καθώς και το κόστος ενημέρωσης για τους κατόχους αποβλήτων και της διαβίβασης και συλλογής πληροφοριών. Το κόστος που λαμβάνεται υπόψη δεν μπορεί να υπερβαίνει το απαραίτητο κόστος για μια οικονομικά αποδοτική υπηρεσία.</w:t>
      </w:r>
    </w:p>
    <w:p w14:paraId="2A2FFD4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 xml:space="preserve">2° να συνάπτει σύμβαση με τους δήμους ή τις ενώσεις των δήμων που είναι υπεύθυνες για τη διαχείριση των δημοτικών οικιακών απορριμάτων, η οποία καθορίζει, μεταξύ άλλων, τους τεχνικούς όρους και τις διαδικασίες συλλογής των σχετικών απορριμμάτων συσκευασίας και την ανάληψη της διαχείρισης των απορριμμάτων συσκευασίας. </w:t>
      </w:r>
    </w:p>
    <w:p w14:paraId="0E152E2B" w14:textId="77777777" w:rsidR="000147DB" w:rsidRPr="00680045"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680045">
        <w:rPr>
          <w:color w:val="FF0000"/>
          <w:spacing w:val="-4"/>
          <w:sz w:val="24"/>
        </w:rPr>
        <w:t>Σε καμία περίπτωση η σύμβαση δεν μπορεί να θίγει τις αρμοδιότητες των δήμων ή των ενώσεων των δήμων που είναι υπεύθυνοι για τη διαχείριση των δημοτικών οικιακών αποβλήτων στον τομέα αυτό.</w:t>
      </w:r>
    </w:p>
    <w:p w14:paraId="5D98EE21" w14:textId="77777777" w:rsidR="000147DB" w:rsidRPr="00680045" w:rsidRDefault="000147DB" w:rsidP="000147DB">
      <w:pPr>
        <w:spacing w:beforeLines="100" w:before="240" w:after="240" w:line="240" w:lineRule="auto"/>
        <w:jc w:val="both"/>
        <w:rPr>
          <w:rFonts w:eastAsia="Calibri" w:cs="TimesNewRoman"/>
          <w:color w:val="FF0000"/>
          <w:spacing w:val="-4"/>
          <w:sz w:val="24"/>
          <w:szCs w:val="24"/>
        </w:rPr>
      </w:pPr>
      <w:r w:rsidRPr="00680045">
        <w:rPr>
          <w:color w:val="FF0000"/>
          <w:spacing w:val="-4"/>
          <w:sz w:val="24"/>
        </w:rPr>
        <w:t xml:space="preserve">3° να κοινοποιεί στον υπουργό, ετησίως και στο πλαίσιο της έκθεσης που εξετάζεται στο άρθρο 35, παράγραφος 2 του νόμου της 21ης Μαρτίου 2012, τις συμβάσεις που έχουν συναφθεί με δήμους ή ενώσεις δήμων που είναι υπεύθυνες για τη διαχείριση των δημοτικών οικιακών απορριμμάτων. </w:t>
      </w:r>
    </w:p>
    <w:p w14:paraId="4EF43EE8"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4) Η διαχείριση των απορριμμάτων συσκευασίας πρέπει να γίνεται σύμφωνα με την ιεράρχηση των αποβλήτων που ορίζεται στο άρθρο 9 του νόμου της 21ης Μαρτίου 2012. </w:t>
      </w:r>
    </w:p>
    <w:p w14:paraId="0B1E18BC" w14:textId="77777777" w:rsidR="000147DB" w:rsidRPr="003E7524" w:rsidRDefault="000147DB" w:rsidP="000147DB">
      <w:pPr>
        <w:spacing w:after="0" w:line="240" w:lineRule="auto"/>
        <w:jc w:val="both"/>
        <w:rPr>
          <w:rFonts w:eastAsia="Times New Roman" w:cs="Arial"/>
          <w:strike/>
          <w:color w:val="FF0000"/>
          <w:lang w:val="fr-LU" w:eastAsia="fr-FR"/>
        </w:rPr>
      </w:pPr>
    </w:p>
    <w:p w14:paraId="1CA79E98" w14:textId="77777777" w:rsidR="000147DB" w:rsidRPr="003E7524" w:rsidRDefault="000147DB" w:rsidP="000147DB">
      <w:pPr>
        <w:spacing w:after="0" w:line="240" w:lineRule="auto"/>
        <w:jc w:val="both"/>
        <w:rPr>
          <w:rFonts w:eastAsia="Times New Roman" w:cs="Arial"/>
          <w:strike/>
          <w:color w:val="FF0000"/>
          <w:lang w:val="fr-FR" w:eastAsia="fr-FR"/>
        </w:rPr>
      </w:pPr>
    </w:p>
    <w:p w14:paraId="657BECD5" w14:textId="77777777" w:rsidR="000147DB" w:rsidRPr="003E7524" w:rsidRDefault="000147DB" w:rsidP="000147DB">
      <w:pPr>
        <w:spacing w:after="0" w:line="240" w:lineRule="auto"/>
        <w:jc w:val="both"/>
        <w:rPr>
          <w:rFonts w:eastAsia="Times New Roman" w:cs="Arial"/>
          <w:strike/>
          <w:color w:val="FF0000"/>
          <w:lang w:val="fr-FR" w:eastAsia="fr-FR"/>
        </w:rPr>
      </w:pPr>
    </w:p>
    <w:p w14:paraId="5E398962" w14:textId="77777777" w:rsidR="000147DB" w:rsidRPr="003E7524" w:rsidRDefault="000147DB" w:rsidP="002F5A31">
      <w:pPr>
        <w:keepNext/>
        <w:keepLines/>
        <w:spacing w:after="0" w:line="240" w:lineRule="auto"/>
        <w:jc w:val="both"/>
        <w:rPr>
          <w:rFonts w:eastAsia="Times New Roman" w:cs="Arial"/>
        </w:rPr>
      </w:pPr>
      <w:r>
        <w:rPr>
          <w:b/>
        </w:rPr>
        <w:t>Άρθρο 9. Ουσιαστικές απαιτήσεις</w:t>
      </w:r>
    </w:p>
    <w:p w14:paraId="605864EB" w14:textId="77777777" w:rsidR="000147DB" w:rsidRPr="003E7524" w:rsidRDefault="000147DB" w:rsidP="000147DB">
      <w:pPr>
        <w:spacing w:after="0" w:line="240" w:lineRule="auto"/>
        <w:jc w:val="both"/>
        <w:rPr>
          <w:rFonts w:eastAsia="Times New Roman" w:cs="Arial"/>
        </w:rPr>
      </w:pPr>
      <w:r>
        <w:t>Μια συσκευασία μπορεί να διατεθεί στην αγορά του Λουξεμβούργου εφόσον πληροί όλες τις ουσιαστικές απαιτήσεις που προβλέπονται στο παράρτημα Ι.</w:t>
      </w:r>
    </w:p>
    <w:p w14:paraId="3A246FED" w14:textId="77777777" w:rsidR="000147DB" w:rsidRPr="003E7524" w:rsidRDefault="000147DB" w:rsidP="000147DB">
      <w:pPr>
        <w:spacing w:after="0" w:line="240" w:lineRule="auto"/>
        <w:jc w:val="both"/>
        <w:rPr>
          <w:rFonts w:eastAsia="Times New Roman" w:cs="Arial"/>
          <w:lang w:val="fr-FR" w:eastAsia="fr-FR"/>
        </w:rPr>
      </w:pPr>
    </w:p>
    <w:p w14:paraId="22E6A7CC" w14:textId="77777777" w:rsidR="000147DB" w:rsidRPr="003E7524" w:rsidRDefault="000147DB" w:rsidP="002F5A31">
      <w:pPr>
        <w:keepNext/>
        <w:keepLines/>
        <w:spacing w:after="0" w:line="240" w:lineRule="auto"/>
        <w:jc w:val="both"/>
        <w:rPr>
          <w:rFonts w:eastAsia="Times New Roman" w:cs="Arial"/>
          <w:b/>
          <w:bCs/>
          <w:iCs/>
        </w:rPr>
      </w:pPr>
      <w:r>
        <w:rPr>
          <w:b/>
        </w:rPr>
        <w:t>Άρθρο 10. Σύστημα αναγνώρισης</w:t>
      </w:r>
    </w:p>
    <w:p w14:paraId="05C008A4" w14:textId="77777777" w:rsidR="000147DB" w:rsidRPr="003E7524" w:rsidRDefault="000147DB" w:rsidP="002F5A31">
      <w:pPr>
        <w:keepNext/>
        <w:keepLines/>
        <w:spacing w:after="0" w:line="240" w:lineRule="auto"/>
        <w:jc w:val="both"/>
        <w:rPr>
          <w:rFonts w:eastAsia="Times New Roman" w:cs="Arial"/>
          <w:b/>
          <w:bCs/>
          <w:iCs/>
          <w:lang w:val="fr-FR" w:eastAsia="fr-FR"/>
        </w:rPr>
      </w:pPr>
    </w:p>
    <w:p w14:paraId="331832A7" w14:textId="77777777" w:rsidR="000147DB" w:rsidRPr="003E7524" w:rsidRDefault="000147DB" w:rsidP="002F5A31">
      <w:pPr>
        <w:keepNext/>
        <w:keepLines/>
        <w:spacing w:after="0" w:line="240" w:lineRule="auto"/>
        <w:jc w:val="both"/>
        <w:rPr>
          <w:rFonts w:eastAsia="Times New Roman" w:cs="Arial"/>
          <w:b/>
          <w:lang w:val="fr-FR" w:eastAsia="fr-FR"/>
        </w:rPr>
      </w:pPr>
    </w:p>
    <w:p w14:paraId="425BF78D" w14:textId="77777777" w:rsidR="000147DB" w:rsidRPr="003E7524" w:rsidRDefault="000147DB" w:rsidP="002F5A31">
      <w:pPr>
        <w:keepNext/>
        <w:keepLines/>
        <w:spacing w:after="0" w:line="240" w:lineRule="auto"/>
        <w:jc w:val="both"/>
        <w:rPr>
          <w:rFonts w:eastAsia="Times New Roman" w:cs="Arial"/>
          <w:lang w:val="fr-FR" w:eastAsia="fr-FR"/>
        </w:rPr>
      </w:pPr>
    </w:p>
    <w:p w14:paraId="5D34AF9E" w14:textId="38F1F05F" w:rsidR="000147DB" w:rsidRPr="00680045" w:rsidRDefault="000147DB" w:rsidP="000147DB">
      <w:pPr>
        <w:spacing w:beforeLines="100" w:before="240" w:after="240" w:line="240" w:lineRule="auto"/>
        <w:jc w:val="both"/>
        <w:rPr>
          <w:rFonts w:eastAsia="Calibri" w:cs="TimesNewRoman"/>
          <w:color w:val="FF0000"/>
          <w:spacing w:val="-4"/>
          <w:sz w:val="24"/>
          <w:szCs w:val="24"/>
        </w:rPr>
      </w:pPr>
      <w:r w:rsidRPr="00680045">
        <w:rPr>
          <w:color w:val="FF0000"/>
          <w:spacing w:val="-4"/>
          <w:sz w:val="24"/>
        </w:rPr>
        <w:t>1) Προς διευκόλυνση της συλλογής, της επαναχρησιμοποίησης, της προετοιμασίας για επαναχρησιμοποίηση και της ανάκτησης, συμπεριλαμβανομένης της ανακύκλωσης, στη συσκευασία πρέπει να αναφέρεται το είδος του ή των υλικών συσκευασίας που έχουν χρησιμοποιηθεί για λόγους αναγνώρισης και ταξινόμησης από τον ενδιαφερόμενο τομέα βάσει της απόφασης 97/129/ΕΚ της Επιτροπής της 28ης Ιανουαρίου 1997 για τον καθορισμό συστήματος αναγνώρισης των υλικών συσκευασίας σύμφωνα με την οδηγία 94/62/ΕΚ του Ευρωπαϊκού Κοινοβουλίου και του Συμβουλίου για τις συσκευασίες και τα απορρίμματα συσκευασιών. </w:t>
      </w:r>
    </w:p>
    <w:p w14:paraId="4942209B" w14:textId="77777777" w:rsidR="000147DB" w:rsidRPr="003E7524" w:rsidRDefault="000147DB" w:rsidP="000147DB">
      <w:pPr>
        <w:spacing w:after="0" w:line="240" w:lineRule="auto"/>
        <w:jc w:val="both"/>
        <w:rPr>
          <w:rFonts w:eastAsia="Times New Roman" w:cs="Arial"/>
          <w:lang w:val="fr-FR" w:eastAsia="fr-FR"/>
        </w:rPr>
      </w:pPr>
    </w:p>
    <w:p w14:paraId="08E9BCD8" w14:textId="77777777" w:rsidR="000147DB" w:rsidRPr="003E7524" w:rsidRDefault="000147DB" w:rsidP="000147DB">
      <w:pPr>
        <w:spacing w:after="0" w:line="240" w:lineRule="auto"/>
        <w:jc w:val="both"/>
        <w:rPr>
          <w:rFonts w:eastAsia="Times New Roman" w:cs="Arial"/>
        </w:rPr>
      </w:pPr>
      <w:r>
        <w:t>2) Εφόσον απαιτείται, οι συσκευασίες φέρουν την κατάλληλη σήμανση είτε επί της ίδιας της συσκευασίας είτε στην ετικέτα. Η σήμανση πρέπει να είναι σαφώς ευδιάκριτη και ευανάγνωστη. Η σήμανση πρέπει να είναι δεόντως ανθεκτική και μακρόβια, ακόμη και όταν ανοιχθεί η συσκευασία.</w:t>
      </w:r>
    </w:p>
    <w:p w14:paraId="09FE587A" w14:textId="77777777" w:rsidR="000147DB" w:rsidRPr="003E7524" w:rsidRDefault="000147DB" w:rsidP="000147DB">
      <w:pPr>
        <w:spacing w:after="0" w:line="240" w:lineRule="auto"/>
        <w:jc w:val="both"/>
        <w:rPr>
          <w:rFonts w:eastAsia="Times New Roman" w:cs="Arial"/>
          <w:lang w:val="fr-FR" w:eastAsia="fr-FR"/>
        </w:rPr>
      </w:pPr>
    </w:p>
    <w:p w14:paraId="7D950806" w14:textId="77777777" w:rsidR="000147DB" w:rsidRPr="003E7524" w:rsidRDefault="000147DB" w:rsidP="002F5A31">
      <w:pPr>
        <w:keepNext/>
        <w:keepLines/>
        <w:spacing w:after="0" w:line="240" w:lineRule="auto"/>
        <w:jc w:val="both"/>
        <w:rPr>
          <w:rFonts w:eastAsia="Times New Roman" w:cs="Arial"/>
          <w:b/>
          <w:color w:val="000000"/>
        </w:rPr>
      </w:pPr>
      <w:r>
        <w:rPr>
          <w:b/>
          <w:color w:val="000000"/>
        </w:rPr>
        <w:t>Άρθρο 11. Επίπεδα συγκέντρωσης βαρέων μετάλλων στις συσκευασίες</w:t>
      </w:r>
    </w:p>
    <w:p w14:paraId="5961C7DD" w14:textId="77777777" w:rsidR="000147DB" w:rsidRPr="003E7524" w:rsidRDefault="000147DB" w:rsidP="000147DB">
      <w:pPr>
        <w:spacing w:after="0" w:line="240" w:lineRule="auto"/>
        <w:jc w:val="both"/>
        <w:rPr>
          <w:rFonts w:eastAsia="Times New Roman" w:cs="Arial"/>
          <w:color w:val="000000"/>
        </w:rPr>
      </w:pPr>
      <w:r>
        <w:rPr>
          <w:color w:val="000000"/>
        </w:rPr>
        <w:t>1) Το άθροισμα των επιπέδων συγκέντρωσης μολύβδου, καδμίου, υδραργύρου και εξασθενούς χρωμίου στις συσκευασίες ή στα στοιχεία των συσκευασιών δεν πρέπει να υπερβαίνει τα 100 ppm κατά βάρος.</w:t>
      </w:r>
    </w:p>
    <w:p w14:paraId="173D4287" w14:textId="77777777" w:rsidR="000147DB" w:rsidRPr="003E7524" w:rsidRDefault="000147DB" w:rsidP="000147DB">
      <w:pPr>
        <w:spacing w:after="0" w:line="240" w:lineRule="auto"/>
        <w:jc w:val="both"/>
        <w:rPr>
          <w:rFonts w:eastAsia="Times New Roman" w:cs="Arial"/>
          <w:color w:val="000000"/>
        </w:rPr>
      </w:pPr>
      <w:r>
        <w:rPr>
          <w:color w:val="000000"/>
        </w:rPr>
        <w:t>2) Τα επίπεδα συγκέντρωσης που αναφέρονται στην παράγραφο 1 δεν ισχύουν για συσκευασίες κατασκευασμένες εξ ολοκλήρου από μολυβδύαλο (κρύσταλλο).</w:t>
      </w:r>
    </w:p>
    <w:p w14:paraId="242DF555" w14:textId="77777777" w:rsidR="000147DB" w:rsidRPr="003E7524" w:rsidRDefault="000147DB" w:rsidP="000147DB">
      <w:pPr>
        <w:spacing w:after="0" w:line="240" w:lineRule="auto"/>
        <w:jc w:val="both"/>
        <w:rPr>
          <w:rFonts w:eastAsia="Times New Roman" w:cs="Arial"/>
          <w:lang w:val="fr-FR" w:eastAsia="fr-FR"/>
        </w:rPr>
      </w:pPr>
    </w:p>
    <w:p w14:paraId="122991E0" w14:textId="77777777" w:rsidR="000147DB" w:rsidRPr="003E7524" w:rsidRDefault="000147DB" w:rsidP="002F5A31">
      <w:pPr>
        <w:keepNext/>
        <w:keepLines/>
        <w:spacing w:after="0" w:line="240" w:lineRule="auto"/>
        <w:jc w:val="both"/>
        <w:rPr>
          <w:rFonts w:eastAsia="Times New Roman" w:cs="Arial"/>
          <w:b/>
        </w:rPr>
      </w:pPr>
      <w:r>
        <w:rPr>
          <w:b/>
        </w:rPr>
        <w:t>Άρθρο 12. Συστήματα ενημέρωσης</w:t>
      </w:r>
    </w:p>
    <w:p w14:paraId="5FCE099A" w14:textId="77777777" w:rsidR="000147DB" w:rsidRPr="003E7524" w:rsidRDefault="000147DB" w:rsidP="000147DB">
      <w:pPr>
        <w:spacing w:after="0" w:line="240" w:lineRule="auto"/>
        <w:jc w:val="both"/>
        <w:rPr>
          <w:rFonts w:eastAsia="Times New Roman" w:cs="Arial"/>
        </w:rPr>
      </w:pPr>
      <w:r>
        <w:t>1) Η διαχείριση των βάσεων δεδομένων που αναφέρονται στο παράρτημα ΙΙΙ της οδηγίας 94/62/ΕΚ του Ευρωπαϊκού Κοινοβουλίου και του Συμβουλίου της 20ής Δεκεμβρίου 1994 για τις συσκευασίες και τα απορρίμματα συσκευασίας όπως τροποποιήθηκε με τις πράξεις της Ευρωπαϊκής Επιτροπής σύμφωνα με το άρθρο 19 της εν λόγω οδηγίας επιτελείται από τη Διοίκηση Περιβάλλοντος. Αυτές οι βάσεις δεδομένων παρέχουν πληροφορίες σχετικά με την έκταση, τα χαρακτηριστικά και την εξέλιξη των ροών συσκευασιών και απορριμμάτων συσκευασίας, συμπεριλαμβανομένων των πληροφοριών σχετικά με την τοξική ή επικίνδυνη φύση των υλικών συσκευασίας και των στοιχείων που χρησιμοποιούνται για την κατασκευή τους.</w:t>
      </w:r>
    </w:p>
    <w:p w14:paraId="7E5340DE" w14:textId="77777777" w:rsidR="000147DB" w:rsidRPr="003E7524" w:rsidRDefault="000147DB" w:rsidP="000147DB">
      <w:pPr>
        <w:spacing w:after="0" w:line="240" w:lineRule="auto"/>
        <w:jc w:val="both"/>
        <w:rPr>
          <w:rFonts w:eastAsia="Times New Roman" w:cs="Arial"/>
        </w:rPr>
      </w:pPr>
      <w:r>
        <w:t>2) Οι σχετικοί οικονομικοί παράγοντες πρέπει να παρέχουν στη Διοίκηση Περιβάλλοντος αξιόπιστα στοιχεία για τον τομέα τους τα οποία απαιτούνται βάσει του παρόντος άρθρου. Η Διοίκηση Περιβάλλοντος λαμβάνει υπόψη τα ειδικά προβλήματα που αντιμετωπίζουν οι μικρές και μεσαίες επιχειρήσεις κατά την παροχή λεπτομερών στοιχείων.</w:t>
      </w:r>
    </w:p>
    <w:p w14:paraId="5AEC8260" w14:textId="77777777" w:rsidR="000147DB" w:rsidRPr="003E7524" w:rsidRDefault="000147DB" w:rsidP="000147DB">
      <w:pPr>
        <w:spacing w:after="0" w:line="240" w:lineRule="auto"/>
        <w:jc w:val="both"/>
        <w:rPr>
          <w:rFonts w:eastAsia="Times New Roman" w:cs="Arial"/>
          <w:lang w:val="fr-FR" w:eastAsia="fr-FR"/>
        </w:rPr>
      </w:pPr>
    </w:p>
    <w:p w14:paraId="3E529549" w14:textId="77777777" w:rsidR="000147DB" w:rsidRPr="003E7524" w:rsidRDefault="000147DB" w:rsidP="000147DB">
      <w:pPr>
        <w:spacing w:after="0" w:line="240" w:lineRule="auto"/>
        <w:jc w:val="both"/>
        <w:rPr>
          <w:rFonts w:eastAsia="Times New Roman" w:cs="Arial"/>
          <w:lang w:val="fr-FR" w:eastAsia="fr-FR"/>
        </w:rPr>
      </w:pPr>
    </w:p>
    <w:p w14:paraId="0135E764" w14:textId="77777777" w:rsidR="000147DB" w:rsidRPr="003E7524" w:rsidRDefault="000147DB" w:rsidP="002F5A31">
      <w:pPr>
        <w:keepNext/>
        <w:keepLines/>
        <w:spacing w:after="0" w:line="240" w:lineRule="auto"/>
        <w:jc w:val="both"/>
        <w:rPr>
          <w:rFonts w:eastAsia="Times New Roman" w:cs="Arial"/>
        </w:rPr>
      </w:pPr>
      <w:r>
        <w:rPr>
          <w:b/>
        </w:rPr>
        <w:lastRenderedPageBreak/>
        <w:t>Άρθρο 14. Πληροφορίες για τους χρήστες συσκευασιών</w:t>
      </w:r>
    </w:p>
    <w:p w14:paraId="0BFAA0F4" w14:textId="77777777" w:rsidR="000147DB" w:rsidRPr="003E7524" w:rsidRDefault="000147DB" w:rsidP="000147DB">
      <w:pPr>
        <w:spacing w:after="0" w:line="240" w:lineRule="auto"/>
        <w:jc w:val="both"/>
        <w:rPr>
          <w:rFonts w:eastAsia="Times New Roman" w:cs="Arial"/>
        </w:rPr>
      </w:pPr>
      <w:r>
        <w:t>1) Οι υπεύθυνοι για συσκευασίες ή οι εγκεκριμένοι οργανισμοί πρέπει, ο καθένας στον τομέα του, να ενημερώνουν τους χρήστες συσκευασίας, συμπεριλαμβανομένων των καταναλωτών, σχετικά με:</w:t>
      </w:r>
    </w:p>
    <w:p w14:paraId="28FD57E8" w14:textId="77777777" w:rsidR="000147DB" w:rsidRPr="003E7524" w:rsidRDefault="000147DB" w:rsidP="000147DB">
      <w:pPr>
        <w:spacing w:after="0" w:line="240" w:lineRule="auto"/>
        <w:jc w:val="both"/>
        <w:rPr>
          <w:rFonts w:eastAsia="Times New Roman" w:cs="Arial"/>
        </w:rPr>
      </w:pPr>
      <w:r>
        <w:t>τις επιλογές για την πρόληψη της δημιουργίας απορριμμάτων συσκευασίας·</w:t>
      </w:r>
    </w:p>
    <w:p w14:paraId="1A222528" w14:textId="77777777" w:rsidR="000147DB" w:rsidRPr="003E7524" w:rsidRDefault="000147DB" w:rsidP="000147DB">
      <w:pPr>
        <w:spacing w:after="0" w:line="240" w:lineRule="auto"/>
        <w:jc w:val="both"/>
        <w:rPr>
          <w:rFonts w:eastAsia="Times New Roman" w:cs="Arial"/>
        </w:rPr>
      </w:pPr>
      <w:r>
        <w:t>τα συστήματα επιστροφής, συλλογής και ανάκτησης που έχουν στη διάθεσή τους και τη συμβολή τους στην επαναχρησιμοποίηση, ανάκτηση και ανακύκλωση συσκευασιών και απορριμμάτων συσκευασίας·</w:t>
      </w:r>
    </w:p>
    <w:p w14:paraId="2AF81E67" w14:textId="77777777" w:rsidR="000147DB" w:rsidRPr="003E7524" w:rsidRDefault="000147DB" w:rsidP="000147DB">
      <w:pPr>
        <w:spacing w:after="0" w:line="240" w:lineRule="auto"/>
        <w:jc w:val="both"/>
        <w:rPr>
          <w:rFonts w:eastAsia="Times New Roman" w:cs="Arial"/>
        </w:rPr>
      </w:pPr>
      <w:r>
        <w:t>τις αρνητικές περιβαλλοντικές επιπτώσεις της υπερβολικής κατανάλωσης πλαστικής σακούλας·</w:t>
      </w:r>
    </w:p>
    <w:p w14:paraId="0BB30D5B" w14:textId="77777777" w:rsidR="000147DB" w:rsidRPr="003E7524" w:rsidRDefault="000147DB" w:rsidP="000147DB">
      <w:pPr>
        <w:spacing w:after="0" w:line="240" w:lineRule="auto"/>
        <w:jc w:val="both"/>
        <w:rPr>
          <w:rFonts w:eastAsia="Times New Roman" w:cs="Arial"/>
        </w:rPr>
      </w:pPr>
      <w:r>
        <w:t>τα κατάλληλα στοιχεία των σχεδίων διαχείρισης συσκευασιών και απορριμμάτων συσκευασίας που είτε αποτελούν μέρος του εθνικού σχεδίου διαχείρισης αποβλήτων είτε αποτελούν αντικείμενο ειδικού σχεδίου κατ’ εφαρμογήν του νόμου της 21ης Μαρτίου 2012.</w:t>
      </w:r>
    </w:p>
    <w:p w14:paraId="6F14132A" w14:textId="77777777" w:rsidR="000147DB" w:rsidRPr="003E7524" w:rsidRDefault="000147DB" w:rsidP="000147DB">
      <w:pPr>
        <w:spacing w:after="0" w:line="240" w:lineRule="auto"/>
        <w:jc w:val="both"/>
        <w:rPr>
          <w:rFonts w:eastAsia="Times New Roman" w:cs="Arial"/>
          <w:color w:val="FF0000"/>
          <w:lang w:val="fr-FR" w:eastAsia="fr-FR"/>
        </w:rPr>
      </w:pPr>
    </w:p>
    <w:p w14:paraId="7030362B" w14:textId="51AC38F2" w:rsidR="000147DB" w:rsidRPr="003E7524" w:rsidRDefault="000147DB" w:rsidP="000147DB">
      <w:pPr>
        <w:spacing w:after="0" w:line="240" w:lineRule="auto"/>
        <w:jc w:val="both"/>
        <w:rPr>
          <w:rFonts w:eastAsia="Times New Roman" w:cs="Arial"/>
        </w:rPr>
      </w:pPr>
      <w:r>
        <w:t>2) Όσοι διαθέτουν προς πώληση συσκευασμένα προϊόντα εξασφαλίζουν ότι ο τελικός καταναλωτής ενημερώνεται δεόντως στα σημεία πώλησης, αντίστοιχα, σχετικά με την επαναχρησιμοποιήσιμη ή ανακτήσιμη φύση, συμπεριλαμβανομένης της δυνατότητας ανακύκλωσης, της συσκευασίας και το σύστημα επιστροφής, συμπεριλαμβανομένης της συλλογής συσκευασιών.</w:t>
      </w:r>
    </w:p>
    <w:p w14:paraId="049AF44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Η κατάλληλη σήμανση τοποθετείται είτε επί της ίδιας της συσκευασίας είτε στην ετικέτα. Πρέπει να είναι σαφώς ευδιάκριτη και ευανάγνωστη. Η σήμανση πρέπει να είναι δεόντως ανθεκτική και μακρόβια, ακόμη και όταν ανοιχθεί η συσκευασία. </w:t>
      </w:r>
    </w:p>
    <w:p w14:paraId="479912FE" w14:textId="77777777" w:rsidR="000147DB" w:rsidRPr="003E7524" w:rsidRDefault="000147DB" w:rsidP="000147DB">
      <w:pPr>
        <w:spacing w:after="0" w:line="240" w:lineRule="auto"/>
        <w:jc w:val="both"/>
        <w:rPr>
          <w:rFonts w:eastAsia="Times New Roman" w:cs="Arial"/>
          <w:lang w:val="fr-FR" w:eastAsia="fr-FR"/>
        </w:rPr>
      </w:pPr>
    </w:p>
    <w:p w14:paraId="567A68A6" w14:textId="77777777" w:rsidR="000147DB" w:rsidRPr="003E7524" w:rsidRDefault="000147DB" w:rsidP="000147DB">
      <w:pPr>
        <w:spacing w:after="0" w:line="240" w:lineRule="auto"/>
        <w:jc w:val="both"/>
        <w:rPr>
          <w:rFonts w:eastAsia="Times New Roman" w:cs="Arial"/>
        </w:rPr>
      </w:pPr>
      <w:r>
        <w:t>3) Τα μέτρα ενημέρωσης που εξετάζονται στις παραγράφους 1 και 2 συμπληρώνονται, εάν είναι απαραίτητο, από εκστρατείες ευαισθητοποίησης που διεξάγονται σε συνεργασία με τη Διοίκηση Περιβάλλοντος.</w:t>
      </w:r>
    </w:p>
    <w:p w14:paraId="310D81FF" w14:textId="77777777" w:rsidR="000147DB" w:rsidRPr="003E7524" w:rsidRDefault="000147DB" w:rsidP="000147DB">
      <w:pPr>
        <w:spacing w:after="0" w:line="240" w:lineRule="auto"/>
        <w:jc w:val="both"/>
        <w:rPr>
          <w:rFonts w:eastAsia="Times New Roman" w:cs="Arial"/>
          <w:lang w:val="fr-FR" w:eastAsia="fr-FR"/>
        </w:rPr>
      </w:pPr>
    </w:p>
    <w:p w14:paraId="6E40D75F" w14:textId="77777777" w:rsidR="000147DB" w:rsidRPr="003E7524" w:rsidRDefault="000147DB" w:rsidP="000147DB">
      <w:pPr>
        <w:spacing w:after="0" w:line="240" w:lineRule="auto"/>
        <w:jc w:val="both"/>
        <w:rPr>
          <w:rFonts w:eastAsia="Times New Roman" w:cs="Arial"/>
          <w:lang w:val="fr-FR" w:eastAsia="fr-FR"/>
        </w:rPr>
      </w:pPr>
    </w:p>
    <w:p w14:paraId="48933925" w14:textId="77777777" w:rsidR="000147DB" w:rsidRPr="003E7524" w:rsidRDefault="000147DB" w:rsidP="000147DB">
      <w:pPr>
        <w:spacing w:after="0" w:line="240" w:lineRule="auto"/>
        <w:jc w:val="both"/>
        <w:rPr>
          <w:rFonts w:eastAsia="Times New Roman" w:cs="Arial"/>
          <w:strike/>
          <w:color w:val="FF0000"/>
          <w:lang w:val="fr-FR" w:eastAsia="fr-FR"/>
        </w:rPr>
      </w:pPr>
    </w:p>
    <w:p w14:paraId="53040DFE"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rPr>
      </w:pPr>
      <w:r>
        <w:rPr>
          <w:color w:val="FF0000"/>
          <w:sz w:val="24"/>
          <w:u w:val="single"/>
        </w:rPr>
        <w:t>Άρθρο 15. Εκθέσεις</w:t>
      </w:r>
    </w:p>
    <w:p w14:paraId="5D99A309"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lang w:val="fr-FR" w:eastAsia="fr-BE"/>
        </w:rPr>
      </w:pPr>
    </w:p>
    <w:p w14:paraId="6A108156"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 xml:space="preserve">Κάθε υπεύθυνος για συσκευασίες που έχει διαθέσει λεπτές πλαστικές σακούλες μεταφοράς στην αγορά πρέπει να αναφέρει στον εγκεκριμένο φορέα στον οποίο έχει ενταχθεί την ετήσια ποσότητα που αφορά αυτές τις σακούλες. </w:t>
      </w:r>
    </w:p>
    <w:p w14:paraId="7B36C2F6" w14:textId="203BBF9C"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Ο εγκεκριμένος οργανισμός πρέπει να αναφέρει τις ποσότητες αυτές στην αρμόδια διοίκηση στο πλαίσιο της έκθεσης που αναφέρεται στο άρθρο 35 παράγραφος 2 του νόμου της 21ης Μαρτίου 2012. Εξαιρούνται οι πολύ λεπτές πλαστικές σακούλες μεταφοράς κατά την έννοια του άρθρου 3 σημείο 17. </w:t>
      </w:r>
    </w:p>
    <w:p w14:paraId="7EE24D00" w14:textId="77777777" w:rsidR="000147DB" w:rsidRPr="003E7524" w:rsidRDefault="000147DB" w:rsidP="000147DB">
      <w:pPr>
        <w:spacing w:after="0" w:line="240" w:lineRule="auto"/>
        <w:jc w:val="both"/>
        <w:rPr>
          <w:rFonts w:eastAsia="Times New Roman" w:cs="Arial"/>
          <w:strike/>
          <w:color w:val="FF0000"/>
          <w:lang w:val="fr-FR" w:eastAsia="fr-FR"/>
        </w:rPr>
      </w:pPr>
    </w:p>
    <w:p w14:paraId="4AB10018" w14:textId="77777777" w:rsidR="000147DB" w:rsidRPr="00471E09" w:rsidRDefault="000147DB" w:rsidP="00B972B3">
      <w:pPr>
        <w:keepNext/>
        <w:keepLines/>
        <w:spacing w:after="0" w:line="240" w:lineRule="auto"/>
        <w:jc w:val="both"/>
        <w:rPr>
          <w:rFonts w:eastAsia="Times New Roman" w:cs="Arial"/>
          <w:b/>
        </w:rPr>
      </w:pPr>
      <w:r>
        <w:rPr>
          <w:b/>
        </w:rPr>
        <w:t xml:space="preserve">Άρθρο 16. Έλεγχοι που πρέπει να πραγματοποιηθούν </w:t>
      </w:r>
    </w:p>
    <w:p w14:paraId="035D85BE" w14:textId="77777777" w:rsidR="000147DB" w:rsidRPr="003E7524" w:rsidRDefault="000147DB" w:rsidP="000147DB">
      <w:pPr>
        <w:spacing w:after="0" w:line="240" w:lineRule="auto"/>
        <w:jc w:val="both"/>
        <w:rPr>
          <w:rFonts w:eastAsia="Times New Roman" w:cs="Arial"/>
        </w:rPr>
      </w:pPr>
      <w:r>
        <w:t>1) Ο έλεγχος της ετήσιας έκθεσης γίνεται σύμφωνα με τις διατάξεις του άρθρου 35, παράγραφος 2 του νόμου της 21ης Μαρτίου 2012.</w:t>
      </w:r>
    </w:p>
    <w:p w14:paraId="35E08884" w14:textId="77777777" w:rsidR="000147DB" w:rsidRPr="003E7524" w:rsidRDefault="000147DB" w:rsidP="000147DB">
      <w:pPr>
        <w:spacing w:after="0" w:line="240" w:lineRule="auto"/>
        <w:jc w:val="both"/>
        <w:rPr>
          <w:rFonts w:eastAsia="Times New Roman" w:cs="Arial"/>
        </w:rPr>
      </w:pPr>
      <w:r>
        <w:t>Για τους σκοπούς του ελέγχου, οι υπεύθυνοι για συσκευασίες ή οι εγκεκριμένοι οργανισμοί υποχρεούνται να θέτουν στη διάθεση του εγκεκριμένου ελεγκτή όλα τα έγγραφα, λογιστικά και άλλα στοιχεία καθώς και τα στοιχεία υπολογισμού που αποτέλεσαν τη βάση αυτών των εκθέσεων.</w:t>
      </w:r>
    </w:p>
    <w:p w14:paraId="01E1F62A" w14:textId="77777777" w:rsidR="000147DB" w:rsidRPr="003E7524" w:rsidRDefault="000147DB" w:rsidP="000147DB">
      <w:pPr>
        <w:spacing w:after="0" w:line="240" w:lineRule="auto"/>
        <w:jc w:val="both"/>
        <w:rPr>
          <w:rFonts w:eastAsia="Times New Roman" w:cs="Arial"/>
        </w:rPr>
      </w:pPr>
      <w:r>
        <w:t>Οι αμοιβές για τον ελέγχο από τον εγκεκριμένο ελεγκτή της εταιρείας βαρύνουν τους υπεύθυνους για τις συσκευασίες ή τον ή τους εγκεκριμένους οργανισμούς.</w:t>
      </w:r>
    </w:p>
    <w:p w14:paraId="54AD644D" w14:textId="77777777" w:rsidR="000147DB" w:rsidRPr="003E7524" w:rsidRDefault="000147DB" w:rsidP="000147DB">
      <w:pPr>
        <w:spacing w:after="0" w:line="240" w:lineRule="auto"/>
        <w:jc w:val="both"/>
        <w:rPr>
          <w:rFonts w:eastAsia="Times New Roman" w:cs="Arial"/>
        </w:rPr>
      </w:pPr>
      <w:r>
        <w:t>2) Τα αποτελέσματα του ελέγχου που διενεργεί ο εγκεκριμένος ελεγκτής της εταιρείας πρέπει να διαβιβάζονται αμέσως από τον ελεγκτή στη Διοίκηση Περιβάλλοντος.</w:t>
      </w:r>
    </w:p>
    <w:p w14:paraId="1AEDBCE9" w14:textId="77777777" w:rsidR="000147DB" w:rsidRPr="003E7524" w:rsidRDefault="000147DB" w:rsidP="000147DB">
      <w:pPr>
        <w:spacing w:after="0" w:line="240" w:lineRule="auto"/>
        <w:jc w:val="both"/>
        <w:rPr>
          <w:rFonts w:eastAsia="Times New Roman" w:cs="Arial"/>
          <w:b/>
          <w:bCs/>
          <w:lang w:val="fr-FR" w:eastAsia="fr-FR"/>
        </w:rPr>
      </w:pPr>
    </w:p>
    <w:p w14:paraId="2D750672" w14:textId="5CE5F3A0"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u w:val="single"/>
        </w:rPr>
        <w:lastRenderedPageBreak/>
        <w:t>Άρθρο 17. Έρευνα και διαπίστωση αδικημάτων</w:t>
      </w:r>
    </w:p>
    <w:p w14:paraId="7D85080C"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73929CE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1) Εκτός από τα μέλη της Αστυνομίας του Μεγάλου Δουκάτου που υπάγονται στην αστυνομική αρχή, οι υπάλληλοι της Διοίκησης Τελωνείων και Ειδικών Φόρων Κατανάλωσης από το βαθμό του προϊσταμένου και οι υπάλληλοι και οι εργαζόμενοι των ομάδων επεξεργασίας Α1, Α2 και Β1 της Διοίκησης Περιβάλλοντος μπορούν να επιφορτιστούν με τον εντοπισμό των παραβάσεων του παρόντος νόμου και των κανονισμών που θεσπίζονται κατά την εφαρμογή του.</w:t>
      </w:r>
    </w:p>
    <w:p w14:paraId="5A9972ED"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Κατά την άσκηση των καθηκόντων τους, οι υπάλληλοι της Διοίκησης Τελωνείων και Ειδικών Φόρων Κατανάλωσης και οι υπάλληλοι της Διοίκησης Περιβάλλοντος ενεργούν ως αξιωματούχοι της δικαστικής αστυνομίας. Διαπιστώνουν τις παραβάσεις με τεκμήριο τα πρακτικά μέχρι να αποδειχθεί το αντίθετο.</w:t>
      </w:r>
    </w:p>
    <w:p w14:paraId="4BDACC6F"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2) Οι υπάλληλοι που αναφέρονται στην παράγραφο 1 πρέπει να έχουν λάβει ειδική επαγγελματική κατάρτιση για την έρευνα και τη διαπίστωση των αδικημάτων. Το πρόγραμμα και η διάρκεια της κατάρτισης, καθώς και οι μέθοδοι ελέγχου της γνώσης καθορίζονται από κανονισμό του Μεγάλου Δουκάτου.</w:t>
      </w:r>
    </w:p>
    <w:p w14:paraId="23E18C1A"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rPr>
        <w:t>Πριν από την ανάληψη των καθηκόντων τους, ορκίζονται ενώπιον του πρωτοδικείου του Λουξεμβούργου, το οποίο συνεδριάζει σε αστικές υποθέσεις, με τον ακόλουθο όρκο:</w:t>
      </w:r>
    </w:p>
    <w:p w14:paraId="1EC889C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«Ορκίζομαι να εκτελώ τα καθήκοντά μου με ακεραιότητα, ακρίβεια και αμεροληψία. »</w:t>
      </w:r>
    </w:p>
    <w:p w14:paraId="0E596F7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Ισχύει το άρθρο 458 του Ποινικού Κώδικα. </w:t>
      </w:r>
    </w:p>
    <w:p w14:paraId="181593C7" w14:textId="77777777" w:rsidR="000147DB" w:rsidRPr="003E7524" w:rsidRDefault="000147DB" w:rsidP="000147DB">
      <w:pPr>
        <w:spacing w:after="0" w:line="240" w:lineRule="auto"/>
        <w:jc w:val="both"/>
        <w:rPr>
          <w:rFonts w:eastAsia="Times New Roman" w:cs="Arial"/>
          <w:strike/>
          <w:color w:val="FF0000"/>
          <w:lang w:val="fr-FR" w:eastAsia="fr-FR"/>
        </w:rPr>
      </w:pPr>
    </w:p>
    <w:p w14:paraId="0ED2FC95" w14:textId="77777777" w:rsidR="000147DB" w:rsidRPr="003E7524" w:rsidRDefault="000147DB" w:rsidP="000147DB">
      <w:pPr>
        <w:spacing w:after="0" w:line="240" w:lineRule="auto"/>
        <w:jc w:val="both"/>
        <w:rPr>
          <w:rFonts w:eastAsia="Times New Roman" w:cs="Arial"/>
          <w:strike/>
          <w:color w:val="FF0000"/>
          <w:lang w:val="fr-FR" w:eastAsia="fr-FR"/>
        </w:rPr>
      </w:pPr>
    </w:p>
    <w:p w14:paraId="4F3097F3" w14:textId="77777777" w:rsidR="000147DB" w:rsidRPr="003E7524" w:rsidRDefault="000147DB" w:rsidP="00B972B3">
      <w:pPr>
        <w:keepNext/>
        <w:keepLines/>
        <w:rPr>
          <w:rFonts w:ascii="Calibri" w:eastAsia="Calibri" w:hAnsi="Calibri" w:cs="Times New Roman"/>
          <w:color w:val="FF0000"/>
          <w:sz w:val="24"/>
          <w:szCs w:val="24"/>
        </w:rPr>
      </w:pPr>
      <w:r>
        <w:rPr>
          <w:rFonts w:ascii="Calibri" w:hAnsi="Calibri"/>
          <w:color w:val="FF0000"/>
          <w:sz w:val="24"/>
          <w:u w:val="single"/>
        </w:rPr>
        <w:t>Άρθρο 18. Εξουσίες και εξουσίες ελέγχου</w:t>
      </w:r>
    </w:p>
    <w:p w14:paraId="16422B7B"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 xml:space="preserve">1) Τα πρόσωπα που αναφέρονται στο άρθρο 17 έχουν πρόσβαση, μέρα και νύχτα και χωρίς προηγούμενη κοινοποίηση, σε εγκαταστάσεις, χώρους, εκτάσεις, ειδικά διαρρυθμισμένους χώρους και μέσα μεταφοράς που υπόκεινται στον παρόντα νόμο και στους κανονισμούς που εκδίδονται για την εφαρμογή του. </w:t>
      </w:r>
    </w:p>
    <w:p w14:paraId="038ADE3C" w14:textId="4CBD0E56"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2) Οι διατάξεις της παραγράφου 1 δεν εφαρμόζονται στους χώρους που χρησιμοποιούνται για στέγαση.</w:t>
      </w:r>
    </w:p>
    <w:p w14:paraId="017C6164"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Ωστόσο, και με την επιφύλαξη του άρθρου 33 παράγραφος 1 του Κώδικα Ποινικής Δικονομίας, εάν υπάρχουν σοβαρές ενδείξεις ότι η προέλευση του αδικήματος βρίσκεται στους χώρους που προορίζονται για κατοικία, η κατ’ οίκον έρευνα μπορεί να πραγματοποιηθεί από τις έξι και μισή το πρωί έως τις δώδεκα (24:00) το βράδυ από αξιωματούχο της δικαστικής αστυνομίας, μέλος της αστυνομίας του Μεγάλου Δουκάτου ή υπάλληλο κατά την έννοια του άρθρου 45, ενεργώντας βάσει εντάλματος του ανακριτή.</w:t>
      </w:r>
    </w:p>
    <w:p w14:paraId="1BB0F8A5" w14:textId="77777777" w:rsidR="000147DB" w:rsidRPr="003E7524" w:rsidRDefault="000147DB" w:rsidP="00B972B3">
      <w:pPr>
        <w:keepNext/>
        <w:keepLines/>
        <w:jc w:val="both"/>
        <w:rPr>
          <w:rFonts w:ascii="Calibri" w:eastAsia="Calibri" w:hAnsi="Calibri" w:cs="Times New Roman"/>
          <w:color w:val="FF0000"/>
          <w:sz w:val="24"/>
          <w:szCs w:val="24"/>
        </w:rPr>
      </w:pPr>
      <w:r>
        <w:rPr>
          <w:rFonts w:ascii="Calibri" w:hAnsi="Calibri"/>
          <w:color w:val="FF0000"/>
          <w:sz w:val="24"/>
        </w:rPr>
        <w:t>3) Κατά την άσκηση των καθηκόντων που προβλέπονται στις παραγράφους 1 και 2, οι εντεταλμένοι υπάλληλοι εξουσιοδοτούνται:</w:t>
      </w:r>
    </w:p>
    <w:p w14:paraId="6F3F9813"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1° να λαμβάνουν κοινοποιήσεις σχετικά με όλες τις καταχωρίσεις και τα έγγραφα που αφορούν τις συσκευασίες και τα απορρίμματα συσκευασίας που καλύπτονται από τον παρόντα νόμο·</w:t>
      </w:r>
    </w:p>
    <w:p w14:paraId="75B9F6D7" w14:textId="5E96EE24" w:rsidR="000147DB" w:rsidRPr="00680045" w:rsidRDefault="000147DB" w:rsidP="000147DB">
      <w:pPr>
        <w:jc w:val="both"/>
        <w:rPr>
          <w:rFonts w:ascii="Calibri" w:eastAsia="Calibri" w:hAnsi="Calibri" w:cs="Times New Roman"/>
          <w:color w:val="FF0000"/>
          <w:spacing w:val="-4"/>
          <w:sz w:val="24"/>
          <w:szCs w:val="24"/>
        </w:rPr>
      </w:pPr>
      <w:r w:rsidRPr="00680045">
        <w:rPr>
          <w:rFonts w:ascii="Calibri" w:hAnsi="Calibri"/>
          <w:color w:val="FF0000"/>
          <w:spacing w:val="-4"/>
          <w:sz w:val="24"/>
        </w:rPr>
        <w:lastRenderedPageBreak/>
        <w:t>2° να συλλέγουν ή να ζητούν να συλλεχθούν, για τους σκοπούς της εξέτασης ή της ανάλυσης, δείγματα συσκευασιών και απορρίμματα συσκευασίας που προβλέπονται στον παρόντα νόμο. Μέρος του δείγματος, σφραγισμένο ή με επίθεση σφραγίδας, χορηγείται στον φορέα εκμετάλλευσης της εγκατάστασης, του χώρου ή του μέσου μεταφοράς ή στον κάτοχο για λογαριασμό του πρώτου, εκτός εάν ο πρώτος το αποποιηθεί ρητά ή εάν αντιτίθενται τεχνικοί λόγοι·</w:t>
      </w:r>
    </w:p>
    <w:p w14:paraId="7A3F87EB" w14:textId="3B7EC98F"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3) να προβαίνουν σε κατάσχεση και, ενδεχομένως, να σφραγίζουν τις συσκευασίες και τα απορρίμματα συσκευασίας που καλύπτονται από τον παρόντα νόμο, καθώς και τις καταχωρίσεις και τα σχετικά έγγραφα.</w:t>
      </w:r>
    </w:p>
    <w:p w14:paraId="724E3F46"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4) Κάθε πρόσωπο που υπόκειται στα μέτρα που προβλέπονται στην παράγραφο 3, καθώς και τα πρόσωπα που τα αντικαθιστούν υποχρεούνται, κατόπιν αιτήσεως των υπαλλήλων που είναι υπεύθυνοι για τα μέτρα αυτά, να διευκολύνουν τις εργασίες τις οποίες πραγματοποιούν οι εν λόγω υπάλληλοι.</w:t>
      </w:r>
    </w:p>
    <w:p w14:paraId="3EDE58D7"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Τα πρόσωπα που καλύπτονται από το ανωτέρω εδάφιο μπορούν να παρίστανται στις εργασίες αυτές.</w:t>
      </w:r>
    </w:p>
    <w:p w14:paraId="7303060C"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5) Καταρτίζονται πρακτικά των πορισμάτων και των εργασιών.</w:t>
      </w:r>
    </w:p>
    <w:p w14:paraId="560BE14F"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6) Οι δαπάνες που προκύπτουν από τα μέτρα που λαμβάνονται δυνάμει του παρόντος άρθρου περιλαμβάνονται στις δικαστικές δαπάνες που ακολουθούν. </w:t>
      </w:r>
    </w:p>
    <w:p w14:paraId="20CF83B8" w14:textId="77777777" w:rsidR="000147DB" w:rsidRPr="003E7524" w:rsidRDefault="000147DB" w:rsidP="000147DB">
      <w:pPr>
        <w:spacing w:after="0" w:line="240" w:lineRule="auto"/>
        <w:jc w:val="both"/>
        <w:rPr>
          <w:rFonts w:eastAsia="Times New Roman" w:cs="Arial"/>
          <w:strike/>
          <w:color w:val="FF0000"/>
          <w:lang w:val="fr-FR" w:eastAsia="fr-FR"/>
        </w:rPr>
      </w:pPr>
    </w:p>
    <w:p w14:paraId="53FCF286" w14:textId="77777777" w:rsidR="000147DB" w:rsidRPr="003E7524" w:rsidRDefault="000147DB" w:rsidP="000147DB">
      <w:pPr>
        <w:spacing w:after="0" w:line="240" w:lineRule="auto"/>
        <w:jc w:val="center"/>
        <w:rPr>
          <w:rFonts w:eastAsia="Calibri" w:cs="Arial"/>
          <w:lang w:val="fr-FR"/>
        </w:rPr>
      </w:pPr>
    </w:p>
    <w:p w14:paraId="29F0DFDD"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u w:val="single"/>
        </w:rPr>
        <w:t>Άρθρο 19. Ποινικές κυρώσεις</w:t>
      </w:r>
    </w:p>
    <w:p w14:paraId="18C8EB51"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6EF8479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Τιμωρούνται με φυλάκιση οκτώ ημερών έως 3 ετών και πρόστιμο 251 ευρώ έως 750 000 ευρώ ή με μία από αυτές τις κυρώσεις μόνο, οι παραβάσεις του άρθρου 6 παράγραφος 1, του άρθρου 7, παράγραφος 1, πρώτο εδάφιο και παράγραφος 3, άρθρο 8, παράγραφος 1, δεύτερο εδάφιο, άρθρο 8 παράγραφος 2, άρθρο 8 παράγραφος 4, άρθρο 9 και άρθρο 11, παράγραφος 1.</w:t>
      </w:r>
    </w:p>
    <w:p w14:paraId="45DF121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14:paraId="19C50898"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Οι ίδιες κυρώσεις επιβάλλονται σε περίπτωση παρεμπόδισης ή μη τήρησης των διοικητικών μέτρων που επιβάλλονται δυνάμει του άρθρου 21.</w:t>
      </w:r>
    </w:p>
    <w:p w14:paraId="36E770B5" w14:textId="77777777" w:rsidR="000147DB" w:rsidRPr="003E7524" w:rsidRDefault="000147DB" w:rsidP="000147DB">
      <w:pPr>
        <w:spacing w:after="0" w:line="240" w:lineRule="auto"/>
        <w:rPr>
          <w:rFonts w:eastAsia="Calibri" w:cs="Arial"/>
          <w:lang w:val="fr-LU"/>
        </w:rPr>
      </w:pPr>
    </w:p>
    <w:p w14:paraId="67DBA026" w14:textId="77777777" w:rsidR="000147DB" w:rsidRPr="003E7524" w:rsidRDefault="000147DB" w:rsidP="000147DB">
      <w:pPr>
        <w:spacing w:after="0" w:line="240" w:lineRule="auto"/>
        <w:jc w:val="both"/>
        <w:rPr>
          <w:rFonts w:eastAsia="Calibri" w:cs="Arial"/>
          <w:color w:val="FF0000"/>
          <w:lang w:val="fr-FR"/>
        </w:rPr>
      </w:pPr>
    </w:p>
    <w:p w14:paraId="6F9BCE2F" w14:textId="77777777" w:rsidR="000147DB" w:rsidRPr="003E7524" w:rsidRDefault="000147DB" w:rsidP="000147DB">
      <w:pPr>
        <w:spacing w:after="0" w:line="240" w:lineRule="auto"/>
        <w:jc w:val="both"/>
        <w:rPr>
          <w:rFonts w:eastAsia="Times New Roman" w:cs="Arial"/>
          <w:b/>
          <w:u w:val="single"/>
          <w:lang w:val="fr-FR" w:eastAsia="fr-FR"/>
        </w:rPr>
      </w:pPr>
    </w:p>
    <w:p w14:paraId="4741CEFE"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u w:val="single"/>
        </w:rPr>
        <w:t>Άρθρο 20. Διοικητικά πρόστιμα</w:t>
      </w:r>
    </w:p>
    <w:p w14:paraId="42AED218"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47BECB2B" w14:textId="77777777" w:rsidR="000147DB" w:rsidRPr="00680045" w:rsidRDefault="000147DB" w:rsidP="000147DB">
      <w:pPr>
        <w:autoSpaceDE w:val="0"/>
        <w:autoSpaceDN w:val="0"/>
        <w:adjustRightInd w:val="0"/>
        <w:spacing w:after="0"/>
        <w:jc w:val="both"/>
        <w:rPr>
          <w:rFonts w:cs="TimesNewRoman"/>
          <w:color w:val="FF0000"/>
          <w:spacing w:val="-4"/>
          <w:sz w:val="24"/>
          <w:szCs w:val="24"/>
        </w:rPr>
      </w:pPr>
      <w:r w:rsidRPr="00680045">
        <w:rPr>
          <w:color w:val="FF0000"/>
          <w:spacing w:val="-4"/>
          <w:sz w:val="24"/>
        </w:rPr>
        <w:t>Ο υπουργός μπορεί να επιβάλει διοικητικό πρόστιμο από 50 ευρώ έως 10 000 ευρώ σε περίπτωση παραβίασης του άρθρου 5 παράγραφοι 1 και 2, του άρθρου 7, παράγραφος 2, στοιχείο α), τρίτο εδάφιο, του άρθρου 8, παράγραφος 3, τρίτο εδάφιο, του άρθρου 12 παράγραφος 2, του άρθρο 14, παράγραφοι 1 και 2, του άρθρου 15 ή του άρθρου 16, παράγραφος 2.</w:t>
      </w:r>
    </w:p>
    <w:p w14:paraId="7D851266"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751FD4D4" w14:textId="1B51823B"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Τα πρόστιμα καταβάλλονται εντός δύο μηνών από την κοινοποίηση της γραπτής απόφασης.</w:t>
      </w:r>
    </w:p>
    <w:p w14:paraId="6134B9EE"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3ECDD579"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Τα διοικητικά πρόστιμα εισπράττονται από την Υπηρεσία Μητρώων, Ακίνητης Περιουσίας και ΦΠΑ. Η είσπραξη γίνεται όπως στην περίπτωση των τελών εγγραφής.</w:t>
      </w:r>
    </w:p>
    <w:p w14:paraId="79836004" w14:textId="77777777" w:rsidR="000147DB" w:rsidRPr="003E7524" w:rsidRDefault="000147DB" w:rsidP="000147DB">
      <w:pPr>
        <w:spacing w:after="0" w:line="240" w:lineRule="auto"/>
        <w:jc w:val="both"/>
        <w:rPr>
          <w:rFonts w:eastAsia="Times New Roman" w:cs="Arial"/>
          <w:b/>
          <w:color w:val="FF0000"/>
          <w:u w:val="single"/>
          <w:lang w:val="fr-LU" w:eastAsia="fr-FR"/>
        </w:rPr>
      </w:pPr>
    </w:p>
    <w:p w14:paraId="40076A38" w14:textId="77777777" w:rsidR="000147DB" w:rsidRPr="003E7524" w:rsidRDefault="000147DB" w:rsidP="000147DB">
      <w:pPr>
        <w:spacing w:after="0" w:line="240" w:lineRule="auto"/>
        <w:jc w:val="both"/>
        <w:rPr>
          <w:rFonts w:eastAsia="Times New Roman" w:cs="Arial"/>
          <w:b/>
          <w:u w:val="single"/>
          <w:lang w:val="fr-FR" w:eastAsia="fr-FR"/>
        </w:rPr>
      </w:pPr>
    </w:p>
    <w:p w14:paraId="7782CE6B" w14:textId="77777777" w:rsidR="000147DB" w:rsidRPr="003E7524" w:rsidRDefault="000147DB" w:rsidP="000147DB">
      <w:pPr>
        <w:spacing w:after="0" w:line="240" w:lineRule="auto"/>
        <w:jc w:val="both"/>
        <w:rPr>
          <w:rFonts w:eastAsia="Times New Roman" w:cs="Arial"/>
          <w:b/>
          <w:u w:val="single"/>
          <w:lang w:val="fr-FR" w:eastAsia="fr-FR"/>
        </w:rPr>
      </w:pPr>
    </w:p>
    <w:p w14:paraId="7035C42C" w14:textId="77777777" w:rsidR="000147DB" w:rsidRPr="003E7524" w:rsidRDefault="000147DB" w:rsidP="000147DB">
      <w:pPr>
        <w:spacing w:after="0" w:line="240" w:lineRule="auto"/>
        <w:jc w:val="both"/>
        <w:rPr>
          <w:rFonts w:eastAsia="Times New Roman" w:cs="Arial"/>
          <w:b/>
          <w:u w:val="single"/>
          <w:lang w:val="fr-FR" w:eastAsia="fr-FR"/>
        </w:rPr>
      </w:pPr>
    </w:p>
    <w:p w14:paraId="59B3BC00" w14:textId="77777777" w:rsidR="000147DB" w:rsidRPr="003E7524" w:rsidRDefault="000147DB" w:rsidP="00B972B3">
      <w:pPr>
        <w:keepNext/>
        <w:keepLines/>
        <w:spacing w:after="0" w:line="240" w:lineRule="auto"/>
        <w:jc w:val="both"/>
        <w:rPr>
          <w:rFonts w:eastAsia="Times New Roman" w:cs="Arial"/>
          <w:b/>
          <w:bCs/>
          <w:iCs/>
        </w:rPr>
      </w:pPr>
      <w:r>
        <w:rPr>
          <w:b/>
        </w:rPr>
        <w:t>Άρθρο 21. Διοικητικά μέτρα</w:t>
      </w:r>
    </w:p>
    <w:p w14:paraId="5F403B1E" w14:textId="77777777" w:rsidR="000147DB" w:rsidRPr="003E7524" w:rsidRDefault="000147DB" w:rsidP="00B972B3">
      <w:pPr>
        <w:keepNext/>
        <w:keepLines/>
        <w:spacing w:after="0" w:line="240" w:lineRule="auto"/>
        <w:jc w:val="both"/>
        <w:rPr>
          <w:rFonts w:eastAsia="Times New Roman" w:cs="Arial"/>
          <w:b/>
          <w:bCs/>
          <w:iCs/>
          <w:lang w:val="fr-FR" w:eastAsia="fr-FR"/>
        </w:rPr>
      </w:pPr>
    </w:p>
    <w:p w14:paraId="3E28D60D" w14:textId="20FDE3DB" w:rsidR="000147DB" w:rsidRPr="003E7524" w:rsidRDefault="000147DB" w:rsidP="00B972B3">
      <w:pPr>
        <w:keepNext/>
        <w:keepLines/>
        <w:spacing w:after="0" w:line="240" w:lineRule="auto"/>
        <w:jc w:val="both"/>
        <w:rPr>
          <w:rFonts w:eastAsia="Times New Roman" w:cs="Arial"/>
        </w:rPr>
      </w:pPr>
      <w:r>
        <w:t xml:space="preserve">1) Σε περίπτωση μη συμμόρφωσης με τις διατάξεις που προβλέπονται στο άρθρο 19 </w:t>
      </w:r>
      <w:r w:rsidRPr="003C254F">
        <w:rPr>
          <w:strike/>
          <w:color w:val="FF0000"/>
        </w:rPr>
        <w:t>παράγραφος 1</w:t>
      </w:r>
      <w:r>
        <w:t xml:space="preserve"> του παρόντος νόμου, ο υπουργός μπορεί:</w:t>
      </w:r>
    </w:p>
    <w:p w14:paraId="3FA876A2" w14:textId="77777777" w:rsidR="000147DB" w:rsidRPr="00680045" w:rsidRDefault="000147DB" w:rsidP="000147DB">
      <w:pPr>
        <w:spacing w:after="0" w:line="240" w:lineRule="auto"/>
        <w:jc w:val="both"/>
        <w:rPr>
          <w:rFonts w:eastAsia="Times New Roman" w:cs="Arial"/>
          <w:spacing w:val="-6"/>
        </w:rPr>
      </w:pPr>
      <w:r w:rsidRPr="00680045">
        <w:rPr>
          <w:spacing w:val="-6"/>
        </w:rPr>
        <w:t>να επιβάλλει στον υπεύθυνο για συσκευασίες, στον εγκεκριμένο οργανισμό ή σε άλλο ενδιαφερόμενο πρόσωπο προθεσμία για να συμμορφωθεί με τις διατάξεις αυτές, η οποία δεν μπορεί να υπερβαίνει τα δύο έτη·</w:t>
      </w:r>
    </w:p>
    <w:p w14:paraId="3CDBEA63" w14:textId="11412CF2" w:rsidR="000147DB" w:rsidRPr="003E7524" w:rsidRDefault="000147DB" w:rsidP="000147DB">
      <w:pPr>
        <w:autoSpaceDE w:val="0"/>
        <w:autoSpaceDN w:val="0"/>
        <w:adjustRightInd w:val="0"/>
        <w:spacing w:after="0" w:line="276" w:lineRule="auto"/>
        <w:jc w:val="both"/>
        <w:rPr>
          <w:rFonts w:cs="TimesNewRoman"/>
          <w:color w:val="FF0000"/>
          <w:sz w:val="24"/>
          <w:szCs w:val="24"/>
        </w:rPr>
      </w:pPr>
      <w:r>
        <w:rPr>
          <w:color w:val="FF0000"/>
          <w:sz w:val="24"/>
        </w:rPr>
        <w:t>2. να αναστείλει, εν όλω ή εν μέρει, τη δραστηριότητα του υπευθύνου για τις συσκευασίες ή του εγκεκριμένου οργανισμού, τη λειτουργία της εγκατάστασης ή να κλείσει την εγκατάσταση εν όλω ή εν μέρει και να σφραγίσει ή να απαγορεύσει τη διάθεση στην αγορά ή να επιβάλει την απόσυρση από την αγορά των συσκευασιών και των απορριμμάτων συσκευασίας που καλύπτονται από τον παρόντα νόμο. </w:t>
      </w:r>
    </w:p>
    <w:p w14:paraId="5BBBA105" w14:textId="77777777" w:rsidR="000147DB" w:rsidRPr="003E7524" w:rsidRDefault="000147DB" w:rsidP="000147DB">
      <w:pPr>
        <w:spacing w:after="0" w:line="240" w:lineRule="auto"/>
        <w:jc w:val="both"/>
        <w:rPr>
          <w:rFonts w:eastAsia="Times New Roman" w:cs="Arial"/>
          <w:lang w:val="fr-LU" w:eastAsia="fr-FR"/>
        </w:rPr>
      </w:pPr>
    </w:p>
    <w:p w14:paraId="481D1A7A" w14:textId="77777777" w:rsidR="000147DB" w:rsidRPr="003E7524" w:rsidRDefault="000147DB" w:rsidP="000147DB">
      <w:pPr>
        <w:spacing w:after="0" w:line="240" w:lineRule="auto"/>
        <w:jc w:val="both"/>
        <w:rPr>
          <w:rFonts w:eastAsia="Times New Roman" w:cs="Arial"/>
          <w:lang w:val="fr-FR" w:eastAsia="fr-FR"/>
        </w:rPr>
      </w:pPr>
    </w:p>
    <w:p w14:paraId="1F8D961C" w14:textId="77777777" w:rsidR="000147DB" w:rsidRPr="003E7524" w:rsidRDefault="000147DB" w:rsidP="000147DB">
      <w:pPr>
        <w:spacing w:after="0" w:line="240" w:lineRule="auto"/>
        <w:jc w:val="both"/>
        <w:rPr>
          <w:rFonts w:eastAsia="Times New Roman" w:cs="Arial"/>
        </w:rPr>
      </w:pPr>
      <w:r>
        <w:t>2) Κάθε ενδιαφερόμενο μέρος μπορεί να ζητήσει την εφαρμογή των μέτρων που προβλέπονται στην παράγραφο 1.</w:t>
      </w:r>
    </w:p>
    <w:p w14:paraId="15C47735" w14:textId="77777777" w:rsidR="000147DB" w:rsidRPr="003E7524" w:rsidRDefault="000147DB" w:rsidP="000147DB">
      <w:pPr>
        <w:spacing w:after="0" w:line="240" w:lineRule="auto"/>
        <w:jc w:val="both"/>
        <w:rPr>
          <w:rFonts w:eastAsia="Times New Roman" w:cs="Arial"/>
        </w:rPr>
      </w:pPr>
      <w:r>
        <w:t>3) Τα μέτρα που απαριθμούνται στην παράγραφο 1 αίρονται όταν ο υπεύθυνος για τις συσκευασίες, ο εγκεκριμένος οργανισμός ή άλλο ενδιαφερόμενο πρόσωπο έχουν συμμορφωθεί.</w:t>
      </w:r>
    </w:p>
    <w:p w14:paraId="2D1DE739" w14:textId="77777777" w:rsidR="000147DB" w:rsidRPr="003E7524" w:rsidRDefault="000147DB" w:rsidP="000147DB">
      <w:pPr>
        <w:spacing w:after="0" w:line="240" w:lineRule="auto"/>
        <w:jc w:val="both"/>
        <w:rPr>
          <w:rFonts w:eastAsia="Times New Roman" w:cs="Arial"/>
          <w:b/>
          <w:bCs/>
          <w:lang w:val="fr-FR" w:eastAsia="fr-FR"/>
        </w:rPr>
      </w:pPr>
    </w:p>
    <w:p w14:paraId="6F3C4DAC" w14:textId="77777777" w:rsidR="000147DB" w:rsidRPr="003E7524" w:rsidRDefault="000147DB" w:rsidP="00B972B3">
      <w:pPr>
        <w:keepNext/>
        <w:keepLines/>
        <w:spacing w:after="0" w:line="240" w:lineRule="auto"/>
        <w:jc w:val="both"/>
        <w:rPr>
          <w:rFonts w:eastAsia="Times New Roman" w:cs="Arial"/>
        </w:rPr>
      </w:pPr>
      <w:r>
        <w:rPr>
          <w:b/>
        </w:rPr>
        <w:t>Άρθρο 22. Ένδικα μέσα</w:t>
      </w:r>
    </w:p>
    <w:p w14:paraId="777CA2C3" w14:textId="77777777" w:rsidR="000147DB" w:rsidRPr="003E7524" w:rsidRDefault="000147DB" w:rsidP="000147DB">
      <w:pPr>
        <w:spacing w:after="0" w:line="240" w:lineRule="auto"/>
        <w:jc w:val="both"/>
        <w:rPr>
          <w:rFonts w:eastAsia="Times New Roman" w:cs="Arial"/>
        </w:rPr>
      </w:pPr>
      <w:r>
        <w:t>Κατά των αποφάσεων που λαμβάνονται δυνάμει του παρόντος νόμου, μπορεί να ασκηθεί προσφυγή επί της ουσίας ενώπιον του διοικητικού δικαστηρίου. Η προσφυγή αυτή πρέπει να ασκηθεί, επί ποινή παραγραφής, εντός σαράντα ημερών από την κοινοποίηση της απόφασης. Δυνατότητα προσφυγής παρέχεται επίσης σε ενώσεις και οργανώσεις που προβλέπονται στο άρθρο 23.</w:t>
      </w:r>
    </w:p>
    <w:p w14:paraId="037D069C" w14:textId="77777777" w:rsidR="000147DB" w:rsidRPr="003E7524" w:rsidRDefault="000147DB" w:rsidP="000147DB">
      <w:pPr>
        <w:spacing w:after="0" w:line="240" w:lineRule="auto"/>
        <w:jc w:val="both"/>
        <w:rPr>
          <w:rFonts w:eastAsia="Times New Roman" w:cs="Arial"/>
          <w:lang w:val="fr-FR" w:eastAsia="fr-FR"/>
        </w:rPr>
      </w:pPr>
    </w:p>
    <w:p w14:paraId="6E733435" w14:textId="77777777" w:rsidR="000147DB" w:rsidRPr="003E7524" w:rsidRDefault="000147DB" w:rsidP="00B972B3">
      <w:pPr>
        <w:keepNext/>
        <w:keepLines/>
        <w:spacing w:after="0" w:line="240" w:lineRule="auto"/>
        <w:jc w:val="both"/>
        <w:rPr>
          <w:rFonts w:eastAsia="Times New Roman" w:cs="Arial"/>
          <w:color w:val="000000"/>
        </w:rPr>
      </w:pPr>
      <w:r>
        <w:rPr>
          <w:b/>
          <w:color w:val="000000"/>
        </w:rPr>
        <w:t>Άρθρο 23. Δικαίωμα προσφυγής από εγκεκριμένες περιβαλλοντικές ενώσεις</w:t>
      </w:r>
    </w:p>
    <w:p w14:paraId="54A6D588" w14:textId="7234A958" w:rsidR="000147DB" w:rsidRPr="003E7524" w:rsidRDefault="000147DB" w:rsidP="000147DB">
      <w:pPr>
        <w:spacing w:after="0" w:line="240" w:lineRule="auto"/>
        <w:jc w:val="both"/>
        <w:rPr>
          <w:rFonts w:eastAsia="Times New Roman" w:cs="Arial"/>
          <w:color w:val="000000"/>
        </w:rPr>
      </w:pPr>
      <w:r>
        <w:rPr>
          <w:color w:val="000000"/>
        </w:rPr>
        <w:t>Οι ενώσεις και οι οργανώσεις που είναι εγκεκριμένες βάσει του νόμου της 21ης Μαρτίου 2012 μπορούν να ασκούν τα δικαιώματα που αναγνωρίζονται στον πολιτικό διάδικο σε σχέση με τα πραγματικά περιστατικά που συνιστούν αδίκημα κατά την έννοια του παρόντος νόμου και τα οποία μπορούν να βλάψουν άμεσα ή έμμεσα τα συλλογικά συμφέροντα που έχουν αναλάβει να υπερασπίζονται, ακόμη και αν δεν δικαιολογούν ουσιώδες συμφέρον και ακόμη και αν το συλλογικό συμφέρον για το οποίο ενεργούν καλύπτεται εξ ολοκλήρου από το κοινωνικό συμφέρον του οποίου η υπεράσπιση διασφαλίζεται από την εισαγγελική αρχή. Το ίδιο ισχύει και για τις ενώσεις και οργανώσεις αλλοδαπού δικαίου με νομική προσωπικότητα που ασκούν τις νόμιμες δραστηριότητές τους στον τομέα της προστασίας του περιβάλλοντος.</w:t>
      </w:r>
    </w:p>
    <w:p w14:paraId="1F5A9B0C" w14:textId="77777777" w:rsidR="000147DB" w:rsidRPr="003E7524" w:rsidRDefault="000147DB" w:rsidP="000147DB">
      <w:pPr>
        <w:spacing w:after="0" w:line="240" w:lineRule="auto"/>
        <w:jc w:val="both"/>
        <w:rPr>
          <w:rFonts w:eastAsia="Times New Roman" w:cs="Arial"/>
          <w:lang w:val="fr-FR" w:eastAsia="fr-FR"/>
        </w:rPr>
      </w:pPr>
    </w:p>
    <w:p w14:paraId="71FAF0A0" w14:textId="77777777" w:rsidR="000147DB" w:rsidRPr="003E7524" w:rsidRDefault="000147DB" w:rsidP="000147DB">
      <w:pPr>
        <w:spacing w:after="0" w:line="240" w:lineRule="auto"/>
        <w:jc w:val="both"/>
        <w:rPr>
          <w:rFonts w:eastAsia="Times New Roman" w:cs="Arial"/>
          <w:lang w:val="fr-FR" w:eastAsia="fr-FR"/>
        </w:rPr>
      </w:pPr>
    </w:p>
    <w:p w14:paraId="42EE1F17" w14:textId="77777777" w:rsidR="000147DB" w:rsidRPr="003E7524" w:rsidRDefault="00747C65" w:rsidP="00B972B3">
      <w:pPr>
        <w:keepNext/>
        <w:keepLines/>
        <w:autoSpaceDE w:val="0"/>
        <w:autoSpaceDN w:val="0"/>
        <w:adjustRightInd w:val="0"/>
        <w:spacing w:after="0" w:line="240" w:lineRule="auto"/>
        <w:jc w:val="both"/>
        <w:rPr>
          <w:rFonts w:cs="TimesNewRoman"/>
          <w:color w:val="FF0000"/>
          <w:sz w:val="24"/>
          <w:szCs w:val="24"/>
          <w:u w:val="single"/>
        </w:rPr>
      </w:pPr>
      <w:r>
        <w:rPr>
          <w:color w:val="FF0000"/>
          <w:sz w:val="24"/>
          <w:u w:val="single"/>
        </w:rPr>
        <w:lastRenderedPageBreak/>
        <w:t>Άρθρο 24. Παραρτήματα </w:t>
      </w:r>
    </w:p>
    <w:p w14:paraId="442B7DA9" w14:textId="77777777" w:rsidR="000147DB" w:rsidRPr="003E7524" w:rsidRDefault="000147DB" w:rsidP="00B972B3">
      <w:pPr>
        <w:keepNext/>
        <w:keepLines/>
        <w:autoSpaceDE w:val="0"/>
        <w:autoSpaceDN w:val="0"/>
        <w:adjustRightInd w:val="0"/>
        <w:spacing w:after="0" w:line="240" w:lineRule="auto"/>
        <w:jc w:val="both"/>
        <w:rPr>
          <w:rFonts w:cs="TimesNewRoman"/>
          <w:color w:val="FF0000"/>
          <w:sz w:val="24"/>
          <w:szCs w:val="24"/>
          <w:u w:val="single"/>
          <w:lang w:val="fr-LU" w:eastAsia="fr-BE"/>
        </w:rPr>
      </w:pPr>
    </w:p>
    <w:p w14:paraId="5380A119" w14:textId="5396EE1C" w:rsidR="000147DB" w:rsidRPr="003E7524" w:rsidRDefault="000147DB" w:rsidP="000147DB">
      <w:pPr>
        <w:autoSpaceDE w:val="0"/>
        <w:autoSpaceDN w:val="0"/>
        <w:adjustRightInd w:val="0"/>
        <w:spacing w:after="0" w:line="240" w:lineRule="auto"/>
        <w:jc w:val="both"/>
        <w:rPr>
          <w:rFonts w:cs="TimesNewRoman"/>
          <w:b/>
          <w:color w:val="FF0000"/>
          <w:sz w:val="24"/>
          <w:szCs w:val="24"/>
        </w:rPr>
      </w:pPr>
      <w:r>
        <w:rPr>
          <w:b/>
          <w:color w:val="FF0000"/>
          <w:sz w:val="24"/>
        </w:rPr>
        <w:t>Άρθρο 24. Τροποποιήσεις του παραρτήματος Ι της οδηγίας 94/62/ΕΚ του Ευρωπαϊκού Κοινοβουλίου και του Συμβουλίου της 20ής Δεκεμβρίου 1994 για τις συσκευασίες και τα απορρίμματα συσκευασίας όπως τροποποιήθηκε με τις κατ’ εξουσιοδότηση πράξεις της Ευρωπαϊκής Επιτροπής σύμφωνα με το άρθρο 19 παράγραφος 2, το άρθρο 21α, της εν λόγω οδηγίας.</w:t>
      </w:r>
    </w:p>
    <w:p w14:paraId="08B11AB8" w14:textId="77777777" w:rsidR="000147DB" w:rsidRPr="003E7524" w:rsidRDefault="000147DB" w:rsidP="000147DB">
      <w:pPr>
        <w:autoSpaceDE w:val="0"/>
        <w:autoSpaceDN w:val="0"/>
        <w:adjustRightInd w:val="0"/>
        <w:spacing w:after="0" w:line="240" w:lineRule="auto"/>
        <w:jc w:val="both"/>
        <w:rPr>
          <w:rFonts w:cs="TimesNewRoman"/>
          <w:b/>
          <w:color w:val="FF0000"/>
          <w:sz w:val="24"/>
          <w:szCs w:val="24"/>
          <w:lang w:val="fr-LU" w:eastAsia="fr-BE"/>
        </w:rPr>
      </w:pPr>
    </w:p>
    <w:p w14:paraId="0D5AC822" w14:textId="77777777" w:rsidR="000147DB" w:rsidRPr="00680045" w:rsidRDefault="000147DB" w:rsidP="000147DB">
      <w:pPr>
        <w:autoSpaceDE w:val="0"/>
        <w:autoSpaceDN w:val="0"/>
        <w:adjustRightInd w:val="0"/>
        <w:spacing w:after="0" w:line="240" w:lineRule="auto"/>
        <w:jc w:val="both"/>
        <w:rPr>
          <w:rFonts w:cs="TimesNewRoman"/>
          <w:color w:val="FF0000"/>
          <w:spacing w:val="-4"/>
          <w:sz w:val="24"/>
          <w:szCs w:val="24"/>
        </w:rPr>
      </w:pPr>
      <w:r w:rsidRPr="00680045">
        <w:rPr>
          <w:color w:val="FF0000"/>
          <w:spacing w:val="-4"/>
          <w:sz w:val="24"/>
        </w:rPr>
        <w:t>Οι τροποποιήσεις του παραρτήματος της οδηγίας 94/62/ΕΚ του Ευρωπαϊκού Κοινοβουλίου και του Συμβουλίου της 20ής Δεκεμβρίου 1994 για τις συσκευασίες και τα απορρίμματα συσκευασίας όπως τροποποιήθηκε με τις κατ’ εξουσιοδότηση πράξεις της Ευρωπαϊκής Επιτροπής σύμφωνα με το άρθρο 19 παράγραφος 2 και το άρθρο 21α της εν λόγω οδηγίας εφαρμόζονται από την ημερομηνία έναρξης ισχύος των συναφών πράξεων της Ευρωπαϊκής Επιτροπής.</w:t>
      </w:r>
    </w:p>
    <w:p w14:paraId="6EBC782C"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rPr>
        <w:t xml:space="preserve">Ο υπουργός δημοσιεύει γνωστοποίηση στην Επίσημη Εφημερίδα του Μεγάλου Δουκάτου του Λουξεμβούργου, παρέχοντας πληροφορίες για τις εν λόγω τροποποιήσεις, προσθέτοντας παραπομπή της πράξης που δημοσιεύθηκε στην Επίσημη Εφημερίδα της Ευρωπαϊκής Ένωσης. </w:t>
      </w:r>
    </w:p>
    <w:p w14:paraId="4F5B1630" w14:textId="77777777" w:rsidR="000147DB" w:rsidRPr="003E7524" w:rsidRDefault="000147DB" w:rsidP="000147DB">
      <w:pPr>
        <w:autoSpaceDE w:val="0"/>
        <w:autoSpaceDN w:val="0"/>
        <w:adjustRightInd w:val="0"/>
        <w:spacing w:after="0" w:line="240" w:lineRule="auto"/>
        <w:jc w:val="both"/>
        <w:rPr>
          <w:rFonts w:cs="TimesNewRoman"/>
          <w:sz w:val="24"/>
          <w:szCs w:val="24"/>
          <w:lang w:val="fr-LU" w:eastAsia="fr-BE"/>
        </w:rPr>
      </w:pPr>
    </w:p>
    <w:p w14:paraId="746EFFFC" w14:textId="77777777" w:rsidR="000147DB" w:rsidRPr="003E7524" w:rsidRDefault="000147DB" w:rsidP="000147DB">
      <w:pPr>
        <w:spacing w:after="0" w:line="240" w:lineRule="auto"/>
        <w:jc w:val="both"/>
        <w:rPr>
          <w:rFonts w:ascii="Times New Roman" w:eastAsia="Times New Roman" w:hAnsi="Times New Roman" w:cs="Times New Roman"/>
          <w:sz w:val="24"/>
          <w:szCs w:val="24"/>
          <w:lang w:val="fr-FR" w:eastAsia="fr-FR"/>
        </w:rPr>
      </w:pPr>
    </w:p>
    <w:p w14:paraId="615F4A80" w14:textId="6951941F" w:rsidR="000147DB" w:rsidRPr="003E7524" w:rsidRDefault="000147DB" w:rsidP="000147DB">
      <w:pPr>
        <w:spacing w:after="200" w:line="276" w:lineRule="auto"/>
        <w:rPr>
          <w:rFonts w:eastAsia="Times New Roman" w:cs="Arial"/>
          <w:b/>
          <w:color w:val="000000"/>
          <w:lang w:val="fr-FR" w:eastAsia="fr-FR"/>
        </w:rPr>
      </w:pPr>
    </w:p>
    <w:p w14:paraId="1FB9F654" w14:textId="77777777" w:rsidR="000147DB" w:rsidRPr="003E7524" w:rsidRDefault="000147DB" w:rsidP="00B972B3">
      <w:pPr>
        <w:keepNext/>
        <w:keepLines/>
        <w:pageBreakBefore/>
        <w:spacing w:after="0" w:line="240" w:lineRule="auto"/>
        <w:jc w:val="center"/>
        <w:rPr>
          <w:rFonts w:eastAsia="Times New Roman" w:cs="Arial"/>
          <w:b/>
          <w:color w:val="000000"/>
        </w:rPr>
      </w:pPr>
      <w:r>
        <w:rPr>
          <w:b/>
          <w:color w:val="000000"/>
        </w:rPr>
        <w:lastRenderedPageBreak/>
        <w:t>ΠΑΡΑΡΤΗΜΑ Ι</w:t>
      </w:r>
    </w:p>
    <w:p w14:paraId="3C2BC896" w14:textId="77777777" w:rsidR="000147DB" w:rsidRPr="003E7524" w:rsidRDefault="000147DB" w:rsidP="00B972B3">
      <w:pPr>
        <w:keepNext/>
        <w:keepLines/>
        <w:spacing w:after="0" w:line="240" w:lineRule="auto"/>
        <w:jc w:val="center"/>
        <w:rPr>
          <w:rFonts w:eastAsia="Times New Roman" w:cs="Arial"/>
          <w:b/>
          <w:bCs/>
          <w:color w:val="000000"/>
        </w:rPr>
      </w:pPr>
      <w:r>
        <w:rPr>
          <w:b/>
          <w:color w:val="000000"/>
        </w:rPr>
        <w:t>Βασικές απαιτήσεις σε σχέση με τη σύνθεση και την επαναχρησιμοποιήσιμη και ανακτήσιμη (συμπεριλαμβανομένης της ανακυκλώσιμης) φύση των συσκευασιών</w:t>
      </w:r>
    </w:p>
    <w:p w14:paraId="76BAF4AF" w14:textId="77777777" w:rsidR="000147DB" w:rsidRPr="003E7524" w:rsidRDefault="000147DB" w:rsidP="00B972B3">
      <w:pPr>
        <w:keepNext/>
        <w:keepLines/>
        <w:spacing w:after="0" w:line="240" w:lineRule="auto"/>
        <w:jc w:val="center"/>
        <w:rPr>
          <w:rFonts w:eastAsia="Times New Roman" w:cs="Arial"/>
          <w:color w:val="000000"/>
          <w:lang w:val="fr-FR" w:eastAsia="fr-FR"/>
        </w:rPr>
      </w:pPr>
    </w:p>
    <w:p w14:paraId="7D49E7BD" w14:textId="77777777" w:rsidR="000147DB" w:rsidRPr="003E7524" w:rsidRDefault="000147DB" w:rsidP="00B972B3">
      <w:pPr>
        <w:keepNext/>
        <w:keepLines/>
        <w:spacing w:after="0" w:line="240" w:lineRule="auto"/>
        <w:jc w:val="center"/>
        <w:rPr>
          <w:rFonts w:eastAsia="Times New Roman" w:cs="Arial"/>
        </w:rPr>
      </w:pPr>
      <w:r>
        <w:rPr>
          <w:b/>
        </w:rPr>
        <w:t>1) Απαιτήσεις σε σχέση με την κατασκευή και τη σύνθεση των συσκευασιών</w:t>
      </w:r>
    </w:p>
    <w:p w14:paraId="174C3BC4" w14:textId="77777777" w:rsidR="000147DB" w:rsidRPr="003E7524" w:rsidRDefault="000147DB" w:rsidP="000147DB">
      <w:pPr>
        <w:spacing w:after="0" w:line="240" w:lineRule="auto"/>
        <w:jc w:val="both"/>
        <w:rPr>
          <w:rFonts w:eastAsia="Times New Roman" w:cs="Arial"/>
          <w:color w:val="000000"/>
        </w:rPr>
      </w:pPr>
      <w:r>
        <w:rPr>
          <w:color w:val="000000"/>
        </w:rPr>
        <w:t>α) Οι συσκευασίες πρέπει να κατασκευάζονται κατά τρόπο ώστε ο όγκος και το βάρος των συσκευασιών να περιορίζεται στο ελάχιστο όριο που επαρκεί ώστε να διατηρείται το αναγκαίο επίπεδο ασφάλειας, υγιεινής και αποδοχής για το συσκευασμένο προϊόν και για τον καταναλωτή.</w:t>
      </w:r>
    </w:p>
    <w:p w14:paraId="629D9CA7" w14:textId="17BC5018"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β) Οι συσκευασίες πρέπει να σχεδιάζονται, να κατασκευάζονται και να διατίθενται στο εμπόριο κατά τρόπο που να επιτρέπει την επαναχρησιμοποίηση ή την ανάκτησή τους, συμπεριλαμβανομένης της ανακύκλωσής τους, και να περιορίζει στο ελάχιστο τις επιπτώσεις τους στο περιβάλλον, όταν γίνεται διάθεση των απορριμμάτων συσκευασίας ή των καταλοίπων από εργασίες διαχείρισης απορριμμάτων συσκευασίας. </w:t>
      </w:r>
    </w:p>
    <w:p w14:paraId="538F9353" w14:textId="77777777" w:rsidR="000147DB" w:rsidRPr="003E7524" w:rsidRDefault="000147DB" w:rsidP="000147DB">
      <w:pPr>
        <w:spacing w:after="0" w:line="240" w:lineRule="auto"/>
        <w:jc w:val="both"/>
        <w:rPr>
          <w:rFonts w:eastAsia="Times New Roman" w:cs="Arial"/>
          <w:strike/>
          <w:color w:val="FF0000"/>
          <w:lang w:val="fr-LU" w:eastAsia="fr-FR"/>
        </w:rPr>
      </w:pPr>
    </w:p>
    <w:p w14:paraId="4613BD21" w14:textId="77777777" w:rsidR="000147DB" w:rsidRPr="003E7524" w:rsidRDefault="000147DB" w:rsidP="000147DB">
      <w:pPr>
        <w:spacing w:after="0" w:line="240" w:lineRule="auto"/>
        <w:jc w:val="both"/>
        <w:rPr>
          <w:rFonts w:eastAsia="Times New Roman" w:cs="Arial"/>
          <w:strike/>
          <w:color w:val="FF0000"/>
          <w:lang w:val="fr-FR" w:eastAsia="fr-FR"/>
        </w:rPr>
      </w:pPr>
    </w:p>
    <w:p w14:paraId="7E4B7CFE" w14:textId="77777777" w:rsidR="000147DB" w:rsidRPr="003E7524" w:rsidRDefault="000147DB" w:rsidP="000147DB">
      <w:pPr>
        <w:spacing w:after="0" w:line="240" w:lineRule="auto"/>
        <w:jc w:val="both"/>
        <w:rPr>
          <w:rFonts w:eastAsia="Times New Roman" w:cs="Arial"/>
          <w:color w:val="000000"/>
        </w:rPr>
      </w:pPr>
      <w:r>
        <w:rPr>
          <w:color w:val="000000"/>
        </w:rPr>
        <w:t>γ) Οι συσκευασίες πρέπει να κατασκευάζονται κατά τρόπο ώστε η παρουσία επιβλαβών και άλλων επικίνδυνων ουσιών και υλικών ως συστατικών του υλικού συσκευασίας ή οποιουδήποτε στοιχείου της συσκευασίας να ελαχιστοποιείται όσον αφορά την παρουσία τους σε εκπομπές, την τέφρα ή το απόπλυμα όταν γίνεται καύση ή υγειονομική ταφή των συσκευασιών ή των καταλοίπων από διαδικασίες διαχείρισης των απορριμμάτων συσκευασίας.</w:t>
      </w:r>
    </w:p>
    <w:p w14:paraId="31070C98" w14:textId="77777777" w:rsidR="000147DB" w:rsidRPr="003E7524" w:rsidRDefault="000147DB" w:rsidP="000147DB">
      <w:pPr>
        <w:spacing w:after="0" w:line="240" w:lineRule="auto"/>
        <w:rPr>
          <w:rFonts w:eastAsia="Times New Roman" w:cs="Arial"/>
          <w:color w:val="000000"/>
          <w:lang w:val="fr-FR" w:eastAsia="fr-FR"/>
        </w:rPr>
      </w:pPr>
    </w:p>
    <w:p w14:paraId="767AE17B" w14:textId="77777777" w:rsidR="000147DB" w:rsidRPr="003E7524" w:rsidRDefault="000147DB" w:rsidP="00B972B3">
      <w:pPr>
        <w:keepNext/>
        <w:keepLines/>
        <w:spacing w:after="0" w:line="240" w:lineRule="auto"/>
        <w:jc w:val="center"/>
        <w:rPr>
          <w:rFonts w:eastAsia="Times New Roman" w:cs="Arial"/>
          <w:color w:val="000000"/>
        </w:rPr>
      </w:pPr>
      <w:r>
        <w:rPr>
          <w:b/>
          <w:color w:val="000000"/>
        </w:rPr>
        <w:t>2) Ειδικές απαιτήσεις που αφορούν την επαναχρησιμοποιήσιμη φύση συσκευασιών</w:t>
      </w:r>
    </w:p>
    <w:p w14:paraId="632929B6" w14:textId="77777777" w:rsidR="000147DB" w:rsidRPr="003E7524" w:rsidRDefault="000147DB" w:rsidP="00B972B3">
      <w:pPr>
        <w:keepNext/>
        <w:keepLines/>
        <w:spacing w:after="0" w:line="240" w:lineRule="auto"/>
        <w:jc w:val="both"/>
        <w:rPr>
          <w:rFonts w:eastAsia="Times New Roman" w:cs="Arial"/>
          <w:color w:val="000000"/>
        </w:rPr>
      </w:pPr>
      <w:r>
        <w:rPr>
          <w:color w:val="000000"/>
        </w:rPr>
        <w:t>Οι ακόλουθες απαιτήσεις πρέπει να πληρούνται ταυτοχρόνως:</w:t>
      </w:r>
    </w:p>
    <w:p w14:paraId="3D32190A" w14:textId="77777777" w:rsidR="000147DB" w:rsidRPr="003E7524" w:rsidRDefault="000147DB" w:rsidP="000147DB">
      <w:pPr>
        <w:spacing w:after="0" w:line="240" w:lineRule="auto"/>
        <w:jc w:val="both"/>
        <w:rPr>
          <w:rFonts w:eastAsia="Times New Roman" w:cs="Arial"/>
          <w:color w:val="000000"/>
        </w:rPr>
      </w:pPr>
      <w:r>
        <w:rPr>
          <w:color w:val="000000"/>
        </w:rPr>
        <w:t>α) οι φυσικές ιδιότητες και χαρακτηριστικά της συσκευασίας πρέπει να επιτρέπουν έναν ορισμένο αριθμό διακινήσεων ή επαναλαμβανόμενης χρήσης υπό κανονικά προβλέψιμες συνθήκες χρήσης,</w:t>
      </w:r>
    </w:p>
    <w:p w14:paraId="45F75A04" w14:textId="77777777" w:rsidR="000147DB" w:rsidRPr="003E7524" w:rsidRDefault="000147DB" w:rsidP="000147DB">
      <w:pPr>
        <w:spacing w:after="0" w:line="240" w:lineRule="auto"/>
        <w:jc w:val="both"/>
        <w:rPr>
          <w:rFonts w:eastAsia="Times New Roman" w:cs="Arial"/>
          <w:color w:val="000000"/>
        </w:rPr>
      </w:pPr>
      <w:r>
        <w:rPr>
          <w:color w:val="000000"/>
        </w:rPr>
        <w:t>β) δυνατότητα κατεργασίας της χρησιμοποιημένης συσκευασίας, ούτως ώστε να πληρούνται οι απαιτήσεις υγείας και ασφάλειας για τους εργαζόμενους,</w:t>
      </w:r>
    </w:p>
    <w:p w14:paraId="3D452CEF" w14:textId="77777777" w:rsidR="000147DB" w:rsidRPr="003E7524" w:rsidRDefault="000147DB" w:rsidP="000147DB">
      <w:pPr>
        <w:spacing w:after="0" w:line="240" w:lineRule="auto"/>
        <w:jc w:val="both"/>
        <w:rPr>
          <w:rFonts w:eastAsia="Times New Roman" w:cs="Arial"/>
          <w:color w:val="000000"/>
        </w:rPr>
      </w:pPr>
      <w:r>
        <w:rPr>
          <w:color w:val="000000"/>
        </w:rPr>
        <w:t>γ) πρέπει να πληρούνται οι ειδικές απαιτήσεις για τις ανακτήσιμες συσκευασίες όταν οι συσκευασίες δεν χρησιμοποιούνται πλέον και, επομένως, καθίστανται απορρίμματα.</w:t>
      </w:r>
    </w:p>
    <w:p w14:paraId="21D9B2BB" w14:textId="77777777" w:rsidR="000147DB" w:rsidRPr="003E7524" w:rsidRDefault="000147DB" w:rsidP="000147DB">
      <w:pPr>
        <w:spacing w:after="0" w:line="240" w:lineRule="auto"/>
        <w:rPr>
          <w:rFonts w:eastAsia="Times New Roman" w:cs="Arial"/>
          <w:color w:val="000000"/>
          <w:lang w:val="fr-FR" w:eastAsia="fr-FR"/>
        </w:rPr>
      </w:pPr>
    </w:p>
    <w:p w14:paraId="37AA649C" w14:textId="77777777" w:rsidR="000147DB" w:rsidRPr="005E4757" w:rsidRDefault="000147DB" w:rsidP="00B972B3">
      <w:pPr>
        <w:keepNext/>
        <w:keepLines/>
        <w:spacing w:after="0" w:line="240" w:lineRule="auto"/>
        <w:jc w:val="center"/>
        <w:rPr>
          <w:rFonts w:eastAsia="Times New Roman" w:cs="Arial"/>
          <w:b/>
          <w:bCs/>
          <w:iCs/>
          <w:color w:val="000000"/>
        </w:rPr>
      </w:pPr>
      <w:r>
        <w:rPr>
          <w:b/>
          <w:color w:val="000000"/>
        </w:rPr>
        <w:t>3) Ειδικές απαιτήσεις που αφορούν την ανακτήσιμη φύση συσκευασιών</w:t>
      </w:r>
    </w:p>
    <w:p w14:paraId="1EE282C0"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α) Συσκευασίες ανακτήσιμες υπό μορφή ανακύκλωσης υλικών </w:t>
      </w:r>
    </w:p>
    <w:p w14:paraId="72BEBD90" w14:textId="77777777" w:rsidR="000147DB" w:rsidRPr="003E7524" w:rsidRDefault="000147DB" w:rsidP="000147DB">
      <w:pPr>
        <w:spacing w:after="0" w:line="240" w:lineRule="auto"/>
        <w:jc w:val="both"/>
        <w:rPr>
          <w:rFonts w:eastAsia="Times New Roman" w:cs="Arial"/>
          <w:color w:val="000000"/>
        </w:rPr>
      </w:pPr>
      <w:r>
        <w:rPr>
          <w:color w:val="000000"/>
        </w:rPr>
        <w:t>Οι συσκευασίες πρέπει να κατασκευάζονται κατά τρόπο που να επιτρέπουν την ανακύκλωση ορισμένου ποσοστού κατά βάρος των υλικών που χρησιμοποιούνται για την κατασκευή προϊόντων τα οποία διατίθενται στην αγορά, σύμφωνα με τα ισχύοντα πρότυπα της Κοινότητας. Αυτό το ποσοστό μπορεί να ποικίλλει, ανάλογα με τον τύπο του υλικού που αποτελεί τη συσκευασία.</w:t>
      </w:r>
    </w:p>
    <w:p w14:paraId="1A7B37E6"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β) Συσκευασίες ανακτήσιμες υπό μορφή ανάκτησης ενέργειας </w:t>
      </w:r>
    </w:p>
    <w:p w14:paraId="041C2C54" w14:textId="77777777" w:rsidR="000147DB" w:rsidRPr="003E7524" w:rsidRDefault="000147DB" w:rsidP="000147DB">
      <w:pPr>
        <w:spacing w:after="0" w:line="240" w:lineRule="auto"/>
        <w:jc w:val="both"/>
        <w:rPr>
          <w:rFonts w:eastAsia="Times New Roman" w:cs="Arial"/>
          <w:color w:val="000000"/>
        </w:rPr>
      </w:pPr>
      <w:r>
        <w:rPr>
          <w:color w:val="000000"/>
        </w:rPr>
        <w:t>Τα απορρίμματα συσκευασίας που υπόκεινται σε κατεργασία με σκοπό την ανάκτηση ενέργειας πρέπει να έχουν ελάχιστη κατώτατη θερμογόνο τιμή που να επιτρέπει βελτιστοποίηση της ανάκτησης ενέργειας.</w:t>
      </w:r>
    </w:p>
    <w:p w14:paraId="47DD47B7"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γ) Συσκευασίες ανακτήσιμες υπό μορφή λιπασματοποίησης </w:t>
      </w:r>
    </w:p>
    <w:p w14:paraId="0F150FF9" w14:textId="77777777" w:rsidR="000147DB" w:rsidRPr="003E7524" w:rsidRDefault="000147DB" w:rsidP="000147DB">
      <w:pPr>
        <w:spacing w:after="0" w:line="240" w:lineRule="auto"/>
        <w:jc w:val="both"/>
        <w:rPr>
          <w:rFonts w:eastAsia="Times New Roman" w:cs="Arial"/>
          <w:color w:val="000000"/>
        </w:rPr>
      </w:pPr>
      <w:r>
        <w:rPr>
          <w:color w:val="000000"/>
        </w:rPr>
        <w:t>Τα απορρίμματα συσκευασίας που υφίστανται κατεργασία με σκοπό τη λιπασματοποίηση πρέπει να είναι βιοαποικοδομήσιμα, κατά τρόπο που να μην εμποδίζει τη χωριστή συλλογή και τη διαδικασία ή δραστηριότητα λιπασματοποίησης στην οποία υποβάλλονται.</w:t>
      </w:r>
    </w:p>
    <w:p w14:paraId="36128ACA" w14:textId="77777777" w:rsidR="000147DB" w:rsidRPr="003E7524" w:rsidRDefault="000147DB" w:rsidP="000147DB">
      <w:pPr>
        <w:spacing w:after="0" w:line="240" w:lineRule="auto"/>
        <w:jc w:val="both"/>
        <w:rPr>
          <w:rFonts w:eastAsia="Times New Roman" w:cs="Arial"/>
          <w:color w:val="000000"/>
          <w:lang w:val="fr-FR" w:eastAsia="fr-FR"/>
        </w:rPr>
      </w:pPr>
    </w:p>
    <w:p w14:paraId="00633E3B" w14:textId="77777777" w:rsidR="000147DB" w:rsidRPr="003E7524" w:rsidRDefault="000147DB" w:rsidP="00B972B3">
      <w:pPr>
        <w:keepNext/>
        <w:keepLines/>
        <w:autoSpaceDE w:val="0"/>
        <w:autoSpaceDN w:val="0"/>
        <w:adjustRightInd w:val="0"/>
        <w:spacing w:after="0"/>
        <w:jc w:val="both"/>
        <w:rPr>
          <w:rFonts w:cs="TimesNewRoman"/>
          <w:color w:val="FF0000"/>
          <w:sz w:val="24"/>
          <w:szCs w:val="24"/>
        </w:rPr>
      </w:pPr>
      <w:r>
        <w:rPr>
          <w:color w:val="FF0000"/>
          <w:sz w:val="24"/>
        </w:rPr>
        <w:lastRenderedPageBreak/>
        <w:t>δ) Βιοαποικοδομήσιμες συσκευασίες</w:t>
      </w:r>
    </w:p>
    <w:p w14:paraId="7A56FE8C" w14:textId="77777777" w:rsidR="000147DB" w:rsidRPr="00680045" w:rsidRDefault="000147DB" w:rsidP="000147DB">
      <w:pPr>
        <w:autoSpaceDE w:val="0"/>
        <w:autoSpaceDN w:val="0"/>
        <w:adjustRightInd w:val="0"/>
        <w:spacing w:after="0"/>
        <w:jc w:val="both"/>
        <w:rPr>
          <w:rFonts w:cs="TimesNewRoman"/>
          <w:color w:val="FF0000"/>
          <w:spacing w:val="-4"/>
          <w:sz w:val="24"/>
          <w:szCs w:val="24"/>
        </w:rPr>
      </w:pPr>
      <w:r w:rsidRPr="00680045">
        <w:rPr>
          <w:color w:val="FF0000"/>
          <w:spacing w:val="-4"/>
          <w:sz w:val="24"/>
        </w:rPr>
        <w:t xml:space="preserve">Τα βιοαποικοδομήσιμα απορρίμματα συσκευασίας πρέπει να είναι τέτοια ώστε να μπορούν να αποσυντίθενται με φυσικό, χημικό, θερμικό ή βιολογικό τρόπο έτσι ώστε το μεγαλύτερο μέρος του λιπάσματος που προκύπτει να αποσυντίθεται τελικώς σε διοξείδιο του άνθρακα, βιομάζα και νερό. </w:t>
      </w:r>
    </w:p>
    <w:p w14:paraId="76704C00" w14:textId="03E83138" w:rsidR="000147DB" w:rsidRPr="003E7524" w:rsidRDefault="000147DB" w:rsidP="000147DB">
      <w:pPr>
        <w:autoSpaceDE w:val="0"/>
        <w:autoSpaceDN w:val="0"/>
        <w:adjustRightInd w:val="0"/>
        <w:spacing w:after="0"/>
        <w:jc w:val="both"/>
        <w:rPr>
          <w:rFonts w:cs="TimesNewRoman"/>
          <w:sz w:val="24"/>
          <w:szCs w:val="24"/>
        </w:rPr>
      </w:pPr>
      <w:r>
        <w:rPr>
          <w:color w:val="FF0000"/>
          <w:sz w:val="24"/>
        </w:rPr>
        <w:t>Οι οξο-διασπώμενες πλαστικές συσκευασίες δεν θεωρούνται βιοαποικοδομήσιμες.</w:t>
      </w:r>
    </w:p>
    <w:p w14:paraId="4D209010" w14:textId="77777777" w:rsidR="000147DB" w:rsidRPr="003E7524" w:rsidRDefault="000147DB" w:rsidP="000147DB">
      <w:pPr>
        <w:autoSpaceDE w:val="0"/>
        <w:autoSpaceDN w:val="0"/>
        <w:adjustRightInd w:val="0"/>
        <w:spacing w:after="0"/>
        <w:jc w:val="both"/>
        <w:rPr>
          <w:rFonts w:cs="TimesNewRoman"/>
          <w:sz w:val="24"/>
          <w:szCs w:val="24"/>
          <w:lang w:val="fr-LU" w:eastAsia="fr-BE"/>
        </w:rPr>
      </w:pPr>
    </w:p>
    <w:p w14:paraId="75439D96" w14:textId="77777777" w:rsidR="000147DB" w:rsidRPr="003E7524" w:rsidRDefault="000147DB" w:rsidP="000147DB">
      <w:pPr>
        <w:spacing w:after="0" w:line="240" w:lineRule="auto"/>
        <w:rPr>
          <w:rFonts w:eastAsia="Times New Roman" w:cs="Arial"/>
          <w:color w:val="000000"/>
          <w:lang w:val="fr-LU" w:eastAsia="fr-FR"/>
        </w:rPr>
      </w:pPr>
    </w:p>
    <w:p w14:paraId="3E017349" w14:textId="77777777" w:rsidR="000147DB" w:rsidRPr="003E7524" w:rsidRDefault="000147DB" w:rsidP="000147DB">
      <w:pPr>
        <w:spacing w:after="0" w:line="240" w:lineRule="auto"/>
        <w:jc w:val="center"/>
        <w:rPr>
          <w:rFonts w:eastAsia="Times New Roman" w:cs="Arial"/>
          <w:strike/>
          <w:u w:val="single"/>
          <w:lang w:val="fr-FR" w:eastAsia="fr-LU"/>
        </w:rPr>
      </w:pPr>
    </w:p>
    <w:p w14:paraId="58B091A8" w14:textId="77777777" w:rsidR="000147DB" w:rsidRPr="003E7524" w:rsidRDefault="000147DB" w:rsidP="00B972B3">
      <w:pPr>
        <w:keepNext/>
        <w:keepLines/>
        <w:spacing w:after="0" w:line="240" w:lineRule="auto"/>
        <w:jc w:val="center"/>
        <w:rPr>
          <w:rFonts w:eastAsia="Times New Roman" w:cs="Arial"/>
          <w:b/>
        </w:rPr>
      </w:pPr>
      <w:r>
        <w:rPr>
          <w:b/>
        </w:rPr>
        <w:t>ΠΑΡΑΡΤΗΜΑ II</w:t>
      </w:r>
    </w:p>
    <w:p w14:paraId="08D0C795" w14:textId="77777777" w:rsidR="000147DB" w:rsidRPr="003E7524" w:rsidRDefault="000147DB" w:rsidP="00B972B3">
      <w:pPr>
        <w:keepNext/>
        <w:keepLines/>
        <w:spacing w:after="0" w:line="240" w:lineRule="auto"/>
        <w:jc w:val="center"/>
        <w:rPr>
          <w:rFonts w:eastAsia="Times New Roman" w:cs="Arial"/>
          <w:b/>
          <w:bCs/>
        </w:rPr>
      </w:pPr>
      <w:r>
        <w:rPr>
          <w:b/>
        </w:rPr>
        <w:t>Περιβαλλοντική συμφωνία</w:t>
      </w:r>
    </w:p>
    <w:p w14:paraId="4C8541AC" w14:textId="77777777" w:rsidR="000147DB" w:rsidRPr="003E7524" w:rsidRDefault="000147DB" w:rsidP="00B972B3">
      <w:pPr>
        <w:keepNext/>
        <w:keepLines/>
        <w:spacing w:after="0" w:line="240" w:lineRule="auto"/>
        <w:jc w:val="both"/>
        <w:rPr>
          <w:rFonts w:eastAsia="Times New Roman" w:cs="Arial"/>
          <w:b/>
          <w:lang w:val="fr-FR" w:eastAsia="fr-LU"/>
        </w:rPr>
      </w:pPr>
    </w:p>
    <w:p w14:paraId="2F353336" w14:textId="77777777" w:rsidR="000147DB" w:rsidRPr="003E7524" w:rsidRDefault="000147DB" w:rsidP="00B972B3">
      <w:pPr>
        <w:keepNext/>
        <w:keepLines/>
        <w:spacing w:after="0" w:line="240" w:lineRule="auto"/>
        <w:jc w:val="both"/>
        <w:rPr>
          <w:rFonts w:eastAsia="Times New Roman" w:cs="Arial"/>
        </w:rPr>
      </w:pPr>
      <w:r>
        <w:t>Οι περιβαλλοντικές συμφωνίες που προβλέπονται από τον παρόντα νόμο υπόκεινται στους ακόλουθους κανόνες:</w:t>
      </w:r>
    </w:p>
    <w:p w14:paraId="26FA5C49" w14:textId="77777777" w:rsidR="000147DB" w:rsidRPr="003E7524" w:rsidRDefault="000147DB" w:rsidP="000147DB">
      <w:pPr>
        <w:spacing w:after="0" w:line="240" w:lineRule="auto"/>
        <w:jc w:val="both"/>
        <w:rPr>
          <w:rFonts w:eastAsia="Times New Roman" w:cs="Arial"/>
        </w:rPr>
      </w:pPr>
      <w:r>
        <w:t>1) Οι συμφωνίες πρέπει να προσδιορίζουν τους στόχους και τη διάρκειά τους.</w:t>
      </w:r>
    </w:p>
    <w:p w14:paraId="6DB322CD" w14:textId="77777777" w:rsidR="000147DB" w:rsidRPr="003E7524" w:rsidRDefault="000147DB" w:rsidP="000147DB">
      <w:pPr>
        <w:spacing w:after="0" w:line="240" w:lineRule="auto"/>
        <w:jc w:val="both"/>
        <w:rPr>
          <w:rFonts w:eastAsia="Times New Roman" w:cs="Arial"/>
        </w:rPr>
      </w:pPr>
      <w:r>
        <w:t>2) Οι συμφωνίες και τα αποτελέσματα που επιτυγχάνονται με την εφαρμογή τους είναι διαθέσιμα στο κοινό και κοινοποιούνται στην Ευρωπαϊκή Επιτροπή από τον υπουργό.</w:t>
      </w:r>
    </w:p>
    <w:p w14:paraId="0C4AFADA" w14:textId="77777777" w:rsidR="000147DB" w:rsidRPr="003E7524" w:rsidRDefault="000147DB" w:rsidP="000147DB">
      <w:pPr>
        <w:spacing w:after="0" w:line="240" w:lineRule="auto"/>
        <w:jc w:val="both"/>
        <w:rPr>
          <w:rFonts w:eastAsia="Times New Roman" w:cs="Arial"/>
        </w:rPr>
      </w:pPr>
      <w:r>
        <w:t>3) Η εφαρμογή των συμφωνιών υπόκειται σε τακτικό έλεγχο από τη διοίκηση.</w:t>
      </w:r>
    </w:p>
    <w:p w14:paraId="338631B9" w14:textId="77777777" w:rsidR="000147DB" w:rsidRPr="003E7524" w:rsidRDefault="000147DB" w:rsidP="000147DB">
      <w:pPr>
        <w:spacing w:after="0" w:line="240" w:lineRule="auto"/>
        <w:jc w:val="both"/>
        <w:rPr>
          <w:rFonts w:eastAsia="Times New Roman" w:cs="Arial"/>
        </w:rPr>
      </w:pPr>
      <w:r>
        <w:t>4) Οι συμφωνίες περιέχουν μέτρα και κυρώσεις για περιπτώσεις μη συμμόρφωσης με τις διατάξεις τους.</w:t>
      </w:r>
    </w:p>
    <w:p w14:paraId="3E2E4659" w14:textId="77777777" w:rsidR="000147DB" w:rsidRPr="003E7524" w:rsidRDefault="000147DB" w:rsidP="000147DB">
      <w:pPr>
        <w:spacing w:after="0" w:line="240" w:lineRule="auto"/>
        <w:jc w:val="both"/>
        <w:rPr>
          <w:rFonts w:eastAsia="Times New Roman" w:cs="Arial"/>
        </w:rPr>
      </w:pPr>
      <w:r>
        <w:t>5) Οι συμφωνίες συνάπτονται για καθορισμένη περίοδο που δεν μπορεί να υπερβαίνει τα πέντε έτη. Δεν μπορούν να ανανεωθούν με σιωπηρή ανανέωση.</w:t>
      </w:r>
    </w:p>
    <w:p w14:paraId="104D8A65" w14:textId="77777777" w:rsidR="000147DB" w:rsidRPr="003E7524" w:rsidRDefault="000147DB" w:rsidP="000147DB">
      <w:pPr>
        <w:spacing w:after="0" w:line="240" w:lineRule="auto"/>
        <w:jc w:val="both"/>
        <w:rPr>
          <w:rFonts w:eastAsia="Times New Roman" w:cs="Arial"/>
        </w:rPr>
      </w:pPr>
      <w:r>
        <w:t>6) Οι συμφωνίες λήγουν είτε με την εκπνοή της περιόδου για την οποία συνήφθησαν, είτε μετά την επίτευξη των στόχων τους, είτε με κοινή συμφωνία των μερών.</w:t>
      </w:r>
    </w:p>
    <w:p w14:paraId="09C2F1CD" w14:textId="77777777" w:rsidR="000147DB" w:rsidRPr="003E7524" w:rsidRDefault="000147DB" w:rsidP="000147DB">
      <w:pPr>
        <w:spacing w:after="0" w:line="240" w:lineRule="auto"/>
        <w:rPr>
          <w:rFonts w:eastAsia="Times New Roman" w:cs="Arial"/>
          <w:lang w:val="fr-FR" w:eastAsia="fr-FR"/>
        </w:rPr>
      </w:pPr>
    </w:p>
    <w:p w14:paraId="16C3064A" w14:textId="77777777" w:rsidR="000147DB" w:rsidRPr="003E7524" w:rsidRDefault="000147DB" w:rsidP="000147DB">
      <w:pPr>
        <w:spacing w:after="0" w:line="240" w:lineRule="auto"/>
        <w:jc w:val="center"/>
        <w:rPr>
          <w:rFonts w:eastAsia="Calibri" w:cs="Arial"/>
          <w:lang w:val="fr-FR"/>
        </w:rPr>
      </w:pPr>
    </w:p>
    <w:p w14:paraId="52D4FCEE" w14:textId="77777777" w:rsidR="000147DB" w:rsidRPr="003E7524" w:rsidRDefault="000147DB" w:rsidP="000147DB">
      <w:pPr>
        <w:spacing w:after="200" w:line="276" w:lineRule="auto"/>
        <w:rPr>
          <w:color w:val="FF0000"/>
        </w:rPr>
      </w:pPr>
      <w:r>
        <w:rPr>
          <w:color w:val="FF0000"/>
        </w:rPr>
        <w:t>Νόμος της XXXXX</w:t>
      </w:r>
    </w:p>
    <w:p w14:paraId="4FF80B34" w14:textId="22A28547" w:rsidR="000147DB" w:rsidRPr="003E7524" w:rsidRDefault="000147DB" w:rsidP="000147DB">
      <w:pPr>
        <w:autoSpaceDE w:val="0"/>
        <w:autoSpaceDN w:val="0"/>
        <w:adjustRightInd w:val="0"/>
        <w:spacing w:after="0"/>
        <w:jc w:val="center"/>
        <w:rPr>
          <w:rFonts w:cs="TimesNewRoman"/>
          <w:b/>
          <w:color w:val="FF0000"/>
          <w:sz w:val="24"/>
          <w:szCs w:val="24"/>
          <w:u w:val="single"/>
        </w:rPr>
      </w:pPr>
      <w:r>
        <w:rPr>
          <w:b/>
          <w:color w:val="FF0000"/>
          <w:sz w:val="24"/>
          <w:u w:val="single"/>
        </w:rPr>
        <w:t>ΠΑΡΑΡΤΗΜΑ ΙΙI</w:t>
      </w:r>
    </w:p>
    <w:p w14:paraId="79D2B46F" w14:textId="77777777" w:rsidR="000147DB" w:rsidRPr="005E4757" w:rsidRDefault="000147DB" w:rsidP="000147DB">
      <w:pPr>
        <w:autoSpaceDE w:val="0"/>
        <w:autoSpaceDN w:val="0"/>
        <w:adjustRightInd w:val="0"/>
        <w:spacing w:after="0"/>
        <w:jc w:val="center"/>
        <w:rPr>
          <w:rFonts w:cs="TimesNewRoman"/>
          <w:bCs/>
          <w:color w:val="FF0000"/>
          <w:sz w:val="24"/>
          <w:szCs w:val="24"/>
          <w:u w:val="single"/>
        </w:rPr>
      </w:pPr>
      <w:r>
        <w:rPr>
          <w:color w:val="FF0000"/>
          <w:sz w:val="24"/>
          <w:u w:val="single"/>
        </w:rPr>
        <w:t>Κατάλογος των οπωροκηπευτικών που καθορίζονται στο άρθρο 5, παράγραφος 1, σημείο 1</w:t>
      </w:r>
    </w:p>
    <w:p w14:paraId="236111C5" w14:textId="77777777" w:rsidR="000147DB" w:rsidRPr="003E7524" w:rsidRDefault="000147DB" w:rsidP="000147DB">
      <w:pPr>
        <w:autoSpaceDE w:val="0"/>
        <w:autoSpaceDN w:val="0"/>
        <w:adjustRightInd w:val="0"/>
        <w:spacing w:after="0"/>
        <w:jc w:val="center"/>
        <w:rPr>
          <w:rFonts w:cs="TimesNewRoman"/>
          <w:bCs/>
          <w:color w:val="FF0000"/>
          <w:sz w:val="24"/>
          <w:szCs w:val="24"/>
          <w:u w:val="single"/>
          <w:lang w:val="fr-LU" w:eastAsia="fr-BE"/>
        </w:rPr>
      </w:pPr>
    </w:p>
    <w:tbl>
      <w:tblPr>
        <w:tblW w:w="0" w:type="auto"/>
        <w:tblLook w:val="04A0" w:firstRow="1" w:lastRow="0" w:firstColumn="1" w:lastColumn="0" w:noHBand="0" w:noVBand="1"/>
      </w:tblPr>
      <w:tblGrid>
        <w:gridCol w:w="4675"/>
        <w:gridCol w:w="4675"/>
      </w:tblGrid>
      <w:tr w:rsidR="000147DB" w:rsidRPr="00B972B3" w14:paraId="666E3C8A" w14:textId="77777777" w:rsidTr="000147DB">
        <w:tc>
          <w:tcPr>
            <w:tcW w:w="4675" w:type="dxa"/>
          </w:tcPr>
          <w:p w14:paraId="5DF36764" w14:textId="77777777" w:rsidR="000147DB" w:rsidRPr="00B972B3" w:rsidRDefault="000147DB" w:rsidP="000147DB">
            <w:pPr>
              <w:rPr>
                <w:b/>
                <w:color w:val="FF0000"/>
                <w:spacing w:val="-4"/>
              </w:rPr>
            </w:pPr>
            <w:r>
              <w:rPr>
                <w:b/>
                <w:color w:val="FF0000"/>
              </w:rPr>
              <w:t>Νωπά φρούτα</w:t>
            </w:r>
          </w:p>
        </w:tc>
        <w:tc>
          <w:tcPr>
            <w:tcW w:w="4675" w:type="dxa"/>
          </w:tcPr>
          <w:p w14:paraId="5DD24357" w14:textId="77777777" w:rsidR="000147DB" w:rsidRPr="00B972B3" w:rsidRDefault="000147DB" w:rsidP="000147DB">
            <w:pPr>
              <w:rPr>
                <w:b/>
                <w:color w:val="FF0000"/>
                <w:spacing w:val="-4"/>
              </w:rPr>
            </w:pPr>
            <w:r>
              <w:rPr>
                <w:b/>
                <w:color w:val="FF0000"/>
              </w:rPr>
              <w:t>Νωπά λαχανικά</w:t>
            </w:r>
          </w:p>
        </w:tc>
      </w:tr>
      <w:tr w:rsidR="000147DB" w:rsidRPr="00B972B3" w14:paraId="544C3581" w14:textId="77777777" w:rsidTr="000147DB">
        <w:tc>
          <w:tcPr>
            <w:tcW w:w="4675" w:type="dxa"/>
          </w:tcPr>
          <w:p w14:paraId="2E157577" w14:textId="77777777" w:rsidR="000147DB" w:rsidRPr="00B972B3" w:rsidRDefault="000147DB" w:rsidP="000147DB">
            <w:pPr>
              <w:rPr>
                <w:color w:val="FF0000"/>
                <w:spacing w:val="-4"/>
              </w:rPr>
            </w:pPr>
            <w:r>
              <w:rPr>
                <w:color w:val="FF0000"/>
              </w:rPr>
              <w:t>Ανανάς</w:t>
            </w:r>
          </w:p>
        </w:tc>
        <w:tc>
          <w:tcPr>
            <w:tcW w:w="4675" w:type="dxa"/>
          </w:tcPr>
          <w:p w14:paraId="08482F53" w14:textId="77777777" w:rsidR="000147DB" w:rsidRPr="00B972B3" w:rsidRDefault="000147DB" w:rsidP="000147DB">
            <w:pPr>
              <w:rPr>
                <w:color w:val="FF0000"/>
                <w:spacing w:val="-4"/>
              </w:rPr>
            </w:pPr>
            <w:r>
              <w:rPr>
                <w:color w:val="FF0000"/>
              </w:rPr>
              <w:t>Σκόρδο</w:t>
            </w:r>
          </w:p>
        </w:tc>
      </w:tr>
      <w:tr w:rsidR="000147DB" w:rsidRPr="00B972B3" w14:paraId="679261B3" w14:textId="77777777" w:rsidTr="000147DB">
        <w:tc>
          <w:tcPr>
            <w:tcW w:w="4675" w:type="dxa"/>
          </w:tcPr>
          <w:p w14:paraId="0AAD721B" w14:textId="77777777" w:rsidR="000147DB" w:rsidRPr="00B972B3" w:rsidRDefault="000147DB" w:rsidP="000147DB">
            <w:pPr>
              <w:rPr>
                <w:color w:val="FF0000"/>
                <w:spacing w:val="-4"/>
              </w:rPr>
            </w:pPr>
            <w:r>
              <w:rPr>
                <w:color w:val="FF0000"/>
              </w:rPr>
              <w:t>Βερίκοκο</w:t>
            </w:r>
          </w:p>
        </w:tc>
        <w:tc>
          <w:tcPr>
            <w:tcW w:w="4675" w:type="dxa"/>
          </w:tcPr>
          <w:p w14:paraId="3AFF19ED" w14:textId="77777777" w:rsidR="000147DB" w:rsidRPr="00B972B3" w:rsidRDefault="000147DB" w:rsidP="000147DB">
            <w:pPr>
              <w:rPr>
                <w:color w:val="FF0000"/>
                <w:spacing w:val="-4"/>
              </w:rPr>
            </w:pPr>
            <w:r>
              <w:rPr>
                <w:color w:val="FF0000"/>
              </w:rPr>
              <w:t>Αγκινάρα</w:t>
            </w:r>
          </w:p>
        </w:tc>
      </w:tr>
      <w:tr w:rsidR="000147DB" w:rsidRPr="00B972B3" w14:paraId="4B14EBBA" w14:textId="77777777" w:rsidTr="000147DB">
        <w:tc>
          <w:tcPr>
            <w:tcW w:w="4675" w:type="dxa"/>
          </w:tcPr>
          <w:p w14:paraId="75BB109A" w14:textId="77777777" w:rsidR="000147DB" w:rsidRPr="00B972B3" w:rsidRDefault="000147DB" w:rsidP="000147DB">
            <w:pPr>
              <w:rPr>
                <w:color w:val="FF0000"/>
                <w:spacing w:val="-4"/>
              </w:rPr>
            </w:pPr>
            <w:r>
              <w:rPr>
                <w:color w:val="FF0000"/>
              </w:rPr>
              <w:t xml:space="preserve">Αβοκάντο </w:t>
            </w:r>
          </w:p>
        </w:tc>
        <w:tc>
          <w:tcPr>
            <w:tcW w:w="4675" w:type="dxa"/>
          </w:tcPr>
          <w:p w14:paraId="2478D876" w14:textId="77777777" w:rsidR="000147DB" w:rsidRPr="00B972B3" w:rsidRDefault="000147DB" w:rsidP="000147DB">
            <w:pPr>
              <w:rPr>
                <w:color w:val="FF0000"/>
                <w:spacing w:val="-4"/>
              </w:rPr>
            </w:pPr>
            <w:r>
              <w:rPr>
                <w:color w:val="FF0000"/>
              </w:rPr>
              <w:t>Σπαράγγι</w:t>
            </w:r>
          </w:p>
        </w:tc>
      </w:tr>
      <w:tr w:rsidR="000147DB" w:rsidRPr="00B972B3" w14:paraId="2BDAEE70" w14:textId="77777777" w:rsidTr="000147DB">
        <w:tc>
          <w:tcPr>
            <w:tcW w:w="4675" w:type="dxa"/>
          </w:tcPr>
          <w:p w14:paraId="7CA415A2" w14:textId="77777777" w:rsidR="000147DB" w:rsidRPr="00B972B3" w:rsidRDefault="000147DB" w:rsidP="000147DB">
            <w:pPr>
              <w:rPr>
                <w:color w:val="FF0000"/>
                <w:spacing w:val="-4"/>
              </w:rPr>
            </w:pPr>
            <w:r>
              <w:rPr>
                <w:color w:val="FF0000"/>
              </w:rPr>
              <w:t>Μπανάνα</w:t>
            </w:r>
          </w:p>
        </w:tc>
        <w:tc>
          <w:tcPr>
            <w:tcW w:w="4675" w:type="dxa"/>
          </w:tcPr>
          <w:p w14:paraId="3DDEEA9A" w14:textId="77777777" w:rsidR="000147DB" w:rsidRPr="00B972B3" w:rsidRDefault="000147DB" w:rsidP="000147DB">
            <w:pPr>
              <w:rPr>
                <w:color w:val="FF0000"/>
                <w:spacing w:val="-4"/>
              </w:rPr>
            </w:pPr>
            <w:r>
              <w:rPr>
                <w:color w:val="FF0000"/>
              </w:rPr>
              <w:t>Μελιτζάνα</w:t>
            </w:r>
          </w:p>
        </w:tc>
      </w:tr>
      <w:tr w:rsidR="000147DB" w:rsidRPr="00B972B3" w14:paraId="10164EE1" w14:textId="77777777" w:rsidTr="000147DB">
        <w:tc>
          <w:tcPr>
            <w:tcW w:w="4675" w:type="dxa"/>
          </w:tcPr>
          <w:p w14:paraId="08FA0606" w14:textId="77777777" w:rsidR="000147DB" w:rsidRPr="00B972B3" w:rsidRDefault="000147DB" w:rsidP="000147DB">
            <w:pPr>
              <w:rPr>
                <w:color w:val="FF0000"/>
                <w:spacing w:val="-4"/>
              </w:rPr>
            </w:pPr>
            <w:r>
              <w:rPr>
                <w:color w:val="FF0000"/>
              </w:rPr>
              <w:t xml:space="preserve">Καράμβολα </w:t>
            </w:r>
          </w:p>
        </w:tc>
        <w:tc>
          <w:tcPr>
            <w:tcW w:w="4675" w:type="dxa"/>
          </w:tcPr>
          <w:p w14:paraId="7AC5C4A8" w14:textId="77777777" w:rsidR="000147DB" w:rsidRPr="00B972B3" w:rsidRDefault="000147DB" w:rsidP="000147DB">
            <w:pPr>
              <w:rPr>
                <w:color w:val="FF0000"/>
                <w:spacing w:val="-4"/>
              </w:rPr>
            </w:pPr>
            <w:r>
              <w:rPr>
                <w:color w:val="FF0000"/>
              </w:rPr>
              <w:t>Παντζάρι</w:t>
            </w:r>
          </w:p>
        </w:tc>
      </w:tr>
      <w:tr w:rsidR="000147DB" w:rsidRPr="00B972B3" w14:paraId="4B8C13E0" w14:textId="77777777" w:rsidTr="000147DB">
        <w:tc>
          <w:tcPr>
            <w:tcW w:w="4675" w:type="dxa"/>
          </w:tcPr>
          <w:p w14:paraId="42DCCC4E" w14:textId="77777777" w:rsidR="000147DB" w:rsidRPr="00B972B3" w:rsidRDefault="000147DB" w:rsidP="000147DB">
            <w:pPr>
              <w:rPr>
                <w:color w:val="FF0000"/>
                <w:spacing w:val="-4"/>
              </w:rPr>
            </w:pPr>
            <w:r>
              <w:rPr>
                <w:color w:val="FF0000"/>
              </w:rPr>
              <w:t>Κεράσι</w:t>
            </w:r>
          </w:p>
        </w:tc>
        <w:tc>
          <w:tcPr>
            <w:tcW w:w="4675" w:type="dxa"/>
          </w:tcPr>
          <w:p w14:paraId="2B969983" w14:textId="77777777" w:rsidR="000147DB" w:rsidRPr="00B972B3" w:rsidRDefault="000147DB" w:rsidP="000147DB">
            <w:pPr>
              <w:rPr>
                <w:color w:val="FF0000"/>
                <w:spacing w:val="-4"/>
              </w:rPr>
            </w:pPr>
            <w:r>
              <w:rPr>
                <w:color w:val="FF0000"/>
              </w:rPr>
              <w:t xml:space="preserve">Μπρόκολο </w:t>
            </w:r>
          </w:p>
        </w:tc>
      </w:tr>
      <w:tr w:rsidR="000147DB" w:rsidRPr="00B972B3" w14:paraId="071FE714" w14:textId="77777777" w:rsidTr="000147DB">
        <w:tc>
          <w:tcPr>
            <w:tcW w:w="4675" w:type="dxa"/>
          </w:tcPr>
          <w:p w14:paraId="57E357AF" w14:textId="77777777" w:rsidR="000147DB" w:rsidRPr="00B972B3" w:rsidRDefault="000147DB" w:rsidP="000147DB">
            <w:pPr>
              <w:rPr>
                <w:color w:val="FF0000"/>
                <w:spacing w:val="-4"/>
              </w:rPr>
            </w:pPr>
            <w:r>
              <w:rPr>
                <w:color w:val="FF0000"/>
              </w:rPr>
              <w:t>Λεμόνι</w:t>
            </w:r>
          </w:p>
        </w:tc>
        <w:tc>
          <w:tcPr>
            <w:tcW w:w="4675" w:type="dxa"/>
          </w:tcPr>
          <w:p w14:paraId="47A7B036" w14:textId="77777777" w:rsidR="000147DB" w:rsidRPr="00B972B3" w:rsidRDefault="000147DB" w:rsidP="000147DB">
            <w:pPr>
              <w:rPr>
                <w:color w:val="FF0000"/>
                <w:spacing w:val="-4"/>
              </w:rPr>
            </w:pPr>
            <w:r>
              <w:rPr>
                <w:color w:val="FF0000"/>
              </w:rPr>
              <w:t>Καρότο</w:t>
            </w:r>
          </w:p>
        </w:tc>
      </w:tr>
      <w:tr w:rsidR="000147DB" w:rsidRPr="00B972B3" w14:paraId="28BA8A18" w14:textId="77777777" w:rsidTr="000147DB">
        <w:tc>
          <w:tcPr>
            <w:tcW w:w="4675" w:type="dxa"/>
          </w:tcPr>
          <w:p w14:paraId="6DF0AD79" w14:textId="77777777" w:rsidR="000147DB" w:rsidRPr="00B972B3" w:rsidRDefault="000147DB" w:rsidP="000147DB">
            <w:pPr>
              <w:rPr>
                <w:color w:val="FF0000"/>
                <w:spacing w:val="-4"/>
              </w:rPr>
            </w:pPr>
            <w:r>
              <w:rPr>
                <w:color w:val="FF0000"/>
              </w:rPr>
              <w:t>Μοσχολέμονο</w:t>
            </w:r>
          </w:p>
        </w:tc>
        <w:tc>
          <w:tcPr>
            <w:tcW w:w="4675" w:type="dxa"/>
          </w:tcPr>
          <w:p w14:paraId="453BF889" w14:textId="77777777" w:rsidR="000147DB" w:rsidRPr="00B972B3" w:rsidRDefault="000147DB" w:rsidP="000147DB">
            <w:pPr>
              <w:rPr>
                <w:color w:val="FF0000"/>
                <w:spacing w:val="-4"/>
              </w:rPr>
            </w:pPr>
            <w:r>
              <w:rPr>
                <w:color w:val="FF0000"/>
              </w:rPr>
              <w:t>Σέλινο</w:t>
            </w:r>
          </w:p>
        </w:tc>
      </w:tr>
      <w:tr w:rsidR="000147DB" w:rsidRPr="00B972B3" w14:paraId="31FC6842" w14:textId="77777777" w:rsidTr="000147DB">
        <w:tc>
          <w:tcPr>
            <w:tcW w:w="4675" w:type="dxa"/>
          </w:tcPr>
          <w:p w14:paraId="17508AE5" w14:textId="77777777" w:rsidR="000147DB" w:rsidRPr="00B972B3" w:rsidRDefault="000147DB" w:rsidP="000147DB">
            <w:pPr>
              <w:rPr>
                <w:color w:val="FF0000"/>
                <w:spacing w:val="-4"/>
              </w:rPr>
            </w:pPr>
            <w:r>
              <w:rPr>
                <w:color w:val="FF0000"/>
              </w:rPr>
              <w:t>Κλημεντίνη</w:t>
            </w:r>
          </w:p>
        </w:tc>
        <w:tc>
          <w:tcPr>
            <w:tcW w:w="4675" w:type="dxa"/>
          </w:tcPr>
          <w:p w14:paraId="07ED344F" w14:textId="77777777" w:rsidR="000147DB" w:rsidRPr="00B972B3" w:rsidRDefault="000147DB" w:rsidP="000147DB">
            <w:pPr>
              <w:rPr>
                <w:color w:val="FF0000"/>
                <w:spacing w:val="-4"/>
                <w:lang w:val="fr-FR"/>
              </w:rPr>
            </w:pPr>
          </w:p>
        </w:tc>
      </w:tr>
      <w:tr w:rsidR="000147DB" w:rsidRPr="00B972B3" w14:paraId="6CB8CA75" w14:textId="77777777" w:rsidTr="000147DB">
        <w:tc>
          <w:tcPr>
            <w:tcW w:w="4675" w:type="dxa"/>
          </w:tcPr>
          <w:p w14:paraId="3B38703D" w14:textId="77777777" w:rsidR="000147DB" w:rsidRPr="00B972B3" w:rsidRDefault="000147DB" w:rsidP="000147DB">
            <w:pPr>
              <w:rPr>
                <w:color w:val="FF0000"/>
                <w:spacing w:val="-4"/>
              </w:rPr>
            </w:pPr>
            <w:r>
              <w:rPr>
                <w:color w:val="FF0000"/>
              </w:rPr>
              <w:lastRenderedPageBreak/>
              <w:t>Κυδώνι</w:t>
            </w:r>
          </w:p>
        </w:tc>
        <w:tc>
          <w:tcPr>
            <w:tcW w:w="4675" w:type="dxa"/>
          </w:tcPr>
          <w:p w14:paraId="7F3699D7" w14:textId="77777777" w:rsidR="000147DB" w:rsidRPr="00B972B3" w:rsidRDefault="000147DB" w:rsidP="000147DB">
            <w:pPr>
              <w:rPr>
                <w:color w:val="FF0000"/>
                <w:spacing w:val="-4"/>
              </w:rPr>
            </w:pPr>
            <w:r>
              <w:rPr>
                <w:color w:val="FF0000"/>
              </w:rPr>
              <w:t>Λαχανάκι Βρυξελλών</w:t>
            </w:r>
          </w:p>
        </w:tc>
      </w:tr>
      <w:tr w:rsidR="000147DB" w:rsidRPr="00B972B3" w14:paraId="33415833" w14:textId="77777777" w:rsidTr="000147DB">
        <w:tc>
          <w:tcPr>
            <w:tcW w:w="4675" w:type="dxa"/>
          </w:tcPr>
          <w:p w14:paraId="083BE65D" w14:textId="77777777" w:rsidR="000147DB" w:rsidRPr="00B972B3" w:rsidRDefault="000147DB" w:rsidP="000147DB">
            <w:pPr>
              <w:rPr>
                <w:color w:val="FF0000"/>
                <w:spacing w:val="-4"/>
              </w:rPr>
            </w:pPr>
            <w:r>
              <w:rPr>
                <w:color w:val="FF0000"/>
              </w:rPr>
              <w:t>Σύκο</w:t>
            </w:r>
          </w:p>
        </w:tc>
        <w:tc>
          <w:tcPr>
            <w:tcW w:w="4675" w:type="dxa"/>
          </w:tcPr>
          <w:p w14:paraId="7D013B00" w14:textId="77777777" w:rsidR="000147DB" w:rsidRPr="00B972B3" w:rsidRDefault="000147DB" w:rsidP="000147DB">
            <w:pPr>
              <w:rPr>
                <w:color w:val="FF0000"/>
                <w:spacing w:val="-4"/>
              </w:rPr>
            </w:pPr>
            <w:r>
              <w:rPr>
                <w:color w:val="FF0000"/>
              </w:rPr>
              <w:t xml:space="preserve">Κουνουπίδι </w:t>
            </w:r>
          </w:p>
        </w:tc>
      </w:tr>
      <w:tr w:rsidR="000147DB" w:rsidRPr="00B972B3" w14:paraId="18ACD985" w14:textId="77777777" w:rsidTr="000147DB">
        <w:tc>
          <w:tcPr>
            <w:tcW w:w="4675" w:type="dxa"/>
          </w:tcPr>
          <w:p w14:paraId="6CE17743" w14:textId="77777777" w:rsidR="000147DB" w:rsidRPr="00B972B3" w:rsidRDefault="000147DB" w:rsidP="000147DB">
            <w:pPr>
              <w:rPr>
                <w:color w:val="FF0000"/>
                <w:spacing w:val="-4"/>
              </w:rPr>
            </w:pPr>
            <w:r>
              <w:rPr>
                <w:color w:val="FF0000"/>
              </w:rPr>
              <w:t>Φρούτο του πάθους</w:t>
            </w:r>
          </w:p>
        </w:tc>
        <w:tc>
          <w:tcPr>
            <w:tcW w:w="4675" w:type="dxa"/>
          </w:tcPr>
          <w:p w14:paraId="20A94445" w14:textId="77777777" w:rsidR="000147DB" w:rsidRPr="00B972B3" w:rsidRDefault="000147DB" w:rsidP="000147DB">
            <w:pPr>
              <w:rPr>
                <w:color w:val="FF0000"/>
                <w:spacing w:val="-4"/>
              </w:rPr>
            </w:pPr>
            <w:r>
              <w:rPr>
                <w:color w:val="FF0000"/>
              </w:rPr>
              <w:t xml:space="preserve">Γογγυλοκράμβη </w:t>
            </w:r>
          </w:p>
        </w:tc>
      </w:tr>
      <w:tr w:rsidR="000147DB" w:rsidRPr="00B972B3" w14:paraId="7A4B554F" w14:textId="77777777" w:rsidTr="000147DB">
        <w:tc>
          <w:tcPr>
            <w:tcW w:w="4675" w:type="dxa"/>
          </w:tcPr>
          <w:p w14:paraId="3A217D9C" w14:textId="77777777" w:rsidR="000147DB" w:rsidRPr="00B972B3" w:rsidRDefault="000147DB" w:rsidP="000147DB">
            <w:pPr>
              <w:rPr>
                <w:color w:val="FF0000"/>
                <w:spacing w:val="-4"/>
              </w:rPr>
            </w:pPr>
            <w:r>
              <w:rPr>
                <w:color w:val="FF0000"/>
              </w:rPr>
              <w:t xml:space="preserve">Γκουάβα </w:t>
            </w:r>
          </w:p>
        </w:tc>
        <w:tc>
          <w:tcPr>
            <w:tcW w:w="4675" w:type="dxa"/>
          </w:tcPr>
          <w:p w14:paraId="31DCAFA7" w14:textId="77777777" w:rsidR="000147DB" w:rsidRPr="00B972B3" w:rsidRDefault="000147DB" w:rsidP="000147DB">
            <w:pPr>
              <w:rPr>
                <w:color w:val="FF0000"/>
                <w:spacing w:val="-4"/>
              </w:rPr>
            </w:pPr>
            <w:r>
              <w:rPr>
                <w:color w:val="FF0000"/>
              </w:rPr>
              <w:t>Κόκκινο λάχανο</w:t>
            </w:r>
          </w:p>
        </w:tc>
      </w:tr>
      <w:tr w:rsidR="000147DB" w:rsidRPr="00B972B3" w14:paraId="46EAAB4B" w14:textId="77777777" w:rsidTr="000147DB">
        <w:tc>
          <w:tcPr>
            <w:tcW w:w="4675" w:type="dxa"/>
          </w:tcPr>
          <w:p w14:paraId="3714A805" w14:textId="77777777" w:rsidR="000147DB" w:rsidRPr="00B972B3" w:rsidRDefault="000147DB" w:rsidP="000147DB">
            <w:pPr>
              <w:rPr>
                <w:color w:val="FF0000"/>
                <w:spacing w:val="-4"/>
              </w:rPr>
            </w:pPr>
            <w:r>
              <w:rPr>
                <w:color w:val="FF0000"/>
              </w:rPr>
              <w:t xml:space="preserve">Ρόδι </w:t>
            </w:r>
          </w:p>
        </w:tc>
        <w:tc>
          <w:tcPr>
            <w:tcW w:w="4675" w:type="dxa"/>
          </w:tcPr>
          <w:p w14:paraId="2E7E8615" w14:textId="77777777" w:rsidR="000147DB" w:rsidRPr="00B972B3" w:rsidRDefault="000147DB" w:rsidP="000147DB">
            <w:pPr>
              <w:rPr>
                <w:color w:val="FF0000"/>
                <w:spacing w:val="-4"/>
              </w:rPr>
            </w:pPr>
            <w:r>
              <w:rPr>
                <w:color w:val="FF0000"/>
              </w:rPr>
              <w:t>Πράσινο λάχανο</w:t>
            </w:r>
          </w:p>
        </w:tc>
      </w:tr>
      <w:tr w:rsidR="000147DB" w:rsidRPr="00B972B3" w14:paraId="4A8B4910" w14:textId="77777777" w:rsidTr="000147DB">
        <w:tc>
          <w:tcPr>
            <w:tcW w:w="4675" w:type="dxa"/>
          </w:tcPr>
          <w:p w14:paraId="33BA4A04" w14:textId="77777777" w:rsidR="000147DB" w:rsidRPr="00B972B3" w:rsidRDefault="000147DB" w:rsidP="000147DB">
            <w:pPr>
              <w:rPr>
                <w:color w:val="FF0000"/>
                <w:spacing w:val="-4"/>
              </w:rPr>
            </w:pPr>
            <w:r>
              <w:rPr>
                <w:color w:val="FF0000"/>
              </w:rPr>
              <w:t>Ακτινίδιο</w:t>
            </w:r>
          </w:p>
        </w:tc>
        <w:tc>
          <w:tcPr>
            <w:tcW w:w="4675" w:type="dxa"/>
          </w:tcPr>
          <w:p w14:paraId="0CB65944" w14:textId="77777777" w:rsidR="000147DB" w:rsidRPr="00B972B3" w:rsidRDefault="000147DB" w:rsidP="000147DB">
            <w:pPr>
              <w:rPr>
                <w:color w:val="FF0000"/>
                <w:spacing w:val="-4"/>
              </w:rPr>
            </w:pPr>
            <w:r>
              <w:rPr>
                <w:color w:val="FF0000"/>
              </w:rPr>
              <w:t>Αγγούρι</w:t>
            </w:r>
          </w:p>
        </w:tc>
      </w:tr>
      <w:tr w:rsidR="000147DB" w:rsidRPr="00B972B3" w14:paraId="13ADB47D" w14:textId="77777777" w:rsidTr="000147DB">
        <w:tc>
          <w:tcPr>
            <w:tcW w:w="4675" w:type="dxa"/>
          </w:tcPr>
          <w:p w14:paraId="5C7ECFF7" w14:textId="77777777" w:rsidR="000147DB" w:rsidRPr="00B972B3" w:rsidRDefault="000147DB" w:rsidP="000147DB">
            <w:pPr>
              <w:rPr>
                <w:color w:val="FF0000"/>
                <w:spacing w:val="-4"/>
              </w:rPr>
            </w:pPr>
            <w:r>
              <w:rPr>
                <w:color w:val="FF0000"/>
              </w:rPr>
              <w:t>Λίτσι</w:t>
            </w:r>
          </w:p>
        </w:tc>
        <w:tc>
          <w:tcPr>
            <w:tcW w:w="4675" w:type="dxa"/>
          </w:tcPr>
          <w:p w14:paraId="07FD18D1" w14:textId="77777777" w:rsidR="000147DB" w:rsidRPr="00B972B3" w:rsidRDefault="000147DB" w:rsidP="000147DB">
            <w:pPr>
              <w:rPr>
                <w:color w:val="FF0000"/>
                <w:spacing w:val="-4"/>
              </w:rPr>
            </w:pPr>
            <w:r>
              <w:rPr>
                <w:color w:val="FF0000"/>
              </w:rPr>
              <w:t>Κολοκύθα</w:t>
            </w:r>
          </w:p>
        </w:tc>
      </w:tr>
      <w:tr w:rsidR="000147DB" w:rsidRPr="00B972B3" w14:paraId="5BF61E7B" w14:textId="77777777" w:rsidTr="000147DB">
        <w:tc>
          <w:tcPr>
            <w:tcW w:w="4675" w:type="dxa"/>
          </w:tcPr>
          <w:p w14:paraId="09F1D97C" w14:textId="77777777" w:rsidR="000147DB" w:rsidRPr="00B972B3" w:rsidRDefault="000147DB" w:rsidP="000147DB">
            <w:pPr>
              <w:rPr>
                <w:color w:val="FF0000"/>
                <w:spacing w:val="-4"/>
              </w:rPr>
            </w:pPr>
            <w:r>
              <w:rPr>
                <w:color w:val="FF0000"/>
              </w:rPr>
              <w:t>Μανταρίνι</w:t>
            </w:r>
          </w:p>
        </w:tc>
        <w:tc>
          <w:tcPr>
            <w:tcW w:w="4675" w:type="dxa"/>
          </w:tcPr>
          <w:p w14:paraId="1E3114C2" w14:textId="77777777" w:rsidR="000147DB" w:rsidRPr="00B972B3" w:rsidRDefault="000147DB" w:rsidP="000147DB">
            <w:pPr>
              <w:rPr>
                <w:color w:val="FF0000"/>
                <w:spacing w:val="-4"/>
              </w:rPr>
            </w:pPr>
            <w:r>
              <w:rPr>
                <w:color w:val="FF0000"/>
              </w:rPr>
              <w:t xml:space="preserve">Κολοκύθι </w:t>
            </w:r>
          </w:p>
        </w:tc>
      </w:tr>
      <w:tr w:rsidR="000147DB" w:rsidRPr="00B972B3" w14:paraId="058BE4ED" w14:textId="77777777" w:rsidTr="000147DB">
        <w:tc>
          <w:tcPr>
            <w:tcW w:w="4675" w:type="dxa"/>
          </w:tcPr>
          <w:p w14:paraId="0BFC43E1" w14:textId="77777777" w:rsidR="000147DB" w:rsidRPr="00B972B3" w:rsidRDefault="000147DB" w:rsidP="000147DB">
            <w:pPr>
              <w:rPr>
                <w:color w:val="FF0000"/>
                <w:spacing w:val="-4"/>
              </w:rPr>
            </w:pPr>
            <w:r>
              <w:rPr>
                <w:color w:val="FF0000"/>
              </w:rPr>
              <w:t>Μάνγκο</w:t>
            </w:r>
          </w:p>
        </w:tc>
        <w:tc>
          <w:tcPr>
            <w:tcW w:w="4675" w:type="dxa"/>
          </w:tcPr>
          <w:p w14:paraId="67C4D77E" w14:textId="77777777" w:rsidR="000147DB" w:rsidRPr="00B972B3" w:rsidRDefault="000147DB" w:rsidP="000147DB">
            <w:pPr>
              <w:rPr>
                <w:color w:val="FF0000"/>
                <w:spacing w:val="-4"/>
              </w:rPr>
            </w:pPr>
            <w:r>
              <w:rPr>
                <w:color w:val="FF0000"/>
              </w:rPr>
              <w:t xml:space="preserve">Φασόλι </w:t>
            </w:r>
          </w:p>
        </w:tc>
      </w:tr>
      <w:tr w:rsidR="000147DB" w:rsidRPr="00B972B3" w14:paraId="66E9EB65" w14:textId="77777777" w:rsidTr="000147DB">
        <w:tc>
          <w:tcPr>
            <w:tcW w:w="4675" w:type="dxa"/>
          </w:tcPr>
          <w:p w14:paraId="62DA1E01" w14:textId="77777777" w:rsidR="000147DB" w:rsidRPr="00B972B3" w:rsidRDefault="000147DB" w:rsidP="000147DB">
            <w:pPr>
              <w:rPr>
                <w:color w:val="FF0000"/>
                <w:spacing w:val="-4"/>
              </w:rPr>
            </w:pPr>
            <w:r>
              <w:rPr>
                <w:color w:val="FF0000"/>
              </w:rPr>
              <w:t>Πεπόνι</w:t>
            </w:r>
          </w:p>
        </w:tc>
        <w:tc>
          <w:tcPr>
            <w:tcW w:w="4675" w:type="dxa"/>
          </w:tcPr>
          <w:p w14:paraId="64BDF842" w14:textId="77777777" w:rsidR="000147DB" w:rsidRPr="00B972B3" w:rsidRDefault="000147DB" w:rsidP="000147DB">
            <w:pPr>
              <w:rPr>
                <w:color w:val="FF0000"/>
                <w:spacing w:val="-4"/>
              </w:rPr>
            </w:pPr>
            <w:r>
              <w:rPr>
                <w:color w:val="FF0000"/>
              </w:rPr>
              <w:t>Αντίδι</w:t>
            </w:r>
          </w:p>
        </w:tc>
      </w:tr>
      <w:tr w:rsidR="000147DB" w:rsidRPr="00B972B3" w14:paraId="44E6EB14" w14:textId="77777777" w:rsidTr="000147DB">
        <w:tc>
          <w:tcPr>
            <w:tcW w:w="4675" w:type="dxa"/>
          </w:tcPr>
          <w:p w14:paraId="36F85F5A" w14:textId="77777777" w:rsidR="000147DB" w:rsidRPr="00B972B3" w:rsidRDefault="000147DB" w:rsidP="000147DB">
            <w:pPr>
              <w:rPr>
                <w:color w:val="FF0000"/>
                <w:spacing w:val="-4"/>
              </w:rPr>
            </w:pPr>
            <w:r>
              <w:rPr>
                <w:color w:val="FF0000"/>
              </w:rPr>
              <w:t>Κορόμηλο</w:t>
            </w:r>
          </w:p>
        </w:tc>
        <w:tc>
          <w:tcPr>
            <w:tcW w:w="4675" w:type="dxa"/>
          </w:tcPr>
          <w:p w14:paraId="716EDB7B" w14:textId="77777777" w:rsidR="000147DB" w:rsidRPr="00B972B3" w:rsidRDefault="000147DB" w:rsidP="000147DB">
            <w:pPr>
              <w:rPr>
                <w:color w:val="FF0000"/>
                <w:spacing w:val="-4"/>
              </w:rPr>
            </w:pPr>
            <w:r>
              <w:rPr>
                <w:color w:val="FF0000"/>
              </w:rPr>
              <w:t>Ρίζα από μάραθο</w:t>
            </w:r>
          </w:p>
        </w:tc>
      </w:tr>
      <w:tr w:rsidR="000147DB" w:rsidRPr="00B972B3" w14:paraId="4F4FE624" w14:textId="77777777" w:rsidTr="000147DB">
        <w:tc>
          <w:tcPr>
            <w:tcW w:w="4675" w:type="dxa"/>
          </w:tcPr>
          <w:p w14:paraId="69D53F98" w14:textId="77777777" w:rsidR="000147DB" w:rsidRPr="00B972B3" w:rsidRDefault="000147DB" w:rsidP="000147DB">
            <w:pPr>
              <w:rPr>
                <w:color w:val="FF0000"/>
                <w:spacing w:val="-4"/>
              </w:rPr>
            </w:pPr>
            <w:r>
              <w:rPr>
                <w:color w:val="FF0000"/>
              </w:rPr>
              <w:t>Νεκταρίνι</w:t>
            </w:r>
          </w:p>
        </w:tc>
        <w:tc>
          <w:tcPr>
            <w:tcW w:w="4675" w:type="dxa"/>
          </w:tcPr>
          <w:p w14:paraId="34F5A88D" w14:textId="77777777" w:rsidR="000147DB" w:rsidRPr="00B972B3" w:rsidRDefault="000147DB" w:rsidP="000147DB">
            <w:pPr>
              <w:rPr>
                <w:color w:val="FF0000"/>
                <w:spacing w:val="-4"/>
              </w:rPr>
            </w:pPr>
            <w:r>
              <w:rPr>
                <w:color w:val="FF0000"/>
              </w:rPr>
              <w:t>Αραβόσιτος</w:t>
            </w:r>
          </w:p>
        </w:tc>
      </w:tr>
      <w:tr w:rsidR="000147DB" w:rsidRPr="00B972B3" w14:paraId="3240DCA5" w14:textId="77777777" w:rsidTr="000147DB">
        <w:tc>
          <w:tcPr>
            <w:tcW w:w="4675" w:type="dxa"/>
          </w:tcPr>
          <w:p w14:paraId="473CC067" w14:textId="77777777" w:rsidR="000147DB" w:rsidRPr="00B972B3" w:rsidRDefault="000147DB" w:rsidP="000147DB">
            <w:pPr>
              <w:rPr>
                <w:color w:val="FF0000"/>
                <w:spacing w:val="-4"/>
              </w:rPr>
            </w:pPr>
            <w:r>
              <w:rPr>
                <w:color w:val="FF0000"/>
              </w:rPr>
              <w:t>Πορτοκάλι</w:t>
            </w:r>
          </w:p>
        </w:tc>
        <w:tc>
          <w:tcPr>
            <w:tcW w:w="4675" w:type="dxa"/>
          </w:tcPr>
          <w:p w14:paraId="00AE1AA5" w14:textId="77777777" w:rsidR="000147DB" w:rsidRPr="00B972B3" w:rsidRDefault="000147DB" w:rsidP="000147DB">
            <w:pPr>
              <w:rPr>
                <w:color w:val="FF0000"/>
                <w:spacing w:val="-4"/>
              </w:rPr>
            </w:pPr>
            <w:r>
              <w:rPr>
                <w:color w:val="FF0000"/>
              </w:rPr>
              <w:t>Ρέβα</w:t>
            </w:r>
          </w:p>
        </w:tc>
      </w:tr>
      <w:tr w:rsidR="000147DB" w:rsidRPr="00B972B3" w14:paraId="30DFD560" w14:textId="77777777" w:rsidTr="000147DB">
        <w:tc>
          <w:tcPr>
            <w:tcW w:w="4675" w:type="dxa"/>
          </w:tcPr>
          <w:p w14:paraId="7D5D8253" w14:textId="77777777" w:rsidR="000147DB" w:rsidRPr="00B972B3" w:rsidRDefault="000147DB" w:rsidP="000147DB">
            <w:pPr>
              <w:rPr>
                <w:color w:val="FF0000"/>
                <w:spacing w:val="-4"/>
              </w:rPr>
            </w:pPr>
            <w:r>
              <w:rPr>
                <w:color w:val="FF0000"/>
              </w:rPr>
              <w:t>Παπάγια</w:t>
            </w:r>
          </w:p>
        </w:tc>
        <w:tc>
          <w:tcPr>
            <w:tcW w:w="4675" w:type="dxa"/>
          </w:tcPr>
          <w:p w14:paraId="075DB470" w14:textId="77777777" w:rsidR="000147DB" w:rsidRPr="00B972B3" w:rsidRDefault="000147DB" w:rsidP="000147DB">
            <w:pPr>
              <w:rPr>
                <w:color w:val="FF0000"/>
                <w:spacing w:val="-4"/>
              </w:rPr>
            </w:pPr>
            <w:r>
              <w:rPr>
                <w:color w:val="FF0000"/>
              </w:rPr>
              <w:t>Κρεμμύδι</w:t>
            </w:r>
          </w:p>
        </w:tc>
      </w:tr>
      <w:tr w:rsidR="000147DB" w:rsidRPr="00B972B3" w14:paraId="115E4F3A" w14:textId="77777777" w:rsidTr="000147DB">
        <w:tc>
          <w:tcPr>
            <w:tcW w:w="4675" w:type="dxa"/>
          </w:tcPr>
          <w:p w14:paraId="16098F8E" w14:textId="77777777" w:rsidR="000147DB" w:rsidRPr="00B972B3" w:rsidRDefault="000147DB" w:rsidP="000147DB">
            <w:pPr>
              <w:rPr>
                <w:color w:val="FF0000"/>
                <w:spacing w:val="-4"/>
                <w:lang w:val="fr-FR"/>
              </w:rPr>
            </w:pPr>
          </w:p>
        </w:tc>
        <w:tc>
          <w:tcPr>
            <w:tcW w:w="4675" w:type="dxa"/>
          </w:tcPr>
          <w:p w14:paraId="07D4FF99" w14:textId="77777777" w:rsidR="000147DB" w:rsidRPr="00B972B3" w:rsidRDefault="000147DB" w:rsidP="000147DB">
            <w:pPr>
              <w:rPr>
                <w:color w:val="FF0000"/>
                <w:spacing w:val="-4"/>
              </w:rPr>
            </w:pPr>
            <w:r>
              <w:rPr>
                <w:color w:val="FF0000"/>
              </w:rPr>
              <w:t>Πράσο</w:t>
            </w:r>
          </w:p>
        </w:tc>
      </w:tr>
      <w:tr w:rsidR="000147DB" w:rsidRPr="00B972B3" w14:paraId="09F7F61C" w14:textId="77777777" w:rsidTr="000147DB">
        <w:tc>
          <w:tcPr>
            <w:tcW w:w="4675" w:type="dxa"/>
          </w:tcPr>
          <w:p w14:paraId="6A1211D9" w14:textId="77777777" w:rsidR="000147DB" w:rsidRPr="00B972B3" w:rsidRDefault="000147DB" w:rsidP="000147DB">
            <w:pPr>
              <w:rPr>
                <w:color w:val="FF0000"/>
                <w:spacing w:val="-4"/>
              </w:rPr>
            </w:pPr>
            <w:r>
              <w:rPr>
                <w:color w:val="FF0000"/>
              </w:rPr>
              <w:t>Ροδάκινο</w:t>
            </w:r>
          </w:p>
        </w:tc>
        <w:tc>
          <w:tcPr>
            <w:tcW w:w="4675" w:type="dxa"/>
          </w:tcPr>
          <w:p w14:paraId="5243B15C" w14:textId="77777777" w:rsidR="000147DB" w:rsidRPr="00B972B3" w:rsidRDefault="000147DB" w:rsidP="000147DB">
            <w:pPr>
              <w:rPr>
                <w:color w:val="FF0000"/>
                <w:spacing w:val="-4"/>
              </w:rPr>
            </w:pPr>
            <w:r>
              <w:rPr>
                <w:color w:val="FF0000"/>
              </w:rPr>
              <w:t>Πιπεριά</w:t>
            </w:r>
          </w:p>
        </w:tc>
      </w:tr>
      <w:tr w:rsidR="000147DB" w:rsidRPr="00B972B3" w14:paraId="6832B4B9" w14:textId="77777777" w:rsidTr="000147DB">
        <w:tc>
          <w:tcPr>
            <w:tcW w:w="4675" w:type="dxa"/>
          </w:tcPr>
          <w:p w14:paraId="08A941EE" w14:textId="77777777" w:rsidR="000147DB" w:rsidRPr="00B972B3" w:rsidRDefault="000147DB" w:rsidP="000147DB">
            <w:pPr>
              <w:rPr>
                <w:color w:val="FF0000"/>
                <w:spacing w:val="-4"/>
              </w:rPr>
            </w:pPr>
            <w:r>
              <w:rPr>
                <w:color w:val="FF0000"/>
              </w:rPr>
              <w:t>Φυσαλίδα</w:t>
            </w:r>
          </w:p>
        </w:tc>
        <w:tc>
          <w:tcPr>
            <w:tcW w:w="4675" w:type="dxa"/>
          </w:tcPr>
          <w:p w14:paraId="6052EBF3" w14:textId="77777777" w:rsidR="000147DB" w:rsidRPr="00B972B3" w:rsidRDefault="000147DB" w:rsidP="000147DB">
            <w:pPr>
              <w:rPr>
                <w:color w:val="FF0000"/>
                <w:spacing w:val="-4"/>
              </w:rPr>
            </w:pPr>
            <w:r>
              <w:rPr>
                <w:color w:val="FF0000"/>
              </w:rPr>
              <w:t>Πατάτα</w:t>
            </w:r>
          </w:p>
        </w:tc>
      </w:tr>
      <w:tr w:rsidR="000147DB" w:rsidRPr="00B972B3" w14:paraId="4F617AD6" w14:textId="77777777" w:rsidTr="000147DB">
        <w:tc>
          <w:tcPr>
            <w:tcW w:w="4675" w:type="dxa"/>
          </w:tcPr>
          <w:p w14:paraId="7C4C092D" w14:textId="77777777" w:rsidR="000147DB" w:rsidRPr="00B972B3" w:rsidRDefault="000147DB" w:rsidP="000147DB">
            <w:pPr>
              <w:rPr>
                <w:color w:val="FF0000"/>
                <w:spacing w:val="-4"/>
              </w:rPr>
            </w:pPr>
            <w:r>
              <w:rPr>
                <w:color w:val="FF0000"/>
              </w:rPr>
              <w:t>Πιταχάγια</w:t>
            </w:r>
          </w:p>
        </w:tc>
        <w:tc>
          <w:tcPr>
            <w:tcW w:w="4675" w:type="dxa"/>
          </w:tcPr>
          <w:p w14:paraId="0C08F9BD" w14:textId="77777777" w:rsidR="000147DB" w:rsidRPr="00B972B3" w:rsidRDefault="000147DB" w:rsidP="000147DB">
            <w:pPr>
              <w:rPr>
                <w:color w:val="FF0000"/>
                <w:spacing w:val="-4"/>
              </w:rPr>
            </w:pPr>
            <w:r>
              <w:rPr>
                <w:color w:val="FF0000"/>
              </w:rPr>
              <w:t>Γλυκοκολοκύθα</w:t>
            </w:r>
          </w:p>
        </w:tc>
      </w:tr>
      <w:tr w:rsidR="000147DB" w:rsidRPr="00B972B3" w14:paraId="1FEFBA7A" w14:textId="77777777" w:rsidTr="000147DB">
        <w:tc>
          <w:tcPr>
            <w:tcW w:w="4675" w:type="dxa"/>
          </w:tcPr>
          <w:p w14:paraId="69B23FE7" w14:textId="77777777" w:rsidR="000147DB" w:rsidRPr="00B972B3" w:rsidRDefault="000147DB" w:rsidP="000147DB">
            <w:pPr>
              <w:rPr>
                <w:color w:val="FF0000"/>
                <w:spacing w:val="-4"/>
              </w:rPr>
            </w:pPr>
            <w:r>
              <w:rPr>
                <w:color w:val="FF0000"/>
              </w:rPr>
              <w:t>Διόσπυρος/Λωτός</w:t>
            </w:r>
          </w:p>
        </w:tc>
        <w:tc>
          <w:tcPr>
            <w:tcW w:w="4675" w:type="dxa"/>
          </w:tcPr>
          <w:p w14:paraId="764A6ACA" w14:textId="77777777" w:rsidR="000147DB" w:rsidRPr="00B972B3" w:rsidRDefault="000147DB" w:rsidP="000147DB">
            <w:pPr>
              <w:rPr>
                <w:color w:val="FF0000"/>
                <w:spacing w:val="-4"/>
              </w:rPr>
            </w:pPr>
            <w:r>
              <w:rPr>
                <w:color w:val="FF0000"/>
              </w:rPr>
              <w:t xml:space="preserve">Ραπανάκι </w:t>
            </w:r>
          </w:p>
        </w:tc>
      </w:tr>
      <w:tr w:rsidR="000147DB" w:rsidRPr="00B972B3" w14:paraId="11407E0D" w14:textId="77777777" w:rsidTr="000147DB">
        <w:tc>
          <w:tcPr>
            <w:tcW w:w="4675" w:type="dxa"/>
          </w:tcPr>
          <w:p w14:paraId="4AD18DCC" w14:textId="77777777" w:rsidR="000147DB" w:rsidRPr="00B972B3" w:rsidRDefault="000147DB" w:rsidP="000147DB">
            <w:pPr>
              <w:rPr>
                <w:color w:val="FF0000"/>
                <w:spacing w:val="-4"/>
              </w:rPr>
            </w:pPr>
            <w:r>
              <w:rPr>
                <w:color w:val="FF0000"/>
              </w:rPr>
              <w:t>Αχλάδι</w:t>
            </w:r>
          </w:p>
        </w:tc>
        <w:tc>
          <w:tcPr>
            <w:tcW w:w="4675" w:type="dxa"/>
          </w:tcPr>
          <w:p w14:paraId="64399CC8" w14:textId="77777777" w:rsidR="000147DB" w:rsidRPr="00B972B3" w:rsidRDefault="000147DB" w:rsidP="000147DB">
            <w:pPr>
              <w:rPr>
                <w:color w:val="FF0000"/>
                <w:spacing w:val="-4"/>
              </w:rPr>
            </w:pPr>
            <w:r>
              <w:rPr>
                <w:color w:val="FF0000"/>
              </w:rPr>
              <w:t xml:space="preserve">Ραβέντι </w:t>
            </w:r>
          </w:p>
        </w:tc>
      </w:tr>
      <w:tr w:rsidR="000147DB" w:rsidRPr="00B972B3" w14:paraId="32260AF1" w14:textId="77777777" w:rsidTr="000147DB">
        <w:tc>
          <w:tcPr>
            <w:tcW w:w="4675" w:type="dxa"/>
          </w:tcPr>
          <w:p w14:paraId="72306095" w14:textId="77777777" w:rsidR="000147DB" w:rsidRPr="00B972B3" w:rsidRDefault="000147DB" w:rsidP="000147DB">
            <w:pPr>
              <w:rPr>
                <w:color w:val="FF0000"/>
                <w:spacing w:val="-4"/>
              </w:rPr>
            </w:pPr>
            <w:r>
              <w:rPr>
                <w:color w:val="FF0000"/>
              </w:rPr>
              <w:t>Γκρέιπ-φρουτ</w:t>
            </w:r>
          </w:p>
        </w:tc>
        <w:tc>
          <w:tcPr>
            <w:tcW w:w="4675" w:type="dxa"/>
          </w:tcPr>
          <w:p w14:paraId="44F6263F" w14:textId="77777777" w:rsidR="000147DB" w:rsidRPr="00B972B3" w:rsidRDefault="000147DB" w:rsidP="000147DB">
            <w:pPr>
              <w:rPr>
                <w:color w:val="FF0000"/>
                <w:spacing w:val="-4"/>
              </w:rPr>
            </w:pPr>
            <w:r>
              <w:rPr>
                <w:color w:val="FF0000"/>
              </w:rPr>
              <w:t>Τομάτα</w:t>
            </w:r>
          </w:p>
        </w:tc>
      </w:tr>
      <w:tr w:rsidR="000147DB" w:rsidRPr="00B972B3" w14:paraId="4EB16200" w14:textId="77777777" w:rsidTr="000147DB">
        <w:tc>
          <w:tcPr>
            <w:tcW w:w="4675" w:type="dxa"/>
          </w:tcPr>
          <w:p w14:paraId="787E8109" w14:textId="77777777" w:rsidR="000147DB" w:rsidRPr="00B972B3" w:rsidRDefault="000147DB" w:rsidP="000147DB">
            <w:pPr>
              <w:rPr>
                <w:color w:val="FF0000"/>
                <w:spacing w:val="-4"/>
              </w:rPr>
            </w:pPr>
            <w:r>
              <w:rPr>
                <w:color w:val="FF0000"/>
              </w:rPr>
              <w:t>Μήλο</w:t>
            </w:r>
          </w:p>
        </w:tc>
        <w:tc>
          <w:tcPr>
            <w:tcW w:w="4675" w:type="dxa"/>
          </w:tcPr>
          <w:p w14:paraId="28292D08" w14:textId="77777777" w:rsidR="000147DB" w:rsidRPr="00B972B3" w:rsidRDefault="000147DB" w:rsidP="000147DB">
            <w:pPr>
              <w:rPr>
                <w:color w:val="FF0000"/>
                <w:spacing w:val="-4"/>
                <w:lang w:val="fr-FR"/>
              </w:rPr>
            </w:pPr>
          </w:p>
        </w:tc>
      </w:tr>
      <w:tr w:rsidR="000147DB" w:rsidRPr="00B972B3" w14:paraId="22A6C632" w14:textId="77777777" w:rsidTr="000147DB">
        <w:tc>
          <w:tcPr>
            <w:tcW w:w="4675" w:type="dxa"/>
          </w:tcPr>
          <w:p w14:paraId="06096887" w14:textId="77777777" w:rsidR="000147DB" w:rsidRPr="00B972B3" w:rsidRDefault="000147DB" w:rsidP="000147DB">
            <w:pPr>
              <w:rPr>
                <w:color w:val="FF0000"/>
                <w:spacing w:val="-4"/>
              </w:rPr>
            </w:pPr>
            <w:r>
              <w:rPr>
                <w:color w:val="FF0000"/>
              </w:rPr>
              <w:t>Δαμάσκηνο</w:t>
            </w:r>
          </w:p>
        </w:tc>
        <w:tc>
          <w:tcPr>
            <w:tcW w:w="4675" w:type="dxa"/>
          </w:tcPr>
          <w:p w14:paraId="31FBC44F" w14:textId="77777777" w:rsidR="000147DB" w:rsidRPr="00B972B3" w:rsidRDefault="000147DB" w:rsidP="000147DB">
            <w:pPr>
              <w:rPr>
                <w:color w:val="FF0000"/>
                <w:spacing w:val="-4"/>
                <w:lang w:val="fr-FR"/>
              </w:rPr>
            </w:pPr>
          </w:p>
        </w:tc>
      </w:tr>
      <w:tr w:rsidR="000147DB" w:rsidRPr="00B972B3" w14:paraId="03FEA02E" w14:textId="77777777" w:rsidTr="000147DB">
        <w:tc>
          <w:tcPr>
            <w:tcW w:w="4675" w:type="dxa"/>
          </w:tcPr>
          <w:p w14:paraId="730E282E" w14:textId="77777777" w:rsidR="000147DB" w:rsidRPr="00B972B3" w:rsidRDefault="000147DB" w:rsidP="000147DB">
            <w:pPr>
              <w:rPr>
                <w:color w:val="FF0000"/>
                <w:spacing w:val="-4"/>
              </w:rPr>
            </w:pPr>
            <w:r>
              <w:rPr>
                <w:color w:val="FF0000"/>
              </w:rPr>
              <w:t>Σταφύλι</w:t>
            </w:r>
          </w:p>
        </w:tc>
        <w:tc>
          <w:tcPr>
            <w:tcW w:w="4675" w:type="dxa"/>
          </w:tcPr>
          <w:p w14:paraId="01285983" w14:textId="77777777" w:rsidR="000147DB" w:rsidRPr="00B972B3" w:rsidRDefault="000147DB" w:rsidP="000147DB">
            <w:pPr>
              <w:rPr>
                <w:color w:val="FF0000"/>
                <w:spacing w:val="-4"/>
                <w:lang w:val="fr-FR"/>
              </w:rPr>
            </w:pPr>
          </w:p>
        </w:tc>
      </w:tr>
    </w:tbl>
    <w:p w14:paraId="5A53B0EB" w14:textId="77777777" w:rsidR="000147DB" w:rsidRPr="003E7524" w:rsidRDefault="000147DB" w:rsidP="000147DB">
      <w:pPr>
        <w:autoSpaceDE w:val="0"/>
        <w:autoSpaceDN w:val="0"/>
        <w:adjustRightInd w:val="0"/>
        <w:spacing w:after="0"/>
        <w:jc w:val="center"/>
        <w:rPr>
          <w:rFonts w:cs="TimesNewRoman"/>
          <w:color w:val="FF0000"/>
          <w:sz w:val="24"/>
          <w:szCs w:val="24"/>
          <w:u w:val="single"/>
          <w:lang w:val="fr-LU" w:eastAsia="fr-BE"/>
        </w:rPr>
      </w:pPr>
    </w:p>
    <w:p w14:paraId="57B71326" w14:textId="77777777" w:rsidR="000147DB" w:rsidRPr="003E7524" w:rsidRDefault="000147DB" w:rsidP="000147DB">
      <w:pPr>
        <w:autoSpaceDE w:val="0"/>
        <w:autoSpaceDN w:val="0"/>
        <w:adjustRightInd w:val="0"/>
        <w:spacing w:after="0"/>
        <w:jc w:val="center"/>
        <w:rPr>
          <w:rFonts w:cs="TimesNewRoman"/>
          <w:color w:val="FF0000"/>
          <w:sz w:val="24"/>
          <w:szCs w:val="24"/>
          <w:lang w:val="fr-LU" w:eastAsia="fr-BE"/>
        </w:rPr>
      </w:pPr>
    </w:p>
    <w:p w14:paraId="25668959" w14:textId="77777777" w:rsidR="000147DB" w:rsidRPr="003E7524" w:rsidRDefault="000147DB" w:rsidP="000147DB">
      <w:pPr>
        <w:autoSpaceDE w:val="0"/>
        <w:autoSpaceDN w:val="0"/>
        <w:adjustRightInd w:val="0"/>
        <w:spacing w:after="0"/>
        <w:rPr>
          <w:rFonts w:cs="TimesNewRoman"/>
          <w:sz w:val="24"/>
          <w:szCs w:val="24"/>
          <w:lang w:val="fr-FR" w:eastAsia="fr-BE"/>
        </w:rPr>
      </w:pPr>
    </w:p>
    <w:p w14:paraId="69AFEE6D" w14:textId="77777777" w:rsidR="00C660B5" w:rsidRPr="003E7524" w:rsidRDefault="00C660B5"/>
    <w:sectPr w:rsidR="00C660B5" w:rsidRPr="003E75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8458A" w14:textId="77777777" w:rsidR="003C254F" w:rsidRDefault="003C254F" w:rsidP="003C254F">
      <w:pPr>
        <w:spacing w:after="0" w:line="240" w:lineRule="auto"/>
      </w:pPr>
      <w:r>
        <w:separator/>
      </w:r>
    </w:p>
  </w:endnote>
  <w:endnote w:type="continuationSeparator" w:id="0">
    <w:p w14:paraId="35B964F2" w14:textId="77777777" w:rsidR="003C254F" w:rsidRDefault="003C254F" w:rsidP="003C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3BA9B" w14:textId="77777777" w:rsidR="003C254F" w:rsidRDefault="003C254F" w:rsidP="003C254F">
      <w:pPr>
        <w:spacing w:after="0" w:line="240" w:lineRule="auto"/>
      </w:pPr>
      <w:r>
        <w:separator/>
      </w:r>
    </w:p>
  </w:footnote>
  <w:footnote w:type="continuationSeparator" w:id="0">
    <w:p w14:paraId="6D1E3EA3" w14:textId="77777777" w:rsidR="003C254F" w:rsidRDefault="003C254F" w:rsidP="003C2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DB"/>
    <w:rsid w:val="000147DB"/>
    <w:rsid w:val="002F5A31"/>
    <w:rsid w:val="003C254F"/>
    <w:rsid w:val="003E7524"/>
    <w:rsid w:val="00471E09"/>
    <w:rsid w:val="005E4757"/>
    <w:rsid w:val="006432AD"/>
    <w:rsid w:val="00680045"/>
    <w:rsid w:val="00747C65"/>
    <w:rsid w:val="00B972B3"/>
    <w:rsid w:val="00C660B5"/>
    <w:rsid w:val="00C67B48"/>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E43"/>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 w:type="paragraph" w:styleId="Header">
    <w:name w:val="header"/>
    <w:basedOn w:val="Normal"/>
    <w:link w:val="HeaderChar"/>
    <w:uiPriority w:val="99"/>
    <w:unhideWhenUsed/>
    <w:rsid w:val="003C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4F"/>
  </w:style>
  <w:style w:type="paragraph" w:styleId="Footer">
    <w:name w:val="footer"/>
    <w:basedOn w:val="Normal"/>
    <w:link w:val="FooterChar"/>
    <w:uiPriority w:val="99"/>
    <w:unhideWhenUsed/>
    <w:rsid w:val="003C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lux.public.lu/eli/etat/leg/loi/2012/03/21/n1/j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21</Pages>
  <Words>7182</Words>
  <Characters>40940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4</cp:revision>
  <dcterms:created xsi:type="dcterms:W3CDTF">2020-07-27T11:52:00Z</dcterms:created>
  <dcterms:modified xsi:type="dcterms:W3CDTF">2020-08-13T05:55:00Z</dcterms:modified>
</cp:coreProperties>
</file>