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ET-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21. märtsi 2017. aasta seadus pakendite ja pakendijäätmete kohta</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Kooskõlastatud tekst</w:t>
      </w:r>
    </w:p>
    <w:p w14:paraId="7D923E4A" w14:textId="77777777" w:rsidR="000147DB" w:rsidRPr="005C2E9A" w:rsidRDefault="000147DB" w:rsidP="002F5A31">
      <w:pPr>
        <w:keepNext/>
        <w:keepLines/>
        <w:autoSpaceDE w:val="0"/>
        <w:autoSpaceDN w:val="0"/>
        <w:adjustRightInd w:val="0"/>
        <w:spacing w:after="120" w:line="276" w:lineRule="auto"/>
        <w:jc w:val="center"/>
        <w:rPr>
          <w:rFonts w:cs="Times New Roman"/>
          <w:b/>
          <w:sz w:val="24"/>
          <w:szCs w:val="24"/>
        </w:rPr>
      </w:pPr>
    </w:p>
    <w:p w14:paraId="6E6CA03B" w14:textId="77777777" w:rsidR="000147DB" w:rsidRPr="005C2E9A" w:rsidRDefault="000147DB" w:rsidP="002F5A31">
      <w:pPr>
        <w:keepNext/>
        <w:keepLines/>
        <w:spacing w:after="0" w:line="240" w:lineRule="auto"/>
        <w:jc w:val="both"/>
        <w:rPr>
          <w:rFonts w:eastAsia="Times New Roman" w:cs="Arial"/>
          <w:b/>
          <w:lang w:eastAsia="fr-FR"/>
        </w:rPr>
      </w:pPr>
    </w:p>
    <w:p w14:paraId="584BE14E" w14:textId="77777777" w:rsidR="000147DB" w:rsidRPr="005C2E9A" w:rsidRDefault="000147DB" w:rsidP="002F5A31">
      <w:pPr>
        <w:keepNext/>
        <w:keepLines/>
        <w:spacing w:after="0" w:line="240" w:lineRule="auto"/>
        <w:jc w:val="both"/>
        <w:rPr>
          <w:rFonts w:eastAsia="Times New Roman" w:cs="Arial"/>
          <w:b/>
          <w:lang w:eastAsia="fr-FR"/>
        </w:rPr>
      </w:pPr>
    </w:p>
    <w:p w14:paraId="720F607F" w14:textId="77777777" w:rsidR="000147DB" w:rsidRPr="005C2E9A" w:rsidRDefault="000147DB" w:rsidP="002F5A31">
      <w:pPr>
        <w:keepNext/>
        <w:keepLines/>
        <w:spacing w:after="0" w:line="240" w:lineRule="auto"/>
        <w:jc w:val="both"/>
        <w:rPr>
          <w:rFonts w:eastAsia="Times New Roman" w:cs="Arial"/>
          <w:b/>
          <w:color w:val="FF0000"/>
          <w:lang w:eastAsia="fr-FR"/>
        </w:rPr>
      </w:pPr>
    </w:p>
    <w:p w14:paraId="52F5EF4E" w14:textId="77777777" w:rsidR="000147DB" w:rsidRPr="005C2E9A" w:rsidRDefault="000147DB" w:rsidP="002F5A31">
      <w:pPr>
        <w:keepNext/>
        <w:keepLines/>
        <w:spacing w:after="0" w:line="240" w:lineRule="auto"/>
        <w:jc w:val="both"/>
        <w:rPr>
          <w:rFonts w:eastAsia="Times New Roman" w:cs="Arial"/>
          <w:b/>
          <w:color w:val="FF0000"/>
          <w:lang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Artikkel 1 Eesmärgid</w:t>
      </w:r>
    </w:p>
    <w:p w14:paraId="20EDAC04" w14:textId="472156F4"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Käesoleva seadusega nähakse ette meetmed, mille eesmärk on kõigepealt pakendijäätmete ärahoidmine ja muude aluspõhimõtetena pakendite korduskasutamine ja korduskasutamiseks ettevalmistamine, pakendijäätmete ringlussevõtt ja muud pakendijäätmete taaskasutamise viisid, ning sellest tulenevalt selliste jäätmete lõplikult kõrvaldatavate koguste vähendamine, et aidata kaasa ringmajandusele üleminekule.</w:t>
      </w:r>
    </w:p>
    <w:p w14:paraId="58ECE028" w14:textId="77777777" w:rsidR="000147DB" w:rsidRPr="005C2E9A" w:rsidRDefault="000147DB" w:rsidP="000147DB">
      <w:pPr>
        <w:spacing w:after="0" w:line="240" w:lineRule="auto"/>
        <w:jc w:val="both"/>
        <w:rPr>
          <w:rFonts w:eastAsia="Times New Roman" w:cs="Arial"/>
          <w:lang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Artikkel 2 </w:t>
      </w:r>
      <w:r>
        <w:rPr>
          <w:b/>
          <w:bCs/>
          <w:iCs/>
        </w:rPr>
        <w:t>Kohaldamisala</w:t>
      </w:r>
    </w:p>
    <w:p w14:paraId="10EC3FDA" w14:textId="77777777" w:rsidR="000147DB" w:rsidRPr="003E7524" w:rsidRDefault="000147DB" w:rsidP="000147DB">
      <w:pPr>
        <w:spacing w:after="0" w:line="240" w:lineRule="auto"/>
        <w:jc w:val="both"/>
        <w:rPr>
          <w:rFonts w:eastAsia="Times New Roman" w:cs="Arial"/>
        </w:rPr>
      </w:pPr>
      <w:r>
        <w:t>Käesolevat seadust kohaldatakse kõigi Luksemburgi turule viidavate pakendite ja pakendijäätmete suhtes, olenemata sellest, kas neid kasutavad või kõrvaldavad tööstusharud, ettevõtted, kontorid, töökojad, teenindusettevõtted, majapidamised, või tehakse seda muul tasandil, olenemata materjalidest, millest need koosnevad.</w:t>
      </w:r>
    </w:p>
    <w:p w14:paraId="525A371B" w14:textId="77777777" w:rsidR="000147DB" w:rsidRPr="005C2E9A" w:rsidRDefault="000147DB" w:rsidP="000147DB">
      <w:pPr>
        <w:spacing w:after="0" w:line="240" w:lineRule="auto"/>
        <w:jc w:val="both"/>
        <w:rPr>
          <w:rFonts w:eastAsia="Times New Roman" w:cs="Arial"/>
          <w:lang w:eastAsia="fr-FR"/>
        </w:rPr>
      </w:pPr>
    </w:p>
    <w:p w14:paraId="6A00E764" w14:textId="77777777" w:rsidR="000147DB" w:rsidRPr="005C2E9A" w:rsidRDefault="000147DB" w:rsidP="000147DB">
      <w:pPr>
        <w:spacing w:after="0" w:line="240" w:lineRule="auto"/>
        <w:jc w:val="center"/>
        <w:rPr>
          <w:rFonts w:eastAsia="Calibri" w:cs="Arial"/>
          <w:color w:val="FF0000"/>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Artikkel 3 Mõisted</w:t>
      </w:r>
    </w:p>
    <w:p w14:paraId="54FAB75E" w14:textId="77777777" w:rsidR="000147DB" w:rsidRPr="005C2E9A" w:rsidRDefault="000147DB" w:rsidP="002F5A31">
      <w:pPr>
        <w:keepNext/>
        <w:keepLines/>
        <w:autoSpaceDE w:val="0"/>
        <w:autoSpaceDN w:val="0"/>
        <w:adjustRightInd w:val="0"/>
        <w:spacing w:after="0" w:line="240" w:lineRule="auto"/>
        <w:jc w:val="both"/>
        <w:rPr>
          <w:rFonts w:eastAsia="Calibri" w:cs="TimesLTStd-Roman"/>
          <w:color w:val="FF0000"/>
          <w:sz w:val="24"/>
          <w:szCs w:val="24"/>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Käesolevas seaduses kasutatakse järgmisi mõisteid:</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ettevõtjad – pakendimaterjalide tarnijad, pakendite tootjad ja edasiarendajad, täitjad ja kasutajad, importijad, hulgimüüjad ja turustajad, asutused ja organisatsioonid;</w:t>
      </w:r>
    </w:p>
    <w:p w14:paraId="6FED5C43" w14:textId="6511BB5C"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keskkonnakokkulepe – ametlik kokkulepe keskkonnaministri (edaspidi „minister“) ja pakendikäitlejate või tunnustatud organisatsioonide vahel, mille võivad sõlmida kõik ettevõtjad, kes soovivad järgida kokkuleppes sätestatud tingimusi, et aidata kaasa artiklis 1 nimetatud eesmärkide saavutamisele;</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ümbristamine ja ümbris – toidu paigutamine asjaomase toiduga vahetus kokkupuutes olevasse ümbrisesse;</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pakendijäätmed – pakend või pakendimaterjal, mis on hõlmatud 21. märtsi 2012. aasta jäätmeid ja ressursse käsitleva muudetud seaduse (edaspidi „21. märtsi 2012. aasta seadus“) artiklis 4 esitatud jäätmete määratlusega, välja arvatud tootmisjäägid;</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kodumajapidamiste pakendijäätmed – pakendijäätmed, mille puhul on tegemist majapidamises tekkinud olmejäätmetega 21. märtsi 2012. aasta seaduse tähenduses;</w:t>
      </w:r>
    </w:p>
    <w:p w14:paraId="191FC248" w14:textId="744DA7C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mujal kui majapidamises tekkinud pakendijäätmed – pakendijäätmed, mille puhul on tegemist mujal kui majapidamises tekkinud olmejäätmetega 21. märtsi 2012. aasta seaduse tähenduses;</w:t>
      </w:r>
    </w:p>
    <w:p w14:paraId="726D0591" w14:textId="6229E0E5"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7. pakend – mis tahes materjalist valmistatud mis tahes laadi toode, mida kasutatakse kaupade kaitseks, käitlemiseks, kättetoimetamiseks ja esitlemiseks, mis võib olla mis tahes toormaterjali või töödeldud toote vormis ja mis antakse tootjalt edasi kasutajale või tarbijale.</w:t>
      </w:r>
    </w:p>
    <w:p w14:paraId="5B7B7B78" w14:textId="77777777" w:rsidR="000147DB" w:rsidRPr="005C2E9A" w:rsidRDefault="000147DB" w:rsidP="000147DB">
      <w:pPr>
        <w:autoSpaceDE w:val="0"/>
        <w:autoSpaceDN w:val="0"/>
        <w:adjustRightInd w:val="0"/>
        <w:spacing w:after="0" w:line="240" w:lineRule="auto"/>
        <w:jc w:val="both"/>
        <w:rPr>
          <w:rFonts w:eastAsia="Calibri" w:cs="TimesLTStd-Roman"/>
          <w:color w:val="FF0000"/>
          <w:sz w:val="24"/>
          <w:szCs w:val="24"/>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Samal eesmärgil kasutatavaid tagastamatuid tooteid tuleb samuti lugeda pakenditeks.</w:t>
      </w:r>
    </w:p>
    <w:p w14:paraId="4BBCE77A" w14:textId="77777777" w:rsidR="000147DB" w:rsidRPr="005C2E9A" w:rsidRDefault="000147DB" w:rsidP="000147DB">
      <w:pPr>
        <w:autoSpaceDE w:val="0"/>
        <w:autoSpaceDN w:val="0"/>
        <w:adjustRightInd w:val="0"/>
        <w:spacing w:after="0" w:line="240" w:lineRule="auto"/>
        <w:jc w:val="both"/>
        <w:rPr>
          <w:rFonts w:eastAsia="Calibri" w:cs="TimesLTStd-Roman"/>
          <w:color w:val="FF0000"/>
          <w:sz w:val="24"/>
          <w:szCs w:val="24"/>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Pakendite hulka kuuluvad üksnes järgmised:</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a) müügipakend või esmane pakend, mis on ette nähtud müügikohas lõppkasutajale või tarbijale müüdava kaubaüksuse pakendamiseks;</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rühmapakend või teisene pakend, mis on ette nähtud teatud hulga kaubaüksuste rühmitamiseks müügikohas, sõltumata sellest, kas see müüakse koos kaubaga lõppkasutajale või tarbijale või kasutatakse seda vaid riiulite täitmiseks müügikohas; selle eemaldamine tootelt ei põhjusta toote omaduste muutumist;</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veopakend või kolmandane pakend, mis on ette nähtud hulga kaubaüksuste või rühmapakendite käitlemise ja veo hõlbustamiseks, et vältida nende füüsilist käitlemist ja veokahjustusi. Veopakenditeks ei loeta maantee-, raudtee-, mere- ja õhuveokonteinereid.</w:t>
      </w:r>
    </w:p>
    <w:p w14:paraId="3E5427B4" w14:textId="77777777" w:rsidR="000147DB" w:rsidRPr="005C2E9A" w:rsidRDefault="000147DB" w:rsidP="000147DB">
      <w:pPr>
        <w:autoSpaceDE w:val="0"/>
        <w:autoSpaceDN w:val="0"/>
        <w:adjustRightInd w:val="0"/>
        <w:spacing w:after="0" w:line="240" w:lineRule="auto"/>
        <w:jc w:val="both"/>
        <w:rPr>
          <w:rFonts w:eastAsia="Calibri" w:cs="TimesLTStd-Roman"/>
          <w:color w:val="FF0000"/>
          <w:sz w:val="24"/>
          <w:szCs w:val="24"/>
        </w:rPr>
      </w:pPr>
    </w:p>
    <w:p w14:paraId="3D83FF34" w14:textId="7BA5912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Pakendi mõiste määratlus peab põhinema muu hulgas järgmistel kriteeriumidel.</w:t>
      </w:r>
    </w:p>
    <w:p w14:paraId="0BE24D6D" w14:textId="71F0047C"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Tooted loetakse pakendiks, kui need täidavad eespool nimetatud määratluse, ilma et see piiraks muid funktsioone, mida pakend võib samuti täita, välja arvatud siis, kui pakend on toote lahutamatu osa ning peab sisaldama, toetama või säilitama toodet kogu selle kasutusea jooksul ja kui kõik pakendi osad on mõeldud kasutamiseks, tarbimiseks või koos kõrvaldamiseks.</w:t>
      </w:r>
    </w:p>
    <w:p w14:paraId="03C118C8" w14:textId="1FE8F9BE"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Tooted, mis on kujundatud ja ette nähtud müügikohas täitmiseks ja ühekorratooted, mida müüakse, mis on täidetud või mis on ette nähtud müügikohas täitmiseks, loetakse pakendiks, kui need täidavad pakendi funktsiooni ja kujutavad endast teenusepakendit.</w:t>
      </w:r>
    </w:p>
    <w:p w14:paraId="21E05D64" w14:textId="6B7170C1"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Pakendi komponendid ja pakendiga liidetud lisaelemendid loetakse pakendiga liidetud pakendiosaks. Lisaelemendid, mis ripuvad vahetult toote küljes või on sinna kinnitatud ja mis täidavad pakkimise funktsiooni, loetakse pakendiks, kui need ei ole tootega liidetud osa ja kõik elemendid on ette nähtud tarbimiseks või koos kõrvaldamiseks.</w:t>
      </w:r>
    </w:p>
    <w:p w14:paraId="376B89AA" w14:textId="77777777" w:rsidR="000147DB" w:rsidRPr="005C2E9A" w:rsidRDefault="000147DB" w:rsidP="000147DB">
      <w:pPr>
        <w:autoSpaceDE w:val="0"/>
        <w:autoSpaceDN w:val="0"/>
        <w:adjustRightInd w:val="0"/>
        <w:spacing w:after="0" w:line="240" w:lineRule="auto"/>
        <w:jc w:val="both"/>
        <w:rPr>
          <w:rFonts w:eastAsia="Calibri" w:cs="TimesLTStd-Roman"/>
          <w:color w:val="FF0000"/>
          <w:sz w:val="24"/>
          <w:szCs w:val="24"/>
        </w:rPr>
      </w:pPr>
    </w:p>
    <w:p w14:paraId="338D0B69" w14:textId="79FF8FE0"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Euroopa Parlamendi ja nõukogu 20. detsembri 1994. aasta direktiivi 94/62/EÜ pakendite ja pakendijäätmete kohta, mida on muudetud Euroopa Komisjoni delegeeritud õigusaktidega, I lisas, mis on vastu võetud kooskõlas nimetatud direktiivi artikli 19 lõikega 2 ja artikliga 21a, loetletud artiklid on näited kõnealuste kriteeriumide kohaldamise kohta;</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8. korduskasutuspakend – olelusringi jooksul mitme veo- või kasutuskorra jaoks kavandatud, valmistatud ja turule lastud pakend, mida täidetakse või kasutatakse uuesti samal eesmärgil, milleks ta valmistati;</w:t>
      </w:r>
    </w:p>
    <w:p w14:paraId="01840540" w14:textId="5C3F76A4"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komposiitpakend – pakend, mis on valmistatud kahest või enamast eri materjalikihist, mida ei saa käsitsi üksteisest eraldada ning mis moodustavad ühe sisemisest mahutist ja välisümbrisest koosneva lahutamatu terviku, mida täidetakse, ladustatakse, transporditakse ja tühjendatakse;</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lastRenderedPageBreak/>
        <w:t>10. tsentraliseeritud käitlemine – süsteem, mis hõlmab tunnustatud organisatsiooni, kes vastutab pakendijäätmete kogumise eest alates kogumispunkti vabatahtlikust äratoomisest, eesmärgiga need ringlusse võtta;</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pakendijäätmete käitlemine – jäätmekäitlus, nagu on määratletud 21. märtsi 2012. aasta seaduse artiklis 4;</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pakkematerjal – looduslikust või kunstlikust materjalist mis tahes liht- või liitmaterjal, millest pakend koosneb;</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turul kättesaadavaks tegemine – toote tasu eest või tasuta tarnimine Luksemburgi turule äritegevuse käigus levitamiseks, tarbimiseks või kasutamiseks;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14. turule laskmine – toote Luksemburgi turul esimest korda kättesaadavaks tegemine;</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tunnustatud organisatsioon – vastavalt 21. märtsi 2012. aasta seadusele tunnustatud juriidiline isik, kes võtab endale laiendatud tootjavastutuse kohustused; </w:t>
      </w:r>
    </w:p>
    <w:p w14:paraId="3063727E" w14:textId="01CE96AC"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plast – polümeer Euroopa Parlamendi ja nõukogu 18. detsembri 2006. aasta määruse (EÜ) nr 1907/2006, mis käsitleb kemikaalide registreerimist, hindamist, autoriseerimist ja piiramist (REACH) ja millega asutatakse Euroopa Kemikaalide Agentuur ning muudetakse direktiivi 1999/45/EÜ ja tunnistatakse kehtetuks nõukogu määrus (EMÜ) nr 793/93, komisjoni määrus (EÜ) nr 1488/94 ning samuti nõukogu direktiiv 76/769/EMÜ ja komisjoni direktiivid 91/155/EMÜ, 93/67/EMÜ, 93/105/EÜ ja 2000/21/EÜ artikli 3 punkti 5 tähenduses, millele võib olla lisatud lisaaineid või muid aineid ja mis on suuteline toimima kottide peamise struktuurikomponendina;</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17. orgaaniline ringlussevõtt – pakendijäätmete biolagunevate osade aeroobne töötlemine (kompostimine) või anaeroobne töötlemine (biometaneerimine) mikroorganismide abil ja kontrolli all, nii et tulemuseks saadakse stabiliseeritud orgaanilised jäägid või metaan. Prügilasse viimist ei loeta orgaaniliseks ringlussevõtuks;</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pakendikäitleja – Luksemburgi Suurhertsogiriigis asutatud või mitte asutatud füüsiline või juriidiline isik, kes ametialaselt viib pakendatud tooteid Luksemburgi turule, sõltumata kasutatavast müügitehnikast, sealhulgas kauglepingute kaudu, nagu on määratletud tarbijaseadustiku artiklis L.222-1.</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Seoses teenusepakenditega loetakse pakendikäitlejaks iga isik, kes oma kutsetegevuse käigus teenusepakendeid toodab või impordib, et neid Luksemburgi turule viia;</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plastkandekott – plastist valmistatud sangadega või sangadeta kandekott, mille tarbija saab kaupade või toodete müügikohast;</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õhuke plastkandekott – plastkandekott, mis on õhem kui 50 mikronit;</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eriti õhuke plastkandekott – plastkandekott, mis on õhem kui 15 mikronit</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ning mis on nõutav hügieeni eesmärgil või mida kasutatakse esmase pakendina lahtiste toidukaupade puhul, kui see aitab vältida toidu raiskamist;</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oksüdantide toimel lagunev plastkandekott – plastkandekott, mis on valmistatud plastist ja mis sisaldab mikroosakesteks lagunemist põhjustavaid lisaaineid;</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tagatisraha süsteem – tagastamise süsteem, mille puhul vastuvõtja maksab rahasumma, mis talle kasutatud pakendi tagastamisel tagasi makstakse;</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turuosa määr – teatava ajavahemiku jooksul tekkinud vedelate toiduainete pakendite osakaal, milles lugeja on turule viidud, korduskasutatavasse pakendisse pakendatud ja riigi territooriumil tarbitud vedelate toiduainete maht, ning nimetaja riigi territooriumil turule viidud ja tarbitud vedelate toiduainete kogumaht;</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25. ringlussevõtu määr – teatava ajavahemiku jooksul tekkinud pakendijäätmete osakaal, milles lugeja on tegelikult ringlussevõetud pakendijäätmete mass ja nimetaja on pakendikäitleja poolt Luksemburgi turule viidud ja riigi territooriumil tarbitud taaskasutatavate pakendite kogumass.</w:t>
      </w:r>
    </w:p>
    <w:p w14:paraId="67C77E37" w14:textId="6D76ED18"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Nimetatud määratlus ei hõlma pakendeid, mida võib selle seaduse tähenduses korduskasutada;</w:t>
      </w:r>
    </w:p>
    <w:p w14:paraId="6B41F5CB" w14:textId="06729CCC" w:rsidR="000147DB" w:rsidRPr="00045E59"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045E59">
        <w:rPr>
          <w:color w:val="FF0000"/>
          <w:spacing w:val="-4"/>
          <w:sz w:val="24"/>
          <w:szCs w:val="24"/>
        </w:rPr>
        <w:t>26. taaskasutuse määr– teatava ajavahemiku jooksul tekkinud pakendijäätmete osakaal, milles lugeja on tegelikult taaskasutusse võetud pakendijäätmete mass ja nimetaja on pakendikäitleja poolt Luksemburgi turule viidud ja riigi territooriumil tarbitud taaskasutatavate pakendite kogumass;</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Nimetatud määratlus ei hõlma pakendeid, mida võib selle seaduse tähenduses korduskasutada;</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energia taaskasutamine – pakendite põlevjäätmete kasutamine energia saamiseks otsese põletamise teel koos muude jäätmetega või eraldi, mille puhul eraldub soojusenergia;</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Nimetatud määratlus ei hõlma pakendeid, mida võib selle seaduse tähenduses korduskasutada.</w:t>
      </w:r>
    </w:p>
    <w:p w14:paraId="2A33EF01" w14:textId="763F434D" w:rsidR="000147DB" w:rsidRPr="00045E59" w:rsidRDefault="000147DB" w:rsidP="000147DB">
      <w:pPr>
        <w:spacing w:beforeLines="100" w:before="240" w:after="240" w:line="240" w:lineRule="auto"/>
        <w:jc w:val="both"/>
        <w:rPr>
          <w:rFonts w:eastAsia="Calibri" w:cs="TimesNewRoman"/>
          <w:color w:val="FF0000"/>
          <w:spacing w:val="-2"/>
          <w:sz w:val="24"/>
          <w:szCs w:val="24"/>
        </w:rPr>
      </w:pPr>
      <w:r w:rsidRPr="00045E59">
        <w:rPr>
          <w:color w:val="FF0000"/>
          <w:spacing w:val="-2"/>
          <w:sz w:val="24"/>
          <w:szCs w:val="24"/>
        </w:rPr>
        <w:t xml:space="preserve">Kohaldatakse mõistete „jäätmed“, „olmejäätmed“, „majapidamises tekkinud olmejäätmed“, „mujal kui majapidamises tekkinud olmejäätmed“, „jäätmekäitlus“, „kogumine“, „liigiti kogumine“, „vältimine“, „korduskasutamine“, „korduskasutamiseks ettevalmistamine”,„töötlemine“, „taaskasutamine“, „ringlussevõtt“, „kvaliteetne ringlussevõtt“, „kõrvaldamine“, „ressursikeskus“ ja „laiendatud tootjavastutuse kord“ määratlusi, mis on sätestatud 21. märtsi 2012. aasta seaduse artiklis 4. </w:t>
      </w:r>
    </w:p>
    <w:p w14:paraId="2564CAE3" w14:textId="77777777" w:rsidR="000147DB" w:rsidRPr="005C2E9A" w:rsidRDefault="000147DB" w:rsidP="000147DB">
      <w:pPr>
        <w:spacing w:after="0" w:line="240" w:lineRule="auto"/>
        <w:jc w:val="both"/>
        <w:rPr>
          <w:rFonts w:eastAsia="Times New Roman" w:cs="Arial"/>
          <w:lang w:eastAsia="fr-FR"/>
        </w:rPr>
      </w:pPr>
    </w:p>
    <w:p w14:paraId="26C831EB" w14:textId="77777777" w:rsidR="000147DB" w:rsidRPr="005C2E9A" w:rsidRDefault="000147DB" w:rsidP="000147DB">
      <w:pPr>
        <w:spacing w:after="0" w:line="240" w:lineRule="auto"/>
        <w:jc w:val="both"/>
        <w:rPr>
          <w:rFonts w:eastAsia="Times New Roman" w:cs="Arial"/>
          <w:lang w:eastAsia="fr-FR"/>
        </w:rPr>
      </w:pPr>
    </w:p>
    <w:p w14:paraId="692FDAD6" w14:textId="7405D7E2" w:rsidR="000147DB" w:rsidRPr="003E7524" w:rsidRDefault="000147DB" w:rsidP="002F5A31">
      <w:pPr>
        <w:keepNext/>
        <w:keepLines/>
        <w:spacing w:after="0" w:line="240" w:lineRule="auto"/>
        <w:jc w:val="both"/>
        <w:rPr>
          <w:rFonts w:eastAsia="Times New Roman" w:cs="Arial"/>
          <w:b/>
          <w:iCs/>
        </w:rPr>
      </w:pPr>
      <w:r>
        <w:rPr>
          <w:b/>
          <w:iCs/>
        </w:rPr>
        <w:t>Artikkel 4 Ennetamine ja korduskasutamine ning keskkonnakokkulepped</w:t>
      </w:r>
    </w:p>
    <w:p w14:paraId="6BEB351B" w14:textId="77777777" w:rsidR="000147DB" w:rsidRPr="005C2E9A" w:rsidRDefault="000147DB" w:rsidP="002F5A31">
      <w:pPr>
        <w:keepNext/>
        <w:keepLines/>
        <w:spacing w:after="0" w:line="240" w:lineRule="auto"/>
        <w:jc w:val="both"/>
        <w:rPr>
          <w:rFonts w:eastAsia="Times New Roman" w:cs="Arial"/>
          <w:b/>
          <w:iCs/>
          <w:lang w:val="de-DE" w:eastAsia="fr-FR"/>
        </w:rPr>
      </w:pPr>
    </w:p>
    <w:p w14:paraId="39614631" w14:textId="77777777" w:rsidR="000147DB" w:rsidRPr="005C2E9A" w:rsidRDefault="000147DB" w:rsidP="002F5A31">
      <w:pPr>
        <w:keepNext/>
        <w:keepLines/>
        <w:spacing w:after="0" w:line="240" w:lineRule="auto"/>
        <w:jc w:val="both"/>
        <w:rPr>
          <w:rFonts w:eastAsia="Times New Roman" w:cs="Arial"/>
          <w:color w:val="FF0000"/>
          <w:lang w:val="de-DE"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Lisaks artikli 9 kohaselt võetud pakendijäätmete tekke vältimise meetmetele, ilma et see piiraks lõike 2 kohaldamist, võib minister sõlmida keskkonnakokkuleppeid, mis vastavad artikli 1 eesmärkidele ja mille eesmärk on peamiselt vähendada pakendite keskkonnamõju ja vältida pakendijäätmete teket. Nende kokkulepetega võib näha ette avalikkuse teavitamise ja teadlikkuse tõstmise kampaaniaid.</w:t>
      </w:r>
    </w:p>
    <w:p w14:paraId="0A4A972F" w14:textId="77777777" w:rsidR="000147DB" w:rsidRPr="005C2E9A" w:rsidRDefault="000147DB" w:rsidP="000147DB">
      <w:pPr>
        <w:spacing w:after="0" w:line="240" w:lineRule="auto"/>
        <w:jc w:val="both"/>
        <w:rPr>
          <w:rFonts w:eastAsia="Times New Roman" w:cs="Arial"/>
          <w:color w:val="FF0000"/>
          <w:lang w:eastAsia="fr-FR"/>
        </w:rPr>
      </w:pPr>
    </w:p>
    <w:p w14:paraId="6A969234" w14:textId="77777777" w:rsidR="000147DB" w:rsidRPr="005C2E9A" w:rsidRDefault="000147DB" w:rsidP="000147DB">
      <w:pPr>
        <w:spacing w:after="0" w:line="240" w:lineRule="auto"/>
        <w:jc w:val="both"/>
        <w:rPr>
          <w:rFonts w:eastAsia="Times New Roman" w:cs="Arial"/>
          <w:lang w:eastAsia="fr-FR"/>
        </w:rPr>
      </w:pPr>
    </w:p>
    <w:p w14:paraId="2D73D492" w14:textId="77777777" w:rsidR="000147DB" w:rsidRPr="003E7524" w:rsidRDefault="000147DB" w:rsidP="000147DB">
      <w:pPr>
        <w:spacing w:after="0" w:line="240" w:lineRule="auto"/>
        <w:jc w:val="both"/>
        <w:rPr>
          <w:rFonts w:eastAsia="Times New Roman" w:cs="Arial"/>
        </w:rPr>
      </w:pPr>
      <w:r>
        <w:t>Seoses pakendite ja muude toodete tootmisega võivad keskkonnakokkulepped edendada ringlussevõetud pakendijäätmetest saadud materjalide kasutamist, parandades nende materjalide turutingimusi.</w:t>
      </w:r>
    </w:p>
    <w:p w14:paraId="4FAEAC4C" w14:textId="3D2B27B6" w:rsidR="000147DB" w:rsidRPr="003E7524" w:rsidRDefault="000147DB" w:rsidP="000147DB">
      <w:pPr>
        <w:spacing w:after="0" w:line="240" w:lineRule="auto"/>
        <w:jc w:val="both"/>
        <w:rPr>
          <w:rFonts w:eastAsia="Times New Roman" w:cs="Arial"/>
        </w:rPr>
      </w:pPr>
      <w:r>
        <w:t>Seoses vedelate toiduainete ja muude toodete pakenditega võib keskkonnakokkulepetega määratleda korduskasutatavate pakendite tootmise ja turuleviimise edendamise tingimused ning näha ette turuosa määradega seotud eesmärgid. Käesolev seadus ei piira sellist pakendite säilitamise ega kasutuselevõtu korda, mis tagab pakendite korduskasutamise tagatisraha süsteemi vormis või muul sobival kujul vastavalt artiklis 1 nimetatud eesmärkidele.</w:t>
      </w:r>
    </w:p>
    <w:p w14:paraId="7B14AF7B" w14:textId="77777777" w:rsidR="000147DB" w:rsidRPr="003E7524" w:rsidRDefault="000147DB" w:rsidP="000147DB">
      <w:pPr>
        <w:spacing w:after="0" w:line="240" w:lineRule="auto"/>
        <w:jc w:val="both"/>
        <w:rPr>
          <w:rFonts w:eastAsia="Times New Roman" w:cs="Arial"/>
        </w:rPr>
      </w:pPr>
      <w:r>
        <w:t>(2) Muud ennetusmeetmed, sealhulgas uuringud ja katseprojektid, võidakse vastavalt 21. märtsi 2012. aasta seadusele kindlaks määrata riikliku jäätmekavaga ja vajaduse korral erikavaga.</w:t>
      </w:r>
    </w:p>
    <w:p w14:paraId="639CF3A6" w14:textId="77777777" w:rsidR="000147DB" w:rsidRPr="005C2E9A" w:rsidRDefault="000147DB" w:rsidP="000147DB">
      <w:pPr>
        <w:spacing w:after="0" w:line="240" w:lineRule="auto"/>
        <w:jc w:val="both"/>
        <w:rPr>
          <w:rFonts w:eastAsia="Times New Roman" w:cs="Arial"/>
          <w:lang w:eastAsia="fr-FR"/>
        </w:rPr>
      </w:pPr>
    </w:p>
    <w:p w14:paraId="173C0BC9" w14:textId="77777777" w:rsidR="000147DB" w:rsidRPr="005C2E9A" w:rsidRDefault="000147DB" w:rsidP="000147DB">
      <w:pPr>
        <w:spacing w:after="0" w:line="240" w:lineRule="auto"/>
        <w:jc w:val="both"/>
        <w:rPr>
          <w:rFonts w:eastAsia="Times New Roman" w:cs="Arial"/>
          <w:lang w:eastAsia="fr-FR"/>
        </w:rPr>
      </w:pPr>
    </w:p>
    <w:p w14:paraId="759CE7BF" w14:textId="77777777" w:rsidR="000147DB" w:rsidRPr="005C2E9A" w:rsidRDefault="000147DB" w:rsidP="000147DB">
      <w:pPr>
        <w:spacing w:after="0" w:line="240" w:lineRule="auto"/>
        <w:jc w:val="both"/>
        <w:rPr>
          <w:rFonts w:eastAsia="Times New Roman" w:cs="Arial"/>
          <w:strike/>
          <w:lang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lastRenderedPageBreak/>
        <w:t xml:space="preserve">Artikkel 5 Pakendite vähendamine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Pakendite tarbimise kestlikuks vähendamiseks Luksemburgi territooriumil võetakse järgmised meetmed.</w:t>
      </w:r>
    </w:p>
    <w:p w14:paraId="1921772D" w14:textId="3B9F3A19"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 xml:space="preserve">1. </w:t>
      </w:r>
      <w:r>
        <w:rPr>
          <w:color w:val="FF0000"/>
          <w:sz w:val="24"/>
          <w:szCs w:val="24"/>
        </w:rPr>
        <w:tab/>
        <w:t>i) Alates 1. jaanuarist 2022 peavad kõik jaemüügikauplused, kes pakuvad müügiks III lisas loetletud värskeid puu- ja köögivilju, sealhulgas kooritud või tükeldatud puu- ja köögivilju, panema need müügile ilma pakendita, mis on täielikult või osaliselt valmistatud plastmaterjalist. Seda kohustust ei kohaldata puu- ja köögivilja suhtes, mis on pakendatud vähemalt 1,5-kilogrammiste pakkide kaupa; </w:t>
      </w:r>
    </w:p>
    <w:p w14:paraId="33E5B6DD" w14:textId="77777777" w:rsidR="000147DB" w:rsidRPr="005C2E9A" w:rsidRDefault="000147DB" w:rsidP="000147DB">
      <w:pPr>
        <w:pStyle w:val="Liste10"/>
        <w:spacing w:before="240"/>
        <w:ind w:left="360"/>
        <w:rPr>
          <w:rFonts w:cs="TimesNewRoman"/>
          <w:b/>
          <w:sz w:val="24"/>
          <w:szCs w:val="24"/>
          <w:lang w:eastAsia="fr-BE"/>
        </w:rPr>
      </w:pPr>
    </w:p>
    <w:p w14:paraId="0EA51AFF" w14:textId="6684A7C6"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õhukeste plastkandekottide aastane tarbimistase ei tohi 31. detsembri 2019. aasta seisuga ületada 90 ühikut inimese kohta ja 31. detsembri 2025. aasta seisuga 40 ühikut inimese kohta. Välja on arvatud eriti õhukesed platskandekotid artikli 3 punkti 5 tähenduses;</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kaupade või toodete müügikohtades ei pakuta tasuta plastkandekotte. Välja on arvatud eriti õhukesed platskandekotid artikli 3 punkti 5 tähenduses;</w:t>
      </w:r>
    </w:p>
    <w:p w14:paraId="58896EE4" w14:textId="0A2536D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järgmisi teenusepakendeid ei või kaupade ega toodete müügikohtades tasuta pakkuda vastavalt järgmisele ajakavale: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alates 1. jaanuarist 2023 kandekotte, sõltumata materjalist, millest nad koosnevad;</w:t>
      </w:r>
    </w:p>
    <w:p w14:paraId="03DEAD8E" w14:textId="50B59CC3"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alates 1. jaanuarist 2024 teatavate plasttoodete keskkonnamõju hindamise seaduse lisa A osas loetletud teenusepakendeid, mille puhul on tegemist ühekordse kasutusega toodetega, sõltumata materjalist, millest need koosnevad;</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alates 1. jaanuarist 2025 mis tahes teenusepakendeid.</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t xml:space="preserve">(2) </w:t>
      </w:r>
      <w:r>
        <w:rPr>
          <w:bCs/>
          <w:color w:val="FF0000"/>
          <w:sz w:val="24"/>
          <w:szCs w:val="24"/>
        </w:rPr>
        <w:t>Lõike</w:t>
      </w:r>
      <w:r>
        <w:rPr>
          <w:color w:val="FF0000"/>
          <w:sz w:val="24"/>
          <w:szCs w:val="24"/>
        </w:rPr>
        <w:t xml:space="preserve"> 1 </w:t>
      </w:r>
      <w:r>
        <w:rPr>
          <w:bCs/>
          <w:color w:val="FF0000"/>
          <w:sz w:val="24"/>
          <w:szCs w:val="24"/>
        </w:rPr>
        <w:t>punktides 3 ja 4</w:t>
      </w:r>
      <w:r>
        <w:rPr>
          <w:color w:val="FF0000"/>
          <w:sz w:val="24"/>
          <w:szCs w:val="24"/>
        </w:rPr>
        <w:t xml:space="preserve"> </w:t>
      </w:r>
      <w:r>
        <w:rPr>
          <w:bCs/>
          <w:color w:val="FF0000"/>
          <w:sz w:val="24"/>
          <w:szCs w:val="24"/>
        </w:rPr>
        <w:t>nimetatud toodetel</w:t>
      </w:r>
      <w:r>
        <w:rPr>
          <w:color w:val="FF0000"/>
          <w:sz w:val="24"/>
          <w:szCs w:val="24"/>
        </w:rPr>
        <w:t xml:space="preserve"> </w:t>
      </w:r>
      <w:r>
        <w:rPr>
          <w:bCs/>
          <w:color w:val="FF0000"/>
          <w:sz w:val="24"/>
          <w:szCs w:val="24"/>
        </w:rPr>
        <w:t>peab olema hoiatav hind, mis tuleb müügikohas ja arvel näidata eraldi ja nähtavalt. Miinimumhinna saab kindlaks määrata keskkonnakokkuleppega.</w:t>
      </w:r>
    </w:p>
    <w:p w14:paraId="4B8B74C5" w14:textId="77777777" w:rsidR="000147DB" w:rsidRPr="005C2E9A" w:rsidRDefault="000147DB" w:rsidP="000147DB">
      <w:pPr>
        <w:spacing w:after="0" w:line="240" w:lineRule="auto"/>
        <w:jc w:val="both"/>
        <w:rPr>
          <w:rFonts w:eastAsia="Times New Roman" w:cs="Arial"/>
          <w:color w:val="FF0000"/>
          <w:lang w:eastAsia="fr-FR"/>
        </w:rPr>
      </w:pPr>
    </w:p>
    <w:p w14:paraId="400B8D39" w14:textId="624BC9B1"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Artikkel 5</w:t>
      </w:r>
      <w:r>
        <w:rPr>
          <w:i/>
          <w:iCs/>
          <w:color w:val="FF0000"/>
          <w:sz w:val="24"/>
          <w:szCs w:val="24"/>
          <w:u w:val="single"/>
        </w:rPr>
        <w:t>a</w:t>
      </w:r>
      <w:r>
        <w:rPr>
          <w:color w:val="FF0000"/>
          <w:sz w:val="24"/>
          <w:szCs w:val="24"/>
          <w:u w:val="single"/>
        </w:rPr>
        <w:t xml:space="preserve"> Korduskasutus </w:t>
      </w:r>
    </w:p>
    <w:p w14:paraId="163598FA" w14:textId="77777777" w:rsidR="000147DB" w:rsidRPr="003E7524" w:rsidRDefault="000147DB" w:rsidP="000147DB">
      <w:pPr>
        <w:jc w:val="both"/>
        <w:rPr>
          <w:color w:val="FF0000"/>
          <w:sz w:val="24"/>
        </w:rPr>
      </w:pPr>
      <w:r>
        <w:rPr>
          <w:color w:val="FF0000"/>
          <w:sz w:val="24"/>
        </w:rPr>
        <w:t>Kooskõlas 21. märtsi 2012. aasta seaduse artiklis 9 kehtestatud jäätmehierarhiaga võib minister sõlmida keskkonnakokkuleppeid, et soodustada turule viidud keskkonnasõbralike korduskasutatavate pakendite ja pakendite kordukasutamise süsteemide osakaalu suurenemist.</w:t>
      </w:r>
    </w:p>
    <w:p w14:paraId="213A7D6C" w14:textId="77777777" w:rsidR="000147DB" w:rsidRPr="003E7524" w:rsidRDefault="000147DB" w:rsidP="002F5A31">
      <w:pPr>
        <w:keepNext/>
        <w:keepLines/>
        <w:jc w:val="both"/>
        <w:rPr>
          <w:color w:val="FF0000"/>
          <w:sz w:val="24"/>
        </w:rPr>
      </w:pPr>
      <w:r>
        <w:rPr>
          <w:color w:val="FF0000"/>
          <w:sz w:val="24"/>
        </w:rPr>
        <w:t xml:space="preserve">Need kokkulepped võivad muu hulgas sisaldada järgmist: </w:t>
      </w:r>
    </w:p>
    <w:p w14:paraId="5BEA6077" w14:textId="108577E0" w:rsidR="000147DB" w:rsidRPr="003E7524" w:rsidRDefault="000147DB" w:rsidP="000147DB">
      <w:pPr>
        <w:jc w:val="both"/>
        <w:rPr>
          <w:color w:val="FF0000"/>
          <w:sz w:val="24"/>
        </w:rPr>
      </w:pPr>
      <w:r>
        <w:rPr>
          <w:color w:val="FF0000"/>
          <w:sz w:val="24"/>
        </w:rPr>
        <w:t>1. tagatisraha süsteemide kasutamine;</w:t>
      </w:r>
    </w:p>
    <w:p w14:paraId="498392F7" w14:textId="6B54876B" w:rsidR="000147DB" w:rsidRPr="003E7524" w:rsidRDefault="000147DB" w:rsidP="000147DB">
      <w:pPr>
        <w:jc w:val="both"/>
        <w:rPr>
          <w:color w:val="FF0000"/>
          <w:sz w:val="24"/>
        </w:rPr>
      </w:pPr>
      <w:r>
        <w:rPr>
          <w:color w:val="FF0000"/>
          <w:sz w:val="24"/>
        </w:rPr>
        <w:lastRenderedPageBreak/>
        <w:t>2. kvalitatiivsete või kvantitatiivsete eesmärkide määratlemine;</w:t>
      </w:r>
    </w:p>
    <w:p w14:paraId="57A9F07C" w14:textId="24DBF2CF" w:rsidR="000147DB" w:rsidRPr="003E7524" w:rsidRDefault="000147DB" w:rsidP="000147DB">
      <w:pPr>
        <w:jc w:val="both"/>
        <w:rPr>
          <w:color w:val="FF0000"/>
          <w:sz w:val="24"/>
        </w:rPr>
      </w:pPr>
      <w:r>
        <w:rPr>
          <w:color w:val="FF0000"/>
          <w:sz w:val="24"/>
        </w:rPr>
        <w:t>3. majanduslike stiimulite kasutamine;</w:t>
      </w:r>
    </w:p>
    <w:p w14:paraId="2D7BAE53" w14:textId="24FEA812" w:rsidR="000147DB" w:rsidRPr="003E7524" w:rsidRDefault="000147DB" w:rsidP="000147DB">
      <w:pPr>
        <w:jc w:val="both"/>
        <w:rPr>
          <w:color w:val="FF0000"/>
          <w:sz w:val="24"/>
        </w:rPr>
      </w:pPr>
      <w:r>
        <w:rPr>
          <w:color w:val="FF0000"/>
          <w:sz w:val="24"/>
        </w:rPr>
        <w:t>4. igal aastal turule viidavate korduskasutatavate pakendite minimaalse osakaalu määratlemine iga pakendivoo puhul.</w:t>
      </w:r>
    </w:p>
    <w:p w14:paraId="7CDB617E" w14:textId="77777777" w:rsidR="000147DB" w:rsidRPr="005C2E9A" w:rsidRDefault="000147DB" w:rsidP="000147DB">
      <w:pPr>
        <w:spacing w:after="0" w:line="240" w:lineRule="auto"/>
        <w:jc w:val="both"/>
        <w:rPr>
          <w:rFonts w:eastAsia="Times New Roman" w:cs="Arial"/>
          <w:lang w:eastAsia="fr-FR"/>
        </w:rPr>
      </w:pPr>
    </w:p>
    <w:p w14:paraId="07381996" w14:textId="77777777" w:rsidR="000147DB" w:rsidRPr="005C2E9A" w:rsidRDefault="000147DB" w:rsidP="000147DB">
      <w:pPr>
        <w:spacing w:after="0" w:line="240" w:lineRule="auto"/>
        <w:jc w:val="both"/>
        <w:rPr>
          <w:rFonts w:eastAsia="Times New Roman" w:cs="Arial"/>
          <w:lang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Artikkel 6 Taaskasutamine ja ringlussevõtt</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Pakendikäitlejad peavad täitma järgmisi miinimumnõudeid: </w:t>
      </w:r>
    </w:p>
    <w:p w14:paraId="135701C7" w14:textId="58828F35" w:rsidR="000147DB" w:rsidRPr="003E7524" w:rsidRDefault="000147DB" w:rsidP="000147DB">
      <w:pPr>
        <w:pStyle w:val="Liste10"/>
        <w:spacing w:before="240"/>
        <w:rPr>
          <w:rFonts w:cs="TimesNewRoman"/>
          <w:b/>
          <w:color w:val="FF0000"/>
          <w:sz w:val="24"/>
          <w:szCs w:val="24"/>
        </w:rPr>
      </w:pPr>
      <w:r>
        <w:rPr>
          <w:color w:val="FF0000"/>
          <w:sz w:val="24"/>
          <w:szCs w:val="24"/>
        </w:rPr>
        <w:t>1) energia taaskasutamisega jäätmepõletustehastes taaskasutatakse või põletatakse 65% pakendijäätmete massist;</w:t>
      </w:r>
    </w:p>
    <w:p w14:paraId="0BEBEC70" w14:textId="77516744" w:rsidR="000147DB" w:rsidRPr="003E7524" w:rsidRDefault="000147DB" w:rsidP="000147DB">
      <w:pPr>
        <w:pStyle w:val="Liste10"/>
        <w:spacing w:before="240"/>
        <w:rPr>
          <w:rFonts w:cs="TimesNewRoman"/>
          <w:b/>
          <w:color w:val="FF0000"/>
          <w:sz w:val="24"/>
          <w:szCs w:val="24"/>
        </w:rPr>
      </w:pPr>
      <w:r>
        <w:rPr>
          <w:color w:val="FF0000"/>
          <w:sz w:val="24"/>
          <w:szCs w:val="24"/>
        </w:rPr>
        <w:t>2) 60% pakendijäätmete massist võetakse ringlusse, tagades, et ringlusse võetakse pakendijäätmetes sisalduvate järgmiste materjalide massist vähemalt: 60% klaasist, 60% paberist ja kartongist, 50% metallist, 22,5% plastidest, arvestades ainult neid materjale, mis on ringlusse võetud plasti kujul, ja 15% puidust;</w:t>
      </w:r>
    </w:p>
    <w:p w14:paraId="74DA408D" w14:textId="08F39371" w:rsidR="000147DB" w:rsidRPr="00045E59" w:rsidRDefault="000147DB" w:rsidP="000147DB">
      <w:pPr>
        <w:pStyle w:val="Liste10"/>
        <w:spacing w:before="240"/>
        <w:rPr>
          <w:rFonts w:cs="TimesNewRoman"/>
          <w:b/>
          <w:color w:val="FF0000"/>
          <w:spacing w:val="-4"/>
          <w:sz w:val="24"/>
          <w:szCs w:val="24"/>
        </w:rPr>
      </w:pPr>
      <w:r w:rsidRPr="00045E59">
        <w:rPr>
          <w:color w:val="FF0000"/>
          <w:spacing w:val="-4"/>
          <w:sz w:val="24"/>
          <w:szCs w:val="24"/>
        </w:rPr>
        <w:t>3) hiljemalt 31. detsembriks 2025 võetakse ringlusse vähemalt 65% kogu pakendijäätmete massist;</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hiljemalt 31. detsembriks 2025 tuleb ringlusse võtta pakendijäätmetes sisalduvate järgmiste materjalide massist vähemalt:</w:t>
      </w:r>
    </w:p>
    <w:p w14:paraId="28C5FBC2" w14:textId="036C13B9" w:rsidR="000147DB" w:rsidRPr="003E7524" w:rsidRDefault="000147DB" w:rsidP="000147DB">
      <w:pPr>
        <w:pStyle w:val="Liste10"/>
        <w:spacing w:before="240"/>
        <w:ind w:left="851"/>
        <w:rPr>
          <w:rFonts w:cs="TimesNewRoman"/>
          <w:b/>
          <w:color w:val="FF0000"/>
          <w:sz w:val="24"/>
          <w:szCs w:val="24"/>
        </w:rPr>
      </w:pPr>
      <w:r>
        <w:rPr>
          <w:color w:val="FF0000"/>
          <w:sz w:val="24"/>
          <w:szCs w:val="24"/>
        </w:rPr>
        <w:t>a) 50% plastist;</w:t>
      </w:r>
    </w:p>
    <w:p w14:paraId="4E57FAF2" w14:textId="643D4020" w:rsidR="000147DB" w:rsidRPr="003E7524" w:rsidRDefault="000147DB" w:rsidP="000147DB">
      <w:pPr>
        <w:pStyle w:val="Liste10"/>
        <w:spacing w:before="240"/>
        <w:ind w:left="851"/>
        <w:rPr>
          <w:rFonts w:cs="TimesNewRoman"/>
          <w:b/>
          <w:color w:val="FF0000"/>
          <w:sz w:val="24"/>
          <w:szCs w:val="24"/>
        </w:rPr>
      </w:pPr>
      <w:r>
        <w:rPr>
          <w:color w:val="FF0000"/>
          <w:sz w:val="24"/>
          <w:szCs w:val="24"/>
        </w:rPr>
        <w:t>a) 25% puidust;</w:t>
      </w:r>
    </w:p>
    <w:p w14:paraId="2042FBF8" w14:textId="1CD1F401" w:rsidR="000147DB" w:rsidRPr="003E7524" w:rsidRDefault="000147DB" w:rsidP="000147DB">
      <w:pPr>
        <w:pStyle w:val="Liste10"/>
        <w:spacing w:before="240"/>
        <w:ind w:left="851"/>
        <w:rPr>
          <w:rFonts w:cs="TimesNewRoman"/>
          <w:b/>
          <w:color w:val="FF0000"/>
          <w:sz w:val="24"/>
          <w:szCs w:val="24"/>
        </w:rPr>
      </w:pPr>
      <w:r>
        <w:rPr>
          <w:color w:val="FF0000"/>
          <w:sz w:val="24"/>
          <w:szCs w:val="24"/>
        </w:rPr>
        <w:t>c) 70% raudmetallist;</w:t>
      </w:r>
    </w:p>
    <w:p w14:paraId="44C91BB4" w14:textId="3D8A7ED0" w:rsidR="000147DB" w:rsidRPr="003E7524" w:rsidRDefault="000147DB" w:rsidP="000147DB">
      <w:pPr>
        <w:pStyle w:val="Liste10"/>
        <w:spacing w:before="240"/>
        <w:ind w:left="851"/>
        <w:rPr>
          <w:rFonts w:cs="TimesNewRoman"/>
          <w:b/>
          <w:color w:val="FF0000"/>
          <w:sz w:val="24"/>
          <w:szCs w:val="24"/>
        </w:rPr>
      </w:pPr>
      <w:r>
        <w:rPr>
          <w:color w:val="FF0000"/>
          <w:sz w:val="24"/>
          <w:szCs w:val="24"/>
        </w:rPr>
        <w:t>d) 50% alumiiniumist;</w:t>
      </w:r>
    </w:p>
    <w:p w14:paraId="7238B496" w14:textId="052FD11A" w:rsidR="000147DB" w:rsidRPr="003E7524" w:rsidRDefault="000147DB" w:rsidP="000147DB">
      <w:pPr>
        <w:pStyle w:val="Liste10"/>
        <w:spacing w:before="240"/>
        <w:ind w:left="851"/>
        <w:rPr>
          <w:rFonts w:cs="TimesNewRoman"/>
          <w:b/>
          <w:color w:val="FF0000"/>
          <w:sz w:val="24"/>
          <w:szCs w:val="24"/>
        </w:rPr>
      </w:pPr>
      <w:r>
        <w:rPr>
          <w:color w:val="FF0000"/>
          <w:sz w:val="24"/>
          <w:szCs w:val="24"/>
        </w:rPr>
        <w:t>e) 70% klaasist;</w:t>
      </w:r>
    </w:p>
    <w:p w14:paraId="0474C36D" w14:textId="16757644" w:rsidR="000147DB" w:rsidRPr="003E7524" w:rsidRDefault="000147DB" w:rsidP="000147DB">
      <w:pPr>
        <w:pStyle w:val="Liste10"/>
        <w:spacing w:before="240"/>
        <w:ind w:left="851"/>
        <w:rPr>
          <w:rFonts w:cs="TimesNewRoman"/>
          <w:b/>
          <w:color w:val="FF0000"/>
          <w:sz w:val="24"/>
          <w:szCs w:val="24"/>
        </w:rPr>
      </w:pPr>
      <w:r>
        <w:rPr>
          <w:color w:val="FF0000"/>
          <w:sz w:val="24"/>
          <w:szCs w:val="24"/>
        </w:rPr>
        <w:t>f) 75% paberist ja kartongist;</w:t>
      </w:r>
    </w:p>
    <w:p w14:paraId="0E79D37D" w14:textId="3346BB70" w:rsidR="000147DB" w:rsidRPr="00045E59" w:rsidRDefault="000147DB" w:rsidP="000147DB">
      <w:pPr>
        <w:pStyle w:val="Liste10"/>
        <w:spacing w:before="240"/>
        <w:rPr>
          <w:rFonts w:cs="TimesNewRoman"/>
          <w:color w:val="FF0000"/>
          <w:spacing w:val="-4"/>
          <w:sz w:val="24"/>
          <w:szCs w:val="24"/>
        </w:rPr>
      </w:pPr>
      <w:r w:rsidRPr="00045E59">
        <w:rPr>
          <w:color w:val="FF0000"/>
          <w:spacing w:val="-4"/>
          <w:sz w:val="24"/>
          <w:szCs w:val="24"/>
        </w:rPr>
        <w:t>5) hiljemalt 31. detsembriks 2030 võetakse ringlusse vähemalt 70% kogu pakendijäätmete massist;</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hiljemalt 31. detsembriks 2030 tuleb ringlusse võtta pakendijäätmetes sisalduvate järgmiste materjalide massist vähemalt:</w:t>
      </w:r>
    </w:p>
    <w:p w14:paraId="5CEB0529" w14:textId="3B917C06" w:rsidR="000147DB" w:rsidRPr="003E7524" w:rsidRDefault="000147DB" w:rsidP="000147DB">
      <w:pPr>
        <w:pStyle w:val="Liste10"/>
        <w:spacing w:before="240"/>
        <w:ind w:left="851"/>
        <w:rPr>
          <w:rFonts w:cs="TimesNewRoman"/>
          <w:b/>
          <w:color w:val="FF0000"/>
          <w:sz w:val="24"/>
          <w:szCs w:val="24"/>
        </w:rPr>
      </w:pPr>
      <w:r>
        <w:rPr>
          <w:color w:val="FF0000"/>
          <w:sz w:val="24"/>
          <w:szCs w:val="24"/>
        </w:rPr>
        <w:t>a) 55 % plastist;</w:t>
      </w:r>
    </w:p>
    <w:p w14:paraId="3F31D1FB" w14:textId="574FBED5" w:rsidR="000147DB" w:rsidRPr="003E7524" w:rsidRDefault="000147DB" w:rsidP="000147DB">
      <w:pPr>
        <w:pStyle w:val="Liste10"/>
        <w:spacing w:before="240"/>
        <w:ind w:left="851"/>
        <w:rPr>
          <w:rFonts w:cs="TimesNewRoman"/>
          <w:b/>
          <w:color w:val="FF0000"/>
          <w:sz w:val="24"/>
          <w:szCs w:val="24"/>
        </w:rPr>
      </w:pPr>
      <w:r>
        <w:rPr>
          <w:color w:val="FF0000"/>
          <w:sz w:val="24"/>
          <w:szCs w:val="24"/>
        </w:rPr>
        <w:lastRenderedPageBreak/>
        <w:t>a) 30 % puidust;</w:t>
      </w:r>
    </w:p>
    <w:p w14:paraId="75516D16" w14:textId="2958C440" w:rsidR="000147DB" w:rsidRPr="003E7524" w:rsidRDefault="000147DB" w:rsidP="000147DB">
      <w:pPr>
        <w:pStyle w:val="Liste10"/>
        <w:spacing w:before="240"/>
        <w:ind w:left="851"/>
        <w:rPr>
          <w:rFonts w:cs="TimesNewRoman"/>
          <w:b/>
          <w:color w:val="FF0000"/>
          <w:sz w:val="24"/>
          <w:szCs w:val="24"/>
        </w:rPr>
      </w:pPr>
      <w:r>
        <w:rPr>
          <w:color w:val="FF0000"/>
          <w:sz w:val="24"/>
          <w:szCs w:val="24"/>
        </w:rPr>
        <w:t>c) 80 % raudmetallist;</w:t>
      </w:r>
    </w:p>
    <w:p w14:paraId="4FD2DC34" w14:textId="4D6DA10B" w:rsidR="000147DB" w:rsidRPr="003E7524" w:rsidRDefault="000147DB" w:rsidP="000147DB">
      <w:pPr>
        <w:pStyle w:val="Liste10"/>
        <w:spacing w:before="240"/>
        <w:ind w:left="851"/>
        <w:rPr>
          <w:rFonts w:cs="TimesNewRoman"/>
          <w:b/>
          <w:color w:val="FF0000"/>
          <w:sz w:val="24"/>
          <w:szCs w:val="24"/>
        </w:rPr>
      </w:pPr>
      <w:r>
        <w:rPr>
          <w:color w:val="FF0000"/>
          <w:sz w:val="24"/>
          <w:szCs w:val="24"/>
        </w:rPr>
        <w:t>d) 60 % alumiiniumist;</w:t>
      </w:r>
    </w:p>
    <w:p w14:paraId="6756906E" w14:textId="01C7FC04" w:rsidR="000147DB" w:rsidRPr="003E7524" w:rsidRDefault="000147DB" w:rsidP="000147DB">
      <w:pPr>
        <w:pStyle w:val="Liste10"/>
        <w:spacing w:before="240"/>
        <w:ind w:left="851"/>
        <w:rPr>
          <w:rFonts w:cs="TimesNewRoman"/>
          <w:b/>
          <w:color w:val="FF0000"/>
          <w:sz w:val="24"/>
          <w:szCs w:val="24"/>
        </w:rPr>
      </w:pPr>
      <w:r>
        <w:rPr>
          <w:color w:val="FF0000"/>
          <w:sz w:val="24"/>
          <w:szCs w:val="24"/>
        </w:rPr>
        <w:t>e) 75 % klaasist;</w:t>
      </w:r>
    </w:p>
    <w:p w14:paraId="7EEFA81F" w14:textId="701BD0D6" w:rsidR="000147DB" w:rsidRPr="003E7524" w:rsidRDefault="000147DB" w:rsidP="000147DB">
      <w:pPr>
        <w:pStyle w:val="Liste10"/>
        <w:spacing w:before="240"/>
        <w:ind w:left="851"/>
        <w:rPr>
          <w:rFonts w:cs="TimesNewRoman"/>
          <w:b/>
          <w:color w:val="FF0000"/>
          <w:sz w:val="24"/>
          <w:szCs w:val="24"/>
        </w:rPr>
      </w:pPr>
      <w:r>
        <w:rPr>
          <w:color w:val="FF0000"/>
          <w:sz w:val="24"/>
          <w:szCs w:val="24"/>
        </w:rPr>
        <w:t>f) 85 % paberist ja kartongist;</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Ilma et see piiraks artikli 14 kohaldamist, tagab keskkonnaamet, et nende kohustuste ja eesmärkide kohta korraldatakse elanikkonnale ja ettevõtjatele suunatud teabekampaania.</w:t>
      </w:r>
    </w:p>
    <w:p w14:paraId="7CDFE683" w14:textId="77777777" w:rsidR="000147DB" w:rsidRPr="005C2E9A" w:rsidRDefault="000147DB" w:rsidP="000147DB">
      <w:pPr>
        <w:spacing w:after="0" w:line="240" w:lineRule="auto"/>
        <w:jc w:val="both"/>
        <w:rPr>
          <w:rFonts w:eastAsia="Times New Roman" w:cs="Arial"/>
          <w:color w:val="FF0000"/>
          <w:lang w:eastAsia="fr-FR"/>
        </w:rPr>
      </w:pPr>
    </w:p>
    <w:p w14:paraId="349B36C3" w14:textId="76278219"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Artikkel 6</w:t>
      </w:r>
      <w:r>
        <w:rPr>
          <w:i/>
          <w:iCs/>
          <w:color w:val="FF0000"/>
          <w:sz w:val="24"/>
          <w:szCs w:val="24"/>
          <w:u w:val="single"/>
        </w:rPr>
        <w:t>a</w:t>
      </w:r>
      <w:r>
        <w:rPr>
          <w:color w:val="FF0000"/>
          <w:sz w:val="24"/>
          <w:szCs w:val="24"/>
          <w:u w:val="single"/>
        </w:rPr>
        <w:t xml:space="preserve"> Sihtmäärade saavutamise arvutamise reeglid</w:t>
      </w:r>
    </w:p>
    <w:p w14:paraId="4190A464" w14:textId="64B700A0"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Selleks, et arvutada, kas 6 lõike 1 punktides 3–6 sätestatud sihtmäärad on saavutatud:</w:t>
      </w:r>
    </w:p>
    <w:p w14:paraId="64FF6A17" w14:textId="77777777" w:rsidR="000147DB" w:rsidRPr="00045E59" w:rsidRDefault="000147DB" w:rsidP="000147DB">
      <w:pPr>
        <w:spacing w:beforeLines="100" w:before="240" w:after="240" w:line="240" w:lineRule="auto"/>
        <w:ind w:left="720"/>
        <w:jc w:val="both"/>
        <w:rPr>
          <w:rFonts w:eastAsia="Calibri" w:cs="TimesNewRoman"/>
          <w:color w:val="FF0000"/>
          <w:spacing w:val="-6"/>
          <w:sz w:val="24"/>
          <w:szCs w:val="24"/>
        </w:rPr>
      </w:pPr>
      <w:r w:rsidRPr="00045E59">
        <w:rPr>
          <w:color w:val="FF0000"/>
          <w:spacing w:val="-6"/>
          <w:sz w:val="24"/>
          <w:szCs w:val="24"/>
        </w:rPr>
        <w:t>1. arvutatakse vastaval kalendriaastal tekkinud ja ringlussevõetud pakendijäätmete mass. Tekkinud pakendijäätmeid võib lugeda võrdseks samal aastal turule lastud pakendite kogusega;</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2. on ringlussevõetud pakendijäätmete mass arvutustes selliste jäätmeteks muutunud pakendite mass, millega on esmalt tehtud kõik vajalikud kontrolli-, sortimis- ja muud eelnevad toimingud, et kõrvaldada jäätmematerjalid, mis ei ole edasiseks töötlemiseks mõeldud, ja tagada kvaliteetne ringlussevõtt, ning millega seejärel tehakse ringlussevõtutoiming, mille käigus jäätmematerjalid tegelikult töödeldakse toodeteks, materjalideks või aineteks.</w:t>
      </w:r>
    </w:p>
    <w:p w14:paraId="528F3DBE" w14:textId="20F79559"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Lõike 1 punkti 1 kohaldamisel mõõdetakse ringlussevõetud pakendijäätmete massi siis, kui jäätmetega hakatakse tegema ringlussevõtutoimingut.</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Erandina esimesest lõigust võib ringlussevõetud pakendijäätmete massi mõõta sortimistoimingu lõpus, tingimusel et:</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need jäätmed võetakse pärast sortimist ringlusse;</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selliste materjalide või ainete massi, mis kõrvaldatakse ringlussevõtutoimingule eelnevate lisatoimingutega ja mida ringlusse ei võeta, ei võeta ringlussevõetud jäätmetena märgitava jäätmete massi arvutamisel arvesse.</w:t>
      </w:r>
    </w:p>
    <w:p w14:paraId="0049964B" w14:textId="55293FC9"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Selleks et tagada, et järgitakse arvutusreegleid ja et kogu teave edastatakse pädevale asutusele, luuakse 21. märtsi 2012. aasta seaduse artikli 34 kohaselt elektrooniline register. </w:t>
      </w:r>
    </w:p>
    <w:p w14:paraId="22177B03" w14:textId="3036CDCA" w:rsidR="000147DB" w:rsidRPr="003E7524" w:rsidRDefault="000147DB" w:rsidP="00045E59">
      <w:pPr>
        <w:keepLines/>
        <w:spacing w:beforeLines="100" w:before="240" w:after="240" w:line="240" w:lineRule="auto"/>
        <w:jc w:val="both"/>
        <w:rPr>
          <w:rFonts w:eastAsia="Calibri" w:cs="TimesNewRoman"/>
          <w:color w:val="FF0000"/>
          <w:sz w:val="24"/>
          <w:szCs w:val="24"/>
        </w:rPr>
      </w:pPr>
      <w:r>
        <w:rPr>
          <w:color w:val="FF0000"/>
          <w:sz w:val="24"/>
          <w:szCs w:val="24"/>
        </w:rPr>
        <w:lastRenderedPageBreak/>
        <w:t>4) Kui pakendijäätmematerjalid lakkavad olemast jäätmed ettevalmistava toimingu tulemusena enne töötlemist, võib sellised materjalid lugeda ringlussevõetuks tingimusel, et need töödeldakse edaspidi toodeteks, materjalideks või aineteks, mida kasutatakse nende esialgsel või mõnel muul eesmärgil. Ent materjale, mis lakkavad olemast jäätmed ja mis on mõeldud kasutamiseks kütusena või muu energiaallikana või mis põletatakse, mida kasutatakse täitematerjalina või ladestatakse prügilasse, ei võeta ringlussevõtu sihtmäärade saavutamise arvutamisel arvesse.</w:t>
      </w:r>
    </w:p>
    <w:p w14:paraId="79D6EBAB" w14:textId="345093B3" w:rsidR="000147DB" w:rsidRPr="003E7524" w:rsidRDefault="00101B7D" w:rsidP="000147DB">
      <w:pPr>
        <w:spacing w:beforeLines="100" w:before="240" w:after="240" w:line="240" w:lineRule="auto"/>
        <w:jc w:val="both"/>
        <w:rPr>
          <w:rFonts w:eastAsia="Calibri" w:cs="TimesNewRoman"/>
          <w:color w:val="FF0000"/>
          <w:sz w:val="24"/>
          <w:szCs w:val="24"/>
        </w:rPr>
      </w:pPr>
      <w:r>
        <w:rPr>
          <w:color w:val="FF0000"/>
        </w:rPr>
        <w:t xml:space="preserve">5) </w:t>
      </w:r>
      <w:r w:rsidR="000147DB">
        <w:rPr>
          <w:color w:val="FF0000"/>
        </w:rPr>
        <w:t>Selleks et arvutada, kas artikli 6 lõike 1 punktides 3–6 sätestatud sihtmäärad on saavutatud, võib keskkonnaamet võtta arvesse jäätmete põletamise järel eraldatud ja ringlussevõetud metalli koguseid vastavalt põletatud pakendijäätmete osakaalule tingimusel, et ringlussevõetud metallid vastavad teatavatele kvaliteedikriteeriumitele, mis on kehtestatud direktiivi 2008/98/EÜ artikli 11a lõike 9 kohaselt vastu võetud rakendusaktis.</w:t>
      </w:r>
    </w:p>
    <w:p w14:paraId="451BF595" w14:textId="4181826B"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Pakendijäätmeid, mis saadeti teise Euroopa Liidu liikmesriiki kõnealuses teises liikmesriigis ringlussevõtmiseks, võetakse artikli 6 lõike 1 punktides 3–6 sätestatud sihtmäärade saavutamisel Luksemburgis arvesse.</w:t>
      </w:r>
    </w:p>
    <w:p w14:paraId="5CA935B6" w14:textId="20751A04"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7) Euroopa Liidust eksporditud pakendijäätmeid võetakse artikli 6 lõikes 1 sätestatud sihtmäärade saavutamisel arvesse, kui lõikes 3 sätestatud nõuded on täidetud, ja kui eksportija suudab vastavalt Euroopa Parlamendi ja nõukogu 14. juui 2006. aasta määrusele (EÜ) nr 1013/2006 jäätmesaadetiste kohta tõendada, et jäätmesaadetis vastab kõnealuse määruse nõuetele ning pakendijäätmete käitlemine väljaspool Euroopa Liitu toimus tingimustes, mis üldiselt vastavad asjakohaste keskkonnaalaste õigusaktide nõuetele.</w:t>
      </w:r>
    </w:p>
    <w:p w14:paraId="627E6620" w14:textId="77777777" w:rsidR="000147DB" w:rsidRPr="005C2E9A" w:rsidRDefault="000147DB" w:rsidP="000147DB">
      <w:pPr>
        <w:spacing w:after="0" w:line="240" w:lineRule="auto"/>
        <w:jc w:val="center"/>
        <w:rPr>
          <w:rFonts w:eastAsia="Calibri" w:cs="Arial"/>
        </w:rPr>
      </w:pPr>
    </w:p>
    <w:p w14:paraId="2620BFC1" w14:textId="77777777" w:rsidR="000147DB" w:rsidRPr="005C2E9A" w:rsidRDefault="000147DB" w:rsidP="000147DB">
      <w:pPr>
        <w:spacing w:after="0" w:line="240" w:lineRule="auto"/>
        <w:jc w:val="both"/>
        <w:rPr>
          <w:rFonts w:eastAsia="Times New Roman" w:cs="Arial"/>
          <w:strike/>
          <w:color w:val="FF0000"/>
          <w:lang w:eastAsia="fr-FR"/>
        </w:rPr>
      </w:pPr>
    </w:p>
    <w:p w14:paraId="516918B1" w14:textId="77777777" w:rsidR="000147DB" w:rsidRPr="005C2E9A" w:rsidRDefault="000147DB" w:rsidP="000147DB">
      <w:pPr>
        <w:spacing w:after="0" w:line="240" w:lineRule="auto"/>
        <w:jc w:val="center"/>
        <w:rPr>
          <w:rFonts w:eastAsia="Calibri" w:cs="Arial"/>
          <w:color w:val="FF0000"/>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t>Artikkel 7 Tagastamise, kogumise ja taaskasutamise süsteemid</w:t>
      </w:r>
    </w:p>
    <w:p w14:paraId="3CFE162E" w14:textId="4773C872"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Artiklis 1 nimetatud sihtmäärade saavutamiseks ja vastavalt lõikele 2 peavad pakendikäitlejad hügieeninõudeid täites tagama: </w:t>
      </w:r>
    </w:p>
    <w:p w14:paraId="7AA5AC5D" w14:textId="322BB3DB"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a. kasutatud pakendite või pakendijäätmete tagastamise või kogumise tarbijalt, teistelt lõppkasutajatelt või jäätmevoost, et suunata need kõige sobivamasse käitlusse;</w:t>
      </w:r>
    </w:p>
    <w:p w14:paraId="40D25AD4" w14:textId="762FC8DD"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b. korduskasutamise, ettevalmistamise kogutud pakendite või pakendijäätmete korduskasutamiseks või taaskasutamiseks, kaasa arvatud ringlussevõtuks.</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Nimetatud süsteemid peavad olema osavõtuks avatud asjaomaste sektorite ettevõtjatele ja pädevatele ametiasutustele. Neid kohaldatakse ka imporditud toodete suhtes mittediskrimineerivatel tingimustel, mille hulgas on ka süsteemidele juurdepääsu üksikasjalik kord ja kehtestatud kasutustasud, ja need kavandatakse nii, et vältida kaubandustõkkeid või konkurentsimoonutusi.</w:t>
      </w:r>
    </w:p>
    <w:p w14:paraId="7291264C" w14:textId="1A33612E"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2) Olmejäätmete vormis pakendijäätmete kõrvaldamise minimeerimiseks ja pakendijäätmete liigiti kogumise kõrge taseme saavutamiseks kohaldatakse järgmisi sätteid.</w:t>
      </w:r>
    </w:p>
    <w:p w14:paraId="457714E4" w14:textId="7D109F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Kodumajapidamiste pakendijäätmete puhul</w:t>
      </w:r>
    </w:p>
    <w:p w14:paraId="04693C3C" w14:textId="77777777" w:rsidR="000147DB" w:rsidRPr="00045E59" w:rsidRDefault="000147DB" w:rsidP="000147DB">
      <w:pPr>
        <w:spacing w:before="200" w:after="85" w:line="240" w:lineRule="auto"/>
        <w:ind w:left="375"/>
        <w:jc w:val="both"/>
        <w:rPr>
          <w:rFonts w:eastAsia="Calibri" w:cs="TimesNewRoman"/>
          <w:color w:val="FF0000"/>
          <w:spacing w:val="-4"/>
          <w:sz w:val="24"/>
          <w:szCs w:val="24"/>
        </w:rPr>
      </w:pPr>
      <w:r w:rsidRPr="00045E59">
        <w:rPr>
          <w:color w:val="FF0000"/>
          <w:spacing w:val="-4"/>
          <w:sz w:val="24"/>
          <w:szCs w:val="24"/>
        </w:rPr>
        <w:t>Ilma et see piiraks olmejäätmete käitlemise eest vastutavate kohalike omavalitsuste või kohalike omavalitsuste ühenduste 21. märtsi 2012. aasta seadusest tulenevaid kohustusi, peavad kohalikud omavalitsused või kohalike omavalitsuste ühendused tagama liigiti kogumissüsteemide olemasolu. Kohalikud omavalitsused või kohalike omavalitsuste ühendused peavad vajaduse korral koostöös tunnustatud organisatsioonidega tagama kodumajapidamiste pakendijäätmete liigiti kogumiseks avaliku taristu kättesaadavuse ja juurdepääsetavuse, võimaldades lõppvaldajatel need pakendijäätmed vähemalt tasuta tagasi tuua.</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Tunnustatud organisatsioonidel on õigus korraldada ja kasutada alternatiivseid või täiendavaid kodumajapidamiste pakendijäätmete tagastamise süsteeme, tingimusel et need süsteemid vastavad käesoleva seaduse eesmärkidele, tagades sama territoriaalse kaetuse kui kohalike omavalitsuste või kohalike omavalitsuste ühenduste kehtestatud süsteemid, ja tagades vähemalt kodumajapidamiste pakendijäätmete tasuta tagastamise.</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Kodumajapidamises kasutatavate pakendite kasutajad on kohustatud kasutama kohalike omavalitsuste või kohalike omavalitsuste ühenduste või tunnustatud organisatsioonide poolt nende käsutusse antud kodumajapidamiste pakendijäätmete liigiti kogumise tagastamissüsteeme.</w:t>
      </w:r>
    </w:p>
    <w:p w14:paraId="72763D47" w14:textId="0785114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Mujal kui majapidamises tekkinud pakendijäätmete puhul</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Mujal kui kodumajapidamises kasutatavate pakendite käitlemise eest vastutavad isikud tagavad jäätmete kogumise ja taaskasutamise käesoleva seaduse artiklis 8 nimetatud laiendatud tootjavastutuse korra raames.</w:t>
      </w:r>
    </w:p>
    <w:p w14:paraId="211C6CEC" w14:textId="5CFC523D"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w:t>
      </w:r>
      <w:r>
        <w:t xml:space="preserve"> </w:t>
      </w:r>
      <w:hyperlink r:id="rId5" w:history="1">
        <w:r>
          <w:rPr>
            <w:color w:val="FF0000"/>
            <w:sz w:val="24"/>
            <w:szCs w:val="24"/>
          </w:rPr>
          <w:t>21. märtsi 2012. aasta seaduse</w:t>
        </w:r>
      </w:hyperlink>
      <w:r>
        <w:t xml:space="preserve"> </w:t>
      </w:r>
      <w:r>
        <w:rPr>
          <w:color w:val="FF0000"/>
          <w:sz w:val="24"/>
          <w:szCs w:val="24"/>
        </w:rPr>
        <w:t>artikli 30 lõikes 1 nimetatud ettevõtted ja ettevõtjad</w:t>
      </w:r>
      <w:r>
        <w:t xml:space="preserve"> </w:t>
      </w:r>
      <w:r>
        <w:rPr>
          <w:color w:val="FF0000"/>
          <w:sz w:val="24"/>
          <w:szCs w:val="24"/>
        </w:rPr>
        <w:t xml:space="preserve">võivad koguda või vedada kodumajapidamiste pakendijäätmeid, mille puhul on tegemist majapidamisjäätmetega, üksnes niivõrd, kuivõrd neid on selleks volitanud tunnustatud organisatsioonid. </w:t>
      </w:r>
    </w:p>
    <w:p w14:paraId="5A8B572D" w14:textId="56EBC394"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Inimtoiduks kasutatavate jookide pakendite suhtes, mis viiakse Luksemburgi turule, kehtib ühtne riiklik tagatisraha süsteem. Tagatisraha summa varieerub olenevalt pakendi liigist vahemikus 10 senti kuni 1 euro. Tagatisraha süsteemi rakendamise kuupäev ja kord on määratletud suurhertsogi määrusega. </w:t>
      </w:r>
    </w:p>
    <w:p w14:paraId="2E9C3117" w14:textId="77777777" w:rsidR="000147DB" w:rsidRPr="005C2E9A" w:rsidRDefault="000147DB" w:rsidP="000147DB">
      <w:pPr>
        <w:spacing w:after="0" w:line="240" w:lineRule="auto"/>
        <w:jc w:val="both"/>
        <w:rPr>
          <w:rFonts w:eastAsia="Times New Roman" w:cs="Arial"/>
          <w:b/>
          <w:bCs/>
          <w:lang w:eastAsia="fr-FR"/>
        </w:rPr>
      </w:pPr>
    </w:p>
    <w:p w14:paraId="39140DBB" w14:textId="77777777" w:rsidR="000147DB" w:rsidRPr="005C2E9A" w:rsidRDefault="000147DB" w:rsidP="000147DB">
      <w:pPr>
        <w:spacing w:after="0" w:line="240" w:lineRule="auto"/>
        <w:jc w:val="both"/>
        <w:rPr>
          <w:rFonts w:eastAsia="Times New Roman" w:cs="Arial"/>
          <w:b/>
          <w:bCs/>
          <w:lang w:eastAsia="fr-FR"/>
        </w:rPr>
      </w:pPr>
    </w:p>
    <w:p w14:paraId="515F989F" w14:textId="77777777" w:rsidR="000147DB" w:rsidRPr="005C2E9A" w:rsidRDefault="000147DB" w:rsidP="000147DB">
      <w:pPr>
        <w:spacing w:after="0" w:line="240" w:lineRule="auto"/>
        <w:jc w:val="both"/>
        <w:rPr>
          <w:rFonts w:eastAsia="Times New Roman" w:cs="Arial"/>
          <w:strike/>
          <w:color w:val="FF0000"/>
          <w:lang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Artikkel 8</w:t>
      </w:r>
      <w:r>
        <w:rPr>
          <w:color w:val="FF0000"/>
          <w:sz w:val="24"/>
          <w:szCs w:val="24"/>
          <w:u w:val="single"/>
        </w:rPr>
        <w:t xml:space="preserve"> Pakendikäitlejad ja tunnustatud organisatsioonid</w:t>
      </w:r>
    </w:p>
    <w:p w14:paraId="4ADADA8E" w14:textId="2DBAE14E"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Selleks et täita nii käesolevast seadusest kui ka teatavate plasttoodete keskkonnamõju hindamist käsitlevast seadusest tulenevaid kohustusi, on pakendikäitleja kohustatud järgima 21. märtsi 2012. aasta seaduse artiklis 19 osutatud laiendatud tootjavastutuse korda.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Korduskasutatavate majapidamispakendite puhul, mille jaoks on olemas tagastussüsteem, võib pakendikäitleja teha lepingu alusel tunnustatud organisatsioonile ülesandeks selle kohustuse täieliku või osalise täitmise. Muude kodumajapidamistes kasutatavate pakendite puhul peab ta selle kohustuse täitmise tegema lepingu alusel ülesandeks tunnustatud organisatsioonile. Mujal kui kodumajapidamistes kasutatavate pakendite puhul peab ta selle kohustuse täitmise tegema lepingu alusel ülesandeks tunnustatud organisatsioonile. </w:t>
      </w:r>
    </w:p>
    <w:p w14:paraId="0456039D" w14:textId="3CF59165" w:rsidR="000147DB" w:rsidRPr="00045E59"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045E59">
        <w:rPr>
          <w:color w:val="FF0000"/>
          <w:spacing w:val="-4"/>
          <w:sz w:val="24"/>
          <w:szCs w:val="24"/>
        </w:rPr>
        <w:t>2) Tsentraliseeritud käitlemisega hõlmatud pakendijäätmete puhul tagavad tunnustatud organisatsioonid igaüks oma vastutusalas jäätmekäitluse rahastamise, sealhulgas korduskasutamiseks ettevalmistamise toimingud, alates kogumispunkti vabatahtlikust äratoomisest.</w:t>
      </w:r>
    </w:p>
    <w:p w14:paraId="72D5467E" w14:textId="33D7B106"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Pakendite jaoks, mida ei hõlma tsentraliseeritud käitlemine, määratakse tunnustatud organisatsioonide finantssekkumisvahendid nende jäätmete liigiti kogumisel kindlaks nende organisatsioonide ja asjaomaste omavalitsuste vastastikusel kokkuleppel. Kogu jäätmekäitluse, sealhulgas korduskasutuseks ettevalmistamise kulud, tuleb katta pakendikäitlejate maksetest.</w:t>
      </w:r>
    </w:p>
    <w:p w14:paraId="7AFE5345" w14:textId="74AF0B25"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Lisaks on tunnustatud organisatsioon kohustatud:</w:t>
      </w:r>
    </w:p>
    <w:p w14:paraId="09CD75E1" w14:textId="352F3451" w:rsidR="000147DB" w:rsidRPr="00045E59"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045E59">
        <w:rPr>
          <w:color w:val="FF0000"/>
          <w:spacing w:val="-4"/>
          <w:sz w:val="24"/>
          <w:szCs w:val="24"/>
        </w:rPr>
        <w:t>1. arvutama oma töövõtjate sissemaksed, et rahastada olemasolevaid ja tekkivaid kogumiskulusid, kogutud pakendijäätmete sortimise, korduskasutamiseks ettevalmistamise, pakendijäätmete töötlemise, samuti jäätmevaldajate teavitamise ning teabe edastamise ja kogumise kulusid. Arvessevõetavad kulud ei tohi ületada majanduslikult tõhusa teenuse jaoks vajalikke kulusid;</w:t>
      </w:r>
    </w:p>
    <w:p w14:paraId="2A2FFD4D" w14:textId="6EF6E010" w:rsidR="000147DB" w:rsidRPr="00045E59"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045E59">
        <w:rPr>
          <w:color w:val="FF0000"/>
          <w:spacing w:val="-4"/>
          <w:sz w:val="24"/>
          <w:szCs w:val="24"/>
        </w:rPr>
        <w:t xml:space="preserve">2. sõlmima majapidamises tekkinud olmejäätmete käitlemise eest vastutavate kohalike omavalitsuste või kohalike omavalitsuste ühendustega lepingu, milles määratletakse eelkõige asjaomaste pakendijäätmete kogumise ja pakendijäätmete käitlemise tehnilised tingimused ja kord. </w:t>
      </w:r>
    </w:p>
    <w:p w14:paraId="0E152E2B" w14:textId="0FFEC173" w:rsidR="000147DB" w:rsidRPr="00045E59"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045E59">
        <w:rPr>
          <w:color w:val="FF0000"/>
          <w:spacing w:val="-4"/>
          <w:sz w:val="24"/>
          <w:szCs w:val="24"/>
        </w:rPr>
        <w:t>Mingil juhul ei tohi leping piirata selles valdkonnas majapidamises tekkinud olmejäätmete käitlemise eest vastutavate kohalike omavalitsuste või kohalike omavalitsuste ühenduste pädevust;</w:t>
      </w:r>
    </w:p>
    <w:p w14:paraId="5D98EE21" w14:textId="3B50012A"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edastama ministrile igal aastal ja 21. märtsi 2012. aasta seaduse artikli 35 lõikes 2 nimetatud aruande osana olmejäätmete käitlemise eest vastutavate kohalike omavalitsuste või kohalike omavalitsuste ühendustega sõlmitud lepingud. </w:t>
      </w:r>
    </w:p>
    <w:p w14:paraId="4EF43EE8" w14:textId="07497E6E"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Pakendijäätmete käitlemine peab toimuma vastavalt 21. märtsi 2012. aasta seaduse artiklis 9 nimetatud jäätmehierarhiale. </w:t>
      </w:r>
    </w:p>
    <w:p w14:paraId="0B1E18BC" w14:textId="77777777" w:rsidR="000147DB" w:rsidRPr="005C2E9A" w:rsidRDefault="000147DB" w:rsidP="000147DB">
      <w:pPr>
        <w:spacing w:after="0" w:line="240" w:lineRule="auto"/>
        <w:jc w:val="both"/>
        <w:rPr>
          <w:rFonts w:eastAsia="Times New Roman" w:cs="Arial"/>
          <w:strike/>
          <w:color w:val="FF0000"/>
          <w:lang w:eastAsia="fr-FR"/>
        </w:rPr>
      </w:pPr>
    </w:p>
    <w:p w14:paraId="1CA79E98" w14:textId="77777777" w:rsidR="000147DB" w:rsidRPr="005C2E9A" w:rsidRDefault="000147DB" w:rsidP="000147DB">
      <w:pPr>
        <w:spacing w:after="0" w:line="240" w:lineRule="auto"/>
        <w:jc w:val="both"/>
        <w:rPr>
          <w:rFonts w:eastAsia="Times New Roman" w:cs="Arial"/>
          <w:strike/>
          <w:color w:val="FF0000"/>
          <w:lang w:eastAsia="fr-FR"/>
        </w:rPr>
      </w:pPr>
    </w:p>
    <w:p w14:paraId="657BECD5" w14:textId="77777777" w:rsidR="000147DB" w:rsidRPr="005C2E9A" w:rsidRDefault="000147DB" w:rsidP="000147DB">
      <w:pPr>
        <w:spacing w:after="0" w:line="240" w:lineRule="auto"/>
        <w:jc w:val="both"/>
        <w:rPr>
          <w:rFonts w:eastAsia="Times New Roman" w:cs="Arial"/>
          <w:strike/>
          <w:color w:val="FF0000"/>
          <w:lang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Artikkel 9 Olulised nõuded</w:t>
      </w:r>
    </w:p>
    <w:p w14:paraId="605864EB" w14:textId="77777777" w:rsidR="000147DB" w:rsidRPr="003E7524" w:rsidRDefault="000147DB" w:rsidP="000147DB">
      <w:pPr>
        <w:spacing w:after="0" w:line="240" w:lineRule="auto"/>
        <w:jc w:val="both"/>
        <w:rPr>
          <w:rFonts w:eastAsia="Times New Roman" w:cs="Arial"/>
        </w:rPr>
      </w:pPr>
      <w:r>
        <w:t>Pakendit võib Luksemburgi turule viia ainult siis, kui see vastab kõigile I lisas nimetatud olulistele nõuetele.</w:t>
      </w:r>
    </w:p>
    <w:p w14:paraId="3A246FED" w14:textId="77777777" w:rsidR="000147DB" w:rsidRPr="005C2E9A" w:rsidRDefault="000147DB" w:rsidP="000147DB">
      <w:pPr>
        <w:spacing w:after="0" w:line="240" w:lineRule="auto"/>
        <w:jc w:val="both"/>
        <w:rPr>
          <w:rFonts w:eastAsia="Times New Roman" w:cs="Arial"/>
          <w:lang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bCs/>
        </w:rPr>
        <w:t xml:space="preserve">Artikkel 10 </w:t>
      </w:r>
      <w:r>
        <w:rPr>
          <w:b/>
          <w:bCs/>
          <w:iCs/>
        </w:rPr>
        <w:t>Identifitseerimissüsteem</w:t>
      </w:r>
    </w:p>
    <w:p w14:paraId="05C008A4" w14:textId="77777777" w:rsidR="000147DB" w:rsidRPr="005C2E9A" w:rsidRDefault="000147DB" w:rsidP="002F5A31">
      <w:pPr>
        <w:keepNext/>
        <w:keepLines/>
        <w:spacing w:after="0" w:line="240" w:lineRule="auto"/>
        <w:jc w:val="both"/>
        <w:rPr>
          <w:rFonts w:eastAsia="Times New Roman" w:cs="Arial"/>
          <w:b/>
          <w:bCs/>
          <w:iCs/>
          <w:lang w:eastAsia="fr-FR"/>
        </w:rPr>
      </w:pPr>
    </w:p>
    <w:p w14:paraId="5D34AF9E" w14:textId="607EA4E4" w:rsidR="000147DB" w:rsidRPr="001D4FC9" w:rsidRDefault="001D4FC9" w:rsidP="001D4FC9">
      <w:pPr>
        <w:spacing w:beforeLines="100" w:before="240" w:after="240" w:line="240" w:lineRule="auto"/>
        <w:jc w:val="both"/>
        <w:rPr>
          <w:rFonts w:eastAsia="Calibri" w:cs="TimesNewRoman"/>
          <w:color w:val="FF0000"/>
          <w:sz w:val="24"/>
          <w:szCs w:val="24"/>
        </w:rPr>
      </w:pPr>
      <w:r>
        <w:rPr>
          <w:rFonts w:eastAsia="Times New Roman" w:cs="Arial"/>
          <w:b/>
          <w:lang w:eastAsia="fr-FR"/>
        </w:rPr>
        <w:br/>
      </w:r>
      <w:r>
        <w:rPr>
          <w:rFonts w:eastAsia="Times New Roman" w:cs="Arial"/>
          <w:b/>
          <w:lang w:eastAsia="fr-FR"/>
        </w:rPr>
        <w:br/>
      </w:r>
      <w:r w:rsidRPr="001D4FC9">
        <w:rPr>
          <w:rFonts w:eastAsia="Times New Roman" w:cs="Arial"/>
          <w:color w:val="FF0000"/>
          <w:lang w:eastAsia="fr-FR"/>
        </w:rPr>
        <w:t>1)</w:t>
      </w:r>
      <w:r w:rsidRPr="001D4FC9">
        <w:rPr>
          <w:rFonts w:eastAsia="Times New Roman" w:cs="Arial"/>
          <w:b/>
          <w:color w:val="FF0000"/>
          <w:lang w:eastAsia="fr-FR"/>
        </w:rPr>
        <w:t xml:space="preserve"> </w:t>
      </w:r>
      <w:r w:rsidR="000147DB" w:rsidRPr="001D4FC9">
        <w:rPr>
          <w:color w:val="FF0000"/>
          <w:sz w:val="24"/>
          <w:szCs w:val="24"/>
        </w:rPr>
        <w:t>Kogumise, korduskasutamise, korduskasutuseks ettevalmistamise ja taaskasutamise, sealhulgas ringlussevõtu hõlbustamiseks näidatakse pakendil pakendi liik või materjalid, mida on kasutatud selleks, et võimaldada identifitseerimist ja klassifitseerimist asjaomase sektori poolt vastavalt komisjoni 28. jaanuari 1997. aasta otsusele 97/129/EÜ, millega kehtestatakse pakendimaterjalide identifitseerimissüsteem vastavalt Euroopa Parlamendi ja nõukogu direktiivile 94/62/EÜ pakendite ja pakendijäätmete kohta. </w:t>
      </w:r>
    </w:p>
    <w:p w14:paraId="4942209B" w14:textId="77777777" w:rsidR="000147DB" w:rsidRPr="005C2E9A" w:rsidRDefault="000147DB" w:rsidP="000147DB">
      <w:pPr>
        <w:spacing w:after="0" w:line="240" w:lineRule="auto"/>
        <w:jc w:val="both"/>
        <w:rPr>
          <w:rFonts w:eastAsia="Times New Roman" w:cs="Arial"/>
          <w:lang w:eastAsia="fr-FR"/>
        </w:rPr>
      </w:pPr>
    </w:p>
    <w:p w14:paraId="08E9BCD8" w14:textId="76AAB08C" w:rsidR="000147DB" w:rsidRPr="003E7524" w:rsidRDefault="00CD70AA" w:rsidP="000147DB">
      <w:pPr>
        <w:spacing w:after="0" w:line="240" w:lineRule="auto"/>
        <w:jc w:val="both"/>
        <w:rPr>
          <w:rFonts w:eastAsia="Times New Roman" w:cs="Arial"/>
        </w:rPr>
      </w:pPr>
      <w:r>
        <w:t xml:space="preserve">2) </w:t>
      </w:r>
      <w:r w:rsidR="000147DB">
        <w:t>Kui see on nõutav, peab olema asjakohane märgistus kas pakendil endal või selle etiketil. See peab olema selgelt nähtav ja kergesti loetav. Märgistus peab olema piisavalt kulumiskindel ja püsiv ka siis, kui pakend avatakse.</w:t>
      </w:r>
    </w:p>
    <w:p w14:paraId="09FE587A" w14:textId="77777777" w:rsidR="000147DB" w:rsidRPr="005C2E9A" w:rsidRDefault="000147DB" w:rsidP="000147DB">
      <w:pPr>
        <w:spacing w:after="0" w:line="240" w:lineRule="auto"/>
        <w:jc w:val="both"/>
        <w:rPr>
          <w:rFonts w:eastAsia="Times New Roman" w:cs="Arial"/>
          <w:lang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Artikkel 11 </w:t>
      </w:r>
      <w:r>
        <w:rPr>
          <w:b/>
          <w:iCs/>
          <w:color w:val="000000"/>
        </w:rPr>
        <w:t>Raskmetallide kontsentratsioonitasemed pakendis</w:t>
      </w:r>
    </w:p>
    <w:p w14:paraId="5961C7DD" w14:textId="09865B08" w:rsidR="000147DB" w:rsidRPr="003E7524" w:rsidRDefault="000147DB" w:rsidP="000147DB">
      <w:pPr>
        <w:spacing w:after="0" w:line="240" w:lineRule="auto"/>
        <w:jc w:val="both"/>
        <w:rPr>
          <w:rFonts w:eastAsia="Times New Roman" w:cs="Arial"/>
          <w:color w:val="000000"/>
        </w:rPr>
      </w:pPr>
      <w:r>
        <w:rPr>
          <w:color w:val="000000"/>
        </w:rPr>
        <w:t>1) Plii, kaadmiumi, elavhõbeda ja kuuevalentse kroomi kontsentratsioonitasemed pakendis või pakendiosades ei tohi ületada 100 ppm massist.</w:t>
      </w:r>
    </w:p>
    <w:p w14:paraId="173D4287" w14:textId="0FB9451F" w:rsidR="000147DB" w:rsidRPr="003E7524" w:rsidRDefault="000147DB" w:rsidP="000147DB">
      <w:pPr>
        <w:spacing w:after="0" w:line="240" w:lineRule="auto"/>
        <w:jc w:val="both"/>
        <w:rPr>
          <w:rFonts w:eastAsia="Times New Roman" w:cs="Arial"/>
          <w:color w:val="000000"/>
        </w:rPr>
      </w:pPr>
      <w:r>
        <w:rPr>
          <w:color w:val="000000"/>
        </w:rPr>
        <w:t>2) Lõikes 1 nimetatud kontsentratsioonitasemeid ei kohaldata pakendite suhtes, mis on valmistatud täielikult kristallist.</w:t>
      </w:r>
    </w:p>
    <w:p w14:paraId="242DF555" w14:textId="77777777" w:rsidR="000147DB" w:rsidRPr="005C2E9A" w:rsidRDefault="000147DB" w:rsidP="000147DB">
      <w:pPr>
        <w:spacing w:after="0" w:line="240" w:lineRule="auto"/>
        <w:jc w:val="both"/>
        <w:rPr>
          <w:rFonts w:eastAsia="Times New Roman" w:cs="Arial"/>
          <w:lang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Artikkel 12 Infosüsteemid</w:t>
      </w:r>
    </w:p>
    <w:p w14:paraId="5FCE099A" w14:textId="20F3C90F" w:rsidR="000147DB" w:rsidRPr="00045E59" w:rsidRDefault="000147DB" w:rsidP="000147DB">
      <w:pPr>
        <w:spacing w:after="0" w:line="240" w:lineRule="auto"/>
        <w:jc w:val="both"/>
        <w:rPr>
          <w:rFonts w:eastAsia="Times New Roman" w:cs="Arial"/>
          <w:spacing w:val="-2"/>
        </w:rPr>
      </w:pPr>
      <w:r w:rsidRPr="00045E59">
        <w:rPr>
          <w:spacing w:val="-2"/>
        </w:rPr>
        <w:t>1) Andmebaase, mis vastavad Euroopa Parlamendi ja nõukogu 20. detsembri 1994. aasta direktiivi 94/62/EÜ (pakendite ja pakendijäätmete kohta, mida on muudetud Euroopa Komisjoni õigusaktidega, mis on vastu võetud kooskõlas nimetatud direktiivi artikliga 19) III lisale, haldab keskkonnamet. Andmebaasid annavad teavet pakendite ja pakendijäätmete liikumise ulatuse, omaduste ja arengu kohta, kaasa arvatud teave pakendimaterjalide ja nende valmistamisel kasutatavate komponentide toksilisuse või ohtlikkuse kohta.</w:t>
      </w:r>
    </w:p>
    <w:p w14:paraId="7E5340DE" w14:textId="7BBC5538" w:rsidR="000147DB" w:rsidRPr="003E7524" w:rsidRDefault="000147DB" w:rsidP="000147DB">
      <w:pPr>
        <w:spacing w:after="0" w:line="240" w:lineRule="auto"/>
        <w:jc w:val="both"/>
        <w:rPr>
          <w:rFonts w:eastAsia="Times New Roman" w:cs="Arial"/>
        </w:rPr>
      </w:pPr>
      <w:r>
        <w:t>2) Asjaomased ettevõtjad peavad esitama keskkonnaametile usaldusväärsed andmed oma sektori kohta vastavalt käesolevale artiklile. Keskkonnaamet võtab arvesse konkreetseid probleeme, millega väikesed ja keskmise suurusega ettevõtjad üksikasjalike andmete esitamisel kokku puutuvad.</w:t>
      </w:r>
    </w:p>
    <w:p w14:paraId="5AEC8260" w14:textId="77777777" w:rsidR="000147DB" w:rsidRPr="005C2E9A" w:rsidRDefault="000147DB" w:rsidP="000147DB">
      <w:pPr>
        <w:spacing w:after="0" w:line="240" w:lineRule="auto"/>
        <w:jc w:val="both"/>
        <w:rPr>
          <w:rFonts w:eastAsia="Times New Roman" w:cs="Arial"/>
          <w:lang w:eastAsia="fr-FR"/>
        </w:rPr>
      </w:pPr>
    </w:p>
    <w:p w14:paraId="3E529549" w14:textId="77777777" w:rsidR="000147DB" w:rsidRPr="005C2E9A" w:rsidRDefault="000147DB" w:rsidP="000147DB">
      <w:pPr>
        <w:spacing w:after="0" w:line="240" w:lineRule="auto"/>
        <w:jc w:val="both"/>
        <w:rPr>
          <w:rFonts w:eastAsia="Times New Roman" w:cs="Arial"/>
          <w:lang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Artikkel 14 </w:t>
      </w:r>
      <w:r>
        <w:rPr>
          <w:b/>
          <w:bCs/>
          <w:iCs/>
        </w:rPr>
        <w:t>Teave pakendite kasutajatele</w:t>
      </w:r>
    </w:p>
    <w:p w14:paraId="0BFAA0F4" w14:textId="031E49AC" w:rsidR="000147DB" w:rsidRPr="003E7524" w:rsidRDefault="000147DB" w:rsidP="000147DB">
      <w:pPr>
        <w:spacing w:after="0" w:line="240" w:lineRule="auto"/>
        <w:jc w:val="both"/>
        <w:rPr>
          <w:rFonts w:eastAsia="Times New Roman" w:cs="Arial"/>
        </w:rPr>
      </w:pPr>
      <w:r>
        <w:t>1) Pakendikäitlejad või tunnustatud organisatsioonid peavad igaüks oma vastutusalas teavitama pakendite kasutajaid, sealhulgas tarbijaid:</w:t>
      </w:r>
    </w:p>
    <w:p w14:paraId="28FD57E8" w14:textId="77777777" w:rsidR="000147DB" w:rsidRPr="003E7524" w:rsidRDefault="000147DB" w:rsidP="000147DB">
      <w:pPr>
        <w:spacing w:after="0" w:line="240" w:lineRule="auto"/>
        <w:jc w:val="both"/>
        <w:rPr>
          <w:rFonts w:eastAsia="Times New Roman" w:cs="Arial"/>
        </w:rPr>
      </w:pPr>
      <w:r>
        <w:t>pakendijäätmete vältimise võimalustest;</w:t>
      </w:r>
    </w:p>
    <w:p w14:paraId="1A222528" w14:textId="3BFCF692" w:rsidR="000147DB" w:rsidRPr="003E7524" w:rsidRDefault="000147DB" w:rsidP="000147DB">
      <w:pPr>
        <w:spacing w:after="0" w:line="240" w:lineRule="auto"/>
        <w:jc w:val="both"/>
        <w:rPr>
          <w:rFonts w:eastAsia="Times New Roman" w:cs="Arial"/>
        </w:rPr>
      </w:pPr>
      <w:r>
        <w:t>neile kättesaadavatest tagastamis-, kogumis- ja taaskasutamissüsteemidest ning nende panusest pakendite ja pakendijäätmete kordus- ja taaskasutamisse ning ringlussevõttu;</w:t>
      </w:r>
    </w:p>
    <w:p w14:paraId="2AF81E67" w14:textId="77777777" w:rsidR="000147DB" w:rsidRPr="003E7524" w:rsidRDefault="000147DB" w:rsidP="000147DB">
      <w:pPr>
        <w:spacing w:after="0" w:line="240" w:lineRule="auto"/>
        <w:jc w:val="both"/>
        <w:rPr>
          <w:rFonts w:eastAsia="Times New Roman" w:cs="Arial"/>
        </w:rPr>
      </w:pPr>
      <w:r>
        <w:t>plastkandekottide liigse kasutamise kahjulikust keskkonnamõjust;</w:t>
      </w:r>
    </w:p>
    <w:p w14:paraId="0BB30D5B" w14:textId="77777777" w:rsidR="000147DB" w:rsidRPr="003E7524" w:rsidRDefault="000147DB" w:rsidP="000147DB">
      <w:pPr>
        <w:spacing w:after="0" w:line="240" w:lineRule="auto"/>
        <w:jc w:val="both"/>
        <w:rPr>
          <w:rFonts w:eastAsia="Times New Roman" w:cs="Arial"/>
        </w:rPr>
      </w:pPr>
      <w:r>
        <w:t>pakendite ja pakendijäätmete käitlemise kavade, mis on hõlmatud riikliku jäätmekavaga, asjakohaste elementide suhtes kohaldatakse vastavalt 21. märtsi 2012. aasta seadusele erikava.</w:t>
      </w:r>
    </w:p>
    <w:p w14:paraId="6F14132A" w14:textId="77777777" w:rsidR="000147DB" w:rsidRPr="005C2E9A" w:rsidRDefault="000147DB" w:rsidP="000147DB">
      <w:pPr>
        <w:spacing w:after="0" w:line="240" w:lineRule="auto"/>
        <w:jc w:val="both"/>
        <w:rPr>
          <w:rFonts w:eastAsia="Times New Roman" w:cs="Arial"/>
          <w:color w:val="FF0000"/>
          <w:lang w:eastAsia="fr-FR"/>
        </w:rPr>
      </w:pPr>
    </w:p>
    <w:p w14:paraId="7030362B" w14:textId="00701D46" w:rsidR="000147DB" w:rsidRPr="003E7524" w:rsidRDefault="000147DB" w:rsidP="000147DB">
      <w:pPr>
        <w:spacing w:after="0" w:line="240" w:lineRule="auto"/>
        <w:jc w:val="both"/>
        <w:rPr>
          <w:rFonts w:eastAsia="Times New Roman" w:cs="Arial"/>
        </w:rPr>
      </w:pPr>
      <w:r>
        <w:t>2) Isikud, kes panevad müügile pakendatud tooteid, tagavad, et lõpptarbijat on müügikohtades asjakohasel viisil teavitatud vastavalt pakendi korduskasutatavast või taaskasutatavast, sealhulgas ringlussevõetavast liigist ning tagastamise süsteemist, sealhulgas eelkõige pakendite kogumisest.</w:t>
      </w:r>
    </w:p>
    <w:p w14:paraId="049AF441" w14:textId="681FC7FD" w:rsidR="000147DB" w:rsidRPr="00045E59"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045E59">
        <w:rPr>
          <w:color w:val="FF0000"/>
          <w:spacing w:val="-4"/>
          <w:sz w:val="24"/>
          <w:szCs w:val="24"/>
        </w:rPr>
        <w:t>Asjakohane märgistus peab olema kas pakendil endal või selle etiketil. See peab olema selgelt nähtav ja kergesti loetav. Märgistus peab olema piisavalt kulumiskindel ja püsiv ka siis, kui pakend avatakse. </w:t>
      </w:r>
    </w:p>
    <w:p w14:paraId="479912FE" w14:textId="77777777" w:rsidR="000147DB" w:rsidRPr="005C2E9A" w:rsidRDefault="000147DB" w:rsidP="000147DB">
      <w:pPr>
        <w:spacing w:after="0" w:line="240" w:lineRule="auto"/>
        <w:jc w:val="both"/>
        <w:rPr>
          <w:rFonts w:eastAsia="Times New Roman" w:cs="Arial"/>
          <w:lang w:eastAsia="fr-FR"/>
        </w:rPr>
      </w:pPr>
    </w:p>
    <w:p w14:paraId="567A68A6" w14:textId="264832A5" w:rsidR="000147DB" w:rsidRPr="003E7524" w:rsidRDefault="000147DB" w:rsidP="000147DB">
      <w:pPr>
        <w:spacing w:after="0" w:line="240" w:lineRule="auto"/>
        <w:jc w:val="both"/>
        <w:rPr>
          <w:rFonts w:eastAsia="Times New Roman" w:cs="Arial"/>
        </w:rPr>
      </w:pPr>
      <w:r>
        <w:t>3) Lõigetes 1 ja 2 nimetatud teavitamismeetmeid täiendatakse vajaduse korral teadlikkuse tõstmise kampaaniatega, mida korraldatakse koostöös keskkonnaametiga.</w:t>
      </w:r>
    </w:p>
    <w:p w14:paraId="310D81FF" w14:textId="77777777" w:rsidR="000147DB" w:rsidRPr="005C2E9A" w:rsidRDefault="000147DB" w:rsidP="000147DB">
      <w:pPr>
        <w:spacing w:after="0" w:line="240" w:lineRule="auto"/>
        <w:jc w:val="both"/>
        <w:rPr>
          <w:rFonts w:eastAsia="Times New Roman" w:cs="Arial"/>
          <w:lang w:eastAsia="fr-FR"/>
        </w:rPr>
      </w:pPr>
    </w:p>
    <w:p w14:paraId="6E40D75F" w14:textId="77777777" w:rsidR="000147DB" w:rsidRPr="005C2E9A" w:rsidRDefault="000147DB" w:rsidP="000147DB">
      <w:pPr>
        <w:spacing w:after="0" w:line="240" w:lineRule="auto"/>
        <w:jc w:val="both"/>
        <w:rPr>
          <w:rFonts w:eastAsia="Times New Roman" w:cs="Arial"/>
          <w:lang w:eastAsia="fr-FR"/>
        </w:rPr>
      </w:pPr>
    </w:p>
    <w:p w14:paraId="48933925" w14:textId="77777777" w:rsidR="000147DB" w:rsidRPr="005C2E9A" w:rsidRDefault="000147DB" w:rsidP="000147DB">
      <w:pPr>
        <w:spacing w:after="0" w:line="240" w:lineRule="auto"/>
        <w:jc w:val="both"/>
        <w:rPr>
          <w:rFonts w:eastAsia="Times New Roman" w:cs="Arial"/>
          <w:strike/>
          <w:color w:val="FF0000"/>
          <w:lang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Artikkel 15 Aruandlus</w:t>
      </w:r>
    </w:p>
    <w:p w14:paraId="5D99A309" w14:textId="77777777" w:rsidR="000147DB" w:rsidRPr="005C2E9A" w:rsidRDefault="000147DB" w:rsidP="002F5A31">
      <w:pPr>
        <w:keepNext/>
        <w:keepLines/>
        <w:autoSpaceDE w:val="0"/>
        <w:autoSpaceDN w:val="0"/>
        <w:adjustRightInd w:val="0"/>
        <w:spacing w:after="0" w:line="240" w:lineRule="auto"/>
        <w:jc w:val="both"/>
        <w:rPr>
          <w:rFonts w:eastAsia="Calibri" w:cs="TimesNewRoman"/>
          <w:color w:val="FF0000"/>
          <w:sz w:val="24"/>
          <w:szCs w:val="24"/>
          <w:lang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Iga pakendikäitleja, kes on turule viinud õhukesi plastkandekotte, peab deklareerima tunnustatud organisatsioonis, millega ta liitunud on, nende kandekottide aastase koguse.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Tunnustatud organisatsioon peab teatama neist kogustest pädevale asutusele 21. märtsi 2012. aasta seaduse artikli 35 lõikes 2 nimetatud aruande raames. Välja on arvatud eriti õhukesed platskandekotid artikli 3 punkti 17 tähenduses. </w:t>
      </w:r>
    </w:p>
    <w:p w14:paraId="7EE24D00" w14:textId="77777777" w:rsidR="000147DB" w:rsidRPr="005C2E9A" w:rsidRDefault="000147DB" w:rsidP="000147DB">
      <w:pPr>
        <w:spacing w:after="0" w:line="240" w:lineRule="auto"/>
        <w:jc w:val="both"/>
        <w:rPr>
          <w:rFonts w:eastAsia="Times New Roman" w:cs="Arial"/>
          <w:strike/>
          <w:color w:val="FF0000"/>
          <w:lang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Artikkel 16 Tehtavad kontrollid </w:t>
      </w:r>
    </w:p>
    <w:p w14:paraId="035D85BE" w14:textId="3ACB9AF0" w:rsidR="000147DB" w:rsidRPr="003E7524" w:rsidRDefault="000147DB" w:rsidP="000147DB">
      <w:pPr>
        <w:spacing w:after="0" w:line="240" w:lineRule="auto"/>
        <w:jc w:val="both"/>
        <w:rPr>
          <w:rFonts w:eastAsia="Times New Roman" w:cs="Arial"/>
        </w:rPr>
      </w:pPr>
      <w:r>
        <w:t>1) Majandusaasta aruannet kontrollitakse vastavalt 21. märtsi 2012. aasta seaduse artikli 35 lõikele 2.</w:t>
      </w:r>
    </w:p>
    <w:p w14:paraId="35E08884" w14:textId="77777777" w:rsidR="000147DB" w:rsidRPr="003E7524" w:rsidRDefault="000147DB" w:rsidP="000147DB">
      <w:pPr>
        <w:spacing w:after="0" w:line="240" w:lineRule="auto"/>
        <w:jc w:val="both"/>
        <w:rPr>
          <w:rFonts w:eastAsia="Times New Roman" w:cs="Arial"/>
        </w:rPr>
      </w:pPr>
      <w:r>
        <w:t>Kontrolli tegemiseks peavad pakendikäitlejad või tunnustatud organisatsioonid tegema audiitorile kättesaadavaks kõik raamatupidamisdokumendid ja muud eespool nimetatud aruannete aluseks olevad arvutuslikud elemendid.</w:t>
      </w:r>
    </w:p>
    <w:p w14:paraId="01E1F62A" w14:textId="77777777" w:rsidR="000147DB" w:rsidRPr="003E7524" w:rsidRDefault="000147DB" w:rsidP="000147DB">
      <w:pPr>
        <w:spacing w:after="0" w:line="240" w:lineRule="auto"/>
        <w:jc w:val="both"/>
        <w:rPr>
          <w:rFonts w:eastAsia="Times New Roman" w:cs="Arial"/>
        </w:rPr>
      </w:pPr>
      <w:r>
        <w:t>Tasusid audiitori kontrolli eest maksavad pakendikäitlejad või tunnustatud organisatsioon(id).</w:t>
      </w:r>
    </w:p>
    <w:p w14:paraId="54AD644D" w14:textId="3003CF77" w:rsidR="000147DB" w:rsidRPr="003E7524" w:rsidRDefault="000147DB" w:rsidP="000147DB">
      <w:pPr>
        <w:spacing w:after="0" w:line="240" w:lineRule="auto"/>
        <w:jc w:val="both"/>
        <w:rPr>
          <w:rFonts w:eastAsia="Times New Roman" w:cs="Arial"/>
        </w:rPr>
      </w:pPr>
      <w:r>
        <w:t>2) Audiitor peab audiitorikontrolli tulemused saatma viivitamatult keskkonnaametile.</w:t>
      </w:r>
    </w:p>
    <w:p w14:paraId="1AEDBCE9" w14:textId="77777777" w:rsidR="000147DB" w:rsidRPr="005C2E9A" w:rsidRDefault="000147DB" w:rsidP="000147DB">
      <w:pPr>
        <w:spacing w:after="0" w:line="240" w:lineRule="auto"/>
        <w:jc w:val="both"/>
        <w:rPr>
          <w:rFonts w:eastAsia="Times New Roman" w:cs="Arial"/>
          <w:b/>
          <w:bCs/>
          <w:lang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Artikkel 17 Rikkumiste uurimine ja tuvastamine</w:t>
      </w:r>
    </w:p>
    <w:p w14:paraId="7D85080C" w14:textId="77777777" w:rsidR="000147DB" w:rsidRPr="005C2E9A"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73929CE2" w14:textId="1D3ADFC0"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1) Lisaks politseijõududega seotud suurhertsogiriigi politsei liikmetele võib tolli- ja aktsiisiameti ametnikele alates </w:t>
      </w:r>
      <w:r>
        <w:rPr>
          <w:i/>
          <w:iCs/>
          <w:color w:val="FF0000"/>
          <w:sz w:val="24"/>
          <w:szCs w:val="24"/>
        </w:rPr>
        <w:t>brigadier</w:t>
      </w:r>
      <w:r>
        <w:rPr>
          <w:color w:val="FF0000"/>
          <w:sz w:val="24"/>
          <w:szCs w:val="24"/>
        </w:rPr>
        <w:t xml:space="preserve"> </w:t>
      </w:r>
      <w:r>
        <w:rPr>
          <w:i/>
          <w:iCs/>
          <w:color w:val="FF0000"/>
          <w:sz w:val="24"/>
          <w:szCs w:val="24"/>
        </w:rPr>
        <w:t>principal</w:t>
      </w:r>
      <w:r>
        <w:rPr>
          <w:color w:val="FF0000"/>
          <w:sz w:val="24"/>
          <w:szCs w:val="24"/>
        </w:rPr>
        <w:t>’i auastmest ja keskkonnaameti käitlusrühmade A1, A2 ja B1 ametnikele ja töötajatele teha ülesandeks uurida ja tuvastada käesoleva seaduse ja selle täitmisel vastu võetud eeskirjade rikkumisi.</w:t>
      </w:r>
    </w:p>
    <w:p w14:paraId="5A9972ED" w14:textId="77777777" w:rsidR="000147DB" w:rsidRPr="00045E59"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045E59">
        <w:rPr>
          <w:color w:val="FF0000"/>
          <w:spacing w:val="-4"/>
          <w:sz w:val="24"/>
          <w:szCs w:val="24"/>
        </w:rPr>
        <w:t>Tolli- ja aktsiisiameti ning keskkonnaameti töötajatel on oma ülesande täitmisel kriminaalpolitsei ametnike staatus. Nad konstateerivad rikkumised protokollidega, kuni pole tõendatud vastupidist.</w:t>
      </w:r>
    </w:p>
    <w:p w14:paraId="4BDACC6F" w14:textId="76A68238"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Lõikes 1 nimetatud ametnikud peavad olema saanud ametialase eriväljaõppe rikkumiste uurimiseks ja tuvastamiseks. Koolituse programm ja kestus ning teadmiste kontrollimise kord on täpsustatud suurhertsogi määrusega.</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Enne teenistusse asumist annavad nad Luxembourgi ringkonnakohtu tsviilkolleegiumi ees järgmise vande:</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„Vannun, et täidan oma tööülesandeid ausalt, täpselt ja erapooletult.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Kohaldatakse karistusseadustiku artiklit 458. </w:t>
      </w:r>
    </w:p>
    <w:p w14:paraId="181593C7" w14:textId="77777777" w:rsidR="000147DB" w:rsidRPr="005C2E9A" w:rsidRDefault="000147DB" w:rsidP="000147DB">
      <w:pPr>
        <w:spacing w:after="0" w:line="240" w:lineRule="auto"/>
        <w:jc w:val="both"/>
        <w:rPr>
          <w:rFonts w:eastAsia="Times New Roman" w:cs="Arial"/>
          <w:strike/>
          <w:color w:val="FF0000"/>
          <w:lang w:eastAsia="fr-FR"/>
        </w:rPr>
      </w:pPr>
    </w:p>
    <w:p w14:paraId="0ED2FC95" w14:textId="77777777" w:rsidR="000147DB" w:rsidRPr="005C2E9A" w:rsidRDefault="000147DB" w:rsidP="000147DB">
      <w:pPr>
        <w:spacing w:after="0" w:line="240" w:lineRule="auto"/>
        <w:jc w:val="both"/>
        <w:rPr>
          <w:rFonts w:eastAsia="Times New Roman" w:cs="Arial"/>
          <w:strike/>
          <w:color w:val="FF0000"/>
          <w:lang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lastRenderedPageBreak/>
        <w:t>Artikkel 18 Kontrollivolitused ja -eelisõigused</w:t>
      </w:r>
    </w:p>
    <w:p w14:paraId="16422B7B" w14:textId="6CDE8465"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Artiklis 17 nimetatud isikutel on juurdepääs päeval ja öösel ilma eelneva teatamiseta rajatistele, ruumidele, tööstusaladele, seadmetele ja transpordivahenditele, mille suhtes kohaldatakse käesolevat seadust ja selle rakendamiseks vastuvõetud määrusi. </w:t>
      </w:r>
    </w:p>
    <w:p w14:paraId="038ADE3C" w14:textId="2F89FFD1"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Lõike 1 sätteid ei kohaldata elamispindade suhtes.</w:t>
      </w:r>
    </w:p>
    <w:p w14:paraId="017C6164" w14:textId="5C27C8C5"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Ometi, ilma et see piiraks kriminaalmenetluse seadustiku artikli 33 lõike 1 kohaldamist, kui tõsine tõendusmaterjal vihjab sellele, et rikkumine on alguse saanud eluruumidest, võib kriminaalpolitsieametnik, suurhertsogiriigi politsei liige või ametnik artikli 45 tähenduses kella 6.30st kunikella 00.00ni teha koduvisiidi.</w:t>
      </w:r>
    </w:p>
    <w:p w14:paraId="1BB0F8A5" w14:textId="7D4E1138"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Lõigetes 1 ja 2 sätestatud volituste teostamisel on asjaomastel ametnikel lubatud:</w:t>
      </w:r>
    </w:p>
    <w:p w14:paraId="6F3F9813" w14:textId="36F78183"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saada teateid käesolevas seaduses nimetatud pakendite ja pakendijäätmetega seotud andmete ja dokumentide kohta;</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võtta või lasta uurimiseks või analüüsimiseks võtta käesolevas seaduses nimetatud pakendite ja pakendijäätmete proove. Proovi üks osa, mis on tembeldatud või pitseeritud, antakse rajatise, prügila või veovahendi käitajale või omaniku nimel omanikule, välja arvatud juhul, kui viimane sellest selgesõnaliselt loobub või kui seda takistavad tehnilised põhjused;</w:t>
      </w:r>
    </w:p>
    <w:p w14:paraId="7A3F87EB" w14:textId="50305548"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konfiskeerima ja vajaduse korral pitseerima käesolevas seaduses nimetatud pakendid ja pakendijäätmed, samuti nendega seotud andmed ja dokumendid.</w:t>
      </w:r>
    </w:p>
    <w:p w14:paraId="724E3F46" w14:textId="69448B10" w:rsidR="000147DB" w:rsidRPr="00045E59" w:rsidRDefault="000147DB" w:rsidP="000147DB">
      <w:pPr>
        <w:jc w:val="both"/>
        <w:rPr>
          <w:rFonts w:ascii="Calibri" w:eastAsia="Calibri" w:hAnsi="Calibri" w:cs="Times New Roman"/>
          <w:color w:val="FF0000"/>
          <w:spacing w:val="-4"/>
          <w:sz w:val="24"/>
          <w:szCs w:val="24"/>
        </w:rPr>
      </w:pPr>
      <w:r w:rsidRPr="00045E59">
        <w:rPr>
          <w:rFonts w:ascii="Calibri" w:hAnsi="Calibri"/>
          <w:color w:val="FF0000"/>
          <w:spacing w:val="-4"/>
          <w:sz w:val="24"/>
          <w:szCs w:val="24"/>
        </w:rPr>
        <w:t>4) Kõik isikud, kelle suhtes kehtivad lõikes 3 sätestatud meetmed, ja neid asendavad isikud peavad nende meetmete eest vastutavate ametnike taotlusel hõlbustama nende tehtavaid toiminguid.</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Eelmises lõigus nimetatud isikud võivad viibida nendel toimingutel.</w:t>
      </w:r>
    </w:p>
    <w:p w14:paraId="7303060C" w14:textId="0597D1D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Vaatluste ja toimingute kohta koostatakse aruanne.</w:t>
      </w:r>
    </w:p>
    <w:p w14:paraId="560BE14F" w14:textId="2C59BD3C"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Käesoleva artikli alusel võetud meetmetest tulenevad kulud on arvestatud sama asjaga seotud kohtukulude hulka. </w:t>
      </w:r>
    </w:p>
    <w:p w14:paraId="20CF83B8" w14:textId="77777777" w:rsidR="000147DB" w:rsidRPr="005C2E9A" w:rsidRDefault="000147DB" w:rsidP="000147DB">
      <w:pPr>
        <w:spacing w:after="0" w:line="240" w:lineRule="auto"/>
        <w:jc w:val="both"/>
        <w:rPr>
          <w:rFonts w:eastAsia="Times New Roman" w:cs="Arial"/>
          <w:strike/>
          <w:color w:val="FF0000"/>
          <w:lang w:eastAsia="fr-FR"/>
        </w:rPr>
      </w:pPr>
    </w:p>
    <w:p w14:paraId="53FCF286" w14:textId="77777777" w:rsidR="000147DB" w:rsidRPr="005C2E9A" w:rsidRDefault="000147DB" w:rsidP="000147DB">
      <w:pPr>
        <w:spacing w:after="0" w:line="240" w:lineRule="auto"/>
        <w:jc w:val="center"/>
        <w:rPr>
          <w:rFonts w:eastAsia="Calibri" w:cs="Arial"/>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Artikkel 19 Karistused</w:t>
      </w:r>
    </w:p>
    <w:p w14:paraId="18C8EB51" w14:textId="77777777" w:rsidR="000147DB" w:rsidRPr="005C2E9A"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Artikli 6 lõike 1, artikli 7 lõike 1 esimese lõigu punkti 3, artikli 8 lõike 1 teise lõigu, artikli 8 lõike 2, artikli 8 lõike 4, artikli 9 ja artikli 11 lõike 1 rikkumiste eest </w:t>
      </w:r>
      <w:r>
        <w:rPr>
          <w:color w:val="FF0000"/>
          <w:sz w:val="24"/>
          <w:szCs w:val="24"/>
          <w:vertAlign w:val="superscript"/>
        </w:rPr>
        <w:t>.</w:t>
      </w:r>
      <w:r>
        <w:rPr>
          <w:color w:val="FF0000"/>
          <w:sz w:val="24"/>
          <w:szCs w:val="24"/>
        </w:rPr>
        <w:t>karistatakse kaheksapäevase kuni kolmeaastase vanglakaristusega ja rahatrahviga 251–750 000 eurot või ühega neist karistustest.</w:t>
      </w:r>
    </w:p>
    <w:p w14:paraId="45DF1212" w14:textId="77777777" w:rsidR="000147DB" w:rsidRPr="005C2E9A" w:rsidRDefault="000147DB" w:rsidP="000147DB">
      <w:pPr>
        <w:autoSpaceDE w:val="0"/>
        <w:autoSpaceDN w:val="0"/>
        <w:adjustRightInd w:val="0"/>
        <w:spacing w:after="0" w:line="240" w:lineRule="auto"/>
        <w:jc w:val="both"/>
        <w:rPr>
          <w:rFonts w:eastAsia="Calibri" w:cs="TimesNewRoman"/>
          <w:color w:val="FF0000"/>
          <w:sz w:val="24"/>
          <w:szCs w:val="24"/>
          <w:lang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Samu karistusi kohaldatakse artikli 21 alusel kehtestatud haldusmeetmete takistamise või mittejärgimise korral.</w:t>
      </w:r>
    </w:p>
    <w:p w14:paraId="36E770B5" w14:textId="77777777" w:rsidR="000147DB" w:rsidRPr="005C2E9A" w:rsidRDefault="000147DB" w:rsidP="000147DB">
      <w:pPr>
        <w:spacing w:after="0" w:line="240" w:lineRule="auto"/>
        <w:rPr>
          <w:rFonts w:eastAsia="Calibri" w:cs="Arial"/>
        </w:rPr>
      </w:pPr>
    </w:p>
    <w:p w14:paraId="67DBA026" w14:textId="77777777" w:rsidR="000147DB" w:rsidRPr="005C2E9A" w:rsidRDefault="000147DB" w:rsidP="000147DB">
      <w:pPr>
        <w:spacing w:after="0" w:line="240" w:lineRule="auto"/>
        <w:jc w:val="both"/>
        <w:rPr>
          <w:rFonts w:eastAsia="Calibri" w:cs="Arial"/>
          <w:color w:val="FF0000"/>
        </w:rPr>
      </w:pPr>
    </w:p>
    <w:p w14:paraId="6F9BCE2F" w14:textId="77777777" w:rsidR="000147DB" w:rsidRPr="005C2E9A" w:rsidRDefault="000147DB" w:rsidP="000147DB">
      <w:pPr>
        <w:spacing w:after="0" w:line="240" w:lineRule="auto"/>
        <w:jc w:val="both"/>
        <w:rPr>
          <w:rFonts w:eastAsia="Times New Roman" w:cs="Arial"/>
          <w:b/>
          <w:u w:val="single"/>
          <w:lang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Artikkel 20 Haldustrahvid</w:t>
      </w:r>
    </w:p>
    <w:p w14:paraId="42AED218" w14:textId="77777777" w:rsidR="000147DB" w:rsidRPr="005C2E9A"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47BECB2B" w14:textId="30CB913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Minister võib määrata artikli 5 lõigete 1 ja 2, artikli 7 lõike 2 punkti a kolmanda lõigu, artikli 8 lõike 3 kolman</w:t>
      </w:r>
      <w:r w:rsidR="00555E6F">
        <w:rPr>
          <w:color w:val="FF0000"/>
          <w:sz w:val="24"/>
          <w:szCs w:val="24"/>
        </w:rPr>
        <w:t xml:space="preserve">da lõigu, artikli 12 </w:t>
      </w:r>
      <w:r>
        <w:rPr>
          <w:color w:val="FF0000"/>
          <w:sz w:val="24"/>
          <w:szCs w:val="24"/>
        </w:rPr>
        <w:t>lõike 2, artikli 14 lõigete 1 ja 2, artikli 15 või artikli 16 lõike 2 rikkumise eest haldustrahvi 50–10 000 eurot.</w:t>
      </w:r>
    </w:p>
    <w:p w14:paraId="7D851266" w14:textId="77777777" w:rsidR="000147DB" w:rsidRPr="005C2E9A" w:rsidRDefault="000147DB" w:rsidP="000147DB">
      <w:pPr>
        <w:autoSpaceDE w:val="0"/>
        <w:autoSpaceDN w:val="0"/>
        <w:adjustRightInd w:val="0"/>
        <w:spacing w:after="0"/>
        <w:jc w:val="both"/>
        <w:rPr>
          <w:rFonts w:cs="TimesNewRoman"/>
          <w:color w:val="FF0000"/>
          <w:sz w:val="24"/>
          <w:szCs w:val="24"/>
          <w:lang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Trahvid tuleb tasuda kahe kuu jooksul alates kirjaliku otsuse teatavakstegemisest.</w:t>
      </w:r>
    </w:p>
    <w:p w14:paraId="6134B9EE" w14:textId="77777777" w:rsidR="000147DB" w:rsidRPr="005C2E9A" w:rsidRDefault="000147DB" w:rsidP="000147DB">
      <w:pPr>
        <w:autoSpaceDE w:val="0"/>
        <w:autoSpaceDN w:val="0"/>
        <w:adjustRightInd w:val="0"/>
        <w:spacing w:after="0"/>
        <w:jc w:val="both"/>
        <w:rPr>
          <w:rFonts w:cs="TimesNewRoman"/>
          <w:color w:val="FF0000"/>
          <w:sz w:val="24"/>
          <w:szCs w:val="24"/>
          <w:lang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Haldustrahve nõuavad sisse registreerimis-, kinnisvara- ja käibemaksuamet. Tagasinõudmine toimub samamoodi, nagu registreerimistasude puhul.</w:t>
      </w:r>
    </w:p>
    <w:p w14:paraId="79836004" w14:textId="77777777" w:rsidR="000147DB" w:rsidRPr="005C2E9A" w:rsidRDefault="000147DB" w:rsidP="000147DB">
      <w:pPr>
        <w:spacing w:after="0" w:line="240" w:lineRule="auto"/>
        <w:jc w:val="both"/>
        <w:rPr>
          <w:rFonts w:eastAsia="Times New Roman" w:cs="Arial"/>
          <w:b/>
          <w:color w:val="FF0000"/>
          <w:u w:val="single"/>
          <w:lang w:eastAsia="fr-FR"/>
        </w:rPr>
      </w:pPr>
    </w:p>
    <w:p w14:paraId="40076A38" w14:textId="77777777" w:rsidR="000147DB" w:rsidRPr="005C2E9A" w:rsidRDefault="000147DB" w:rsidP="000147DB">
      <w:pPr>
        <w:spacing w:after="0" w:line="240" w:lineRule="auto"/>
        <w:jc w:val="both"/>
        <w:rPr>
          <w:rFonts w:eastAsia="Times New Roman" w:cs="Arial"/>
          <w:b/>
          <w:u w:val="single"/>
          <w:lang w:eastAsia="fr-FR"/>
        </w:rPr>
      </w:pPr>
    </w:p>
    <w:p w14:paraId="7782CE6B" w14:textId="77777777" w:rsidR="000147DB" w:rsidRPr="005C2E9A" w:rsidRDefault="000147DB" w:rsidP="000147DB">
      <w:pPr>
        <w:spacing w:after="0" w:line="240" w:lineRule="auto"/>
        <w:jc w:val="both"/>
        <w:rPr>
          <w:rFonts w:eastAsia="Times New Roman" w:cs="Arial"/>
          <w:b/>
          <w:u w:val="single"/>
          <w:lang w:eastAsia="fr-FR"/>
        </w:rPr>
      </w:pPr>
    </w:p>
    <w:p w14:paraId="7035C42C" w14:textId="77777777" w:rsidR="000147DB" w:rsidRPr="005C2E9A" w:rsidRDefault="000147DB" w:rsidP="000147DB">
      <w:pPr>
        <w:spacing w:after="0" w:line="240" w:lineRule="auto"/>
        <w:jc w:val="both"/>
        <w:rPr>
          <w:rFonts w:eastAsia="Times New Roman" w:cs="Arial"/>
          <w:b/>
          <w:u w:val="single"/>
          <w:lang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t xml:space="preserve">Artikkel 21 </w:t>
      </w:r>
      <w:r>
        <w:rPr>
          <w:b/>
          <w:bCs/>
          <w:iCs/>
        </w:rPr>
        <w:t>Haldusmeetmed</w:t>
      </w:r>
    </w:p>
    <w:p w14:paraId="5F403B1E" w14:textId="77777777" w:rsidR="000147DB" w:rsidRPr="005C2E9A" w:rsidRDefault="000147DB" w:rsidP="00B972B3">
      <w:pPr>
        <w:keepNext/>
        <w:keepLines/>
        <w:spacing w:after="0" w:line="240" w:lineRule="auto"/>
        <w:jc w:val="both"/>
        <w:rPr>
          <w:rFonts w:eastAsia="Times New Roman" w:cs="Arial"/>
          <w:b/>
          <w:bCs/>
          <w:iCs/>
          <w:lang w:eastAsia="fr-FR"/>
        </w:rPr>
      </w:pPr>
    </w:p>
    <w:p w14:paraId="3E28D60D" w14:textId="30238480" w:rsidR="000147DB" w:rsidRPr="003E7524" w:rsidRDefault="000147DB" w:rsidP="00B972B3">
      <w:pPr>
        <w:keepNext/>
        <w:keepLines/>
        <w:spacing w:after="0" w:line="240" w:lineRule="auto"/>
        <w:jc w:val="both"/>
        <w:rPr>
          <w:rFonts w:eastAsia="Times New Roman" w:cs="Arial"/>
        </w:rPr>
      </w:pPr>
      <w:r>
        <w:t>1) Käesoleva seaduse artiklis 19 sanktsioneeritud sätete mittejärgimise korral võib minister:</w:t>
      </w:r>
    </w:p>
    <w:p w14:paraId="3FA876A2" w14:textId="77777777" w:rsidR="000147DB" w:rsidRPr="00B972B3" w:rsidRDefault="000147DB" w:rsidP="000147DB">
      <w:pPr>
        <w:spacing w:after="0" w:line="240" w:lineRule="auto"/>
        <w:jc w:val="both"/>
        <w:rPr>
          <w:rFonts w:eastAsia="Times New Roman" w:cs="Arial"/>
          <w:spacing w:val="-4"/>
        </w:rPr>
      </w:pPr>
      <w:r>
        <w:t>määrata pakendikäitlejale, tunnustatud organisatsioonile või muule asjaomasele isikule tähtaja, mille jooksul ta peab neid sätteid järgima, kusjuures tähtaeg ei tohi ületada kahte aastat;</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szCs w:val="24"/>
        </w:rPr>
        <w:t>2) peatada pakendikäitleja või tunnustatud organisatsiooni tegevus tervikuna või osaliselt, peatada käitise käitamine või käitis täielikult või osaliselt sulgeda ning pitseerida või keelata pakendeid ja pakendijäätmeid turule viia või nõuda käesolevas seaduses nimetatud pakendite ja pakendijäätmete turult kõrvaldamist. </w:t>
      </w:r>
    </w:p>
    <w:p w14:paraId="5BBBA105" w14:textId="77777777" w:rsidR="000147DB" w:rsidRPr="005C2E9A" w:rsidRDefault="000147DB" w:rsidP="000147DB">
      <w:pPr>
        <w:spacing w:after="0" w:line="240" w:lineRule="auto"/>
        <w:jc w:val="both"/>
        <w:rPr>
          <w:rFonts w:eastAsia="Times New Roman" w:cs="Arial"/>
          <w:lang w:eastAsia="fr-FR"/>
        </w:rPr>
      </w:pPr>
    </w:p>
    <w:p w14:paraId="481D1A7A" w14:textId="77777777" w:rsidR="000147DB" w:rsidRPr="005C2E9A" w:rsidRDefault="000147DB" w:rsidP="000147DB">
      <w:pPr>
        <w:spacing w:after="0" w:line="240" w:lineRule="auto"/>
        <w:jc w:val="both"/>
        <w:rPr>
          <w:rFonts w:eastAsia="Times New Roman" w:cs="Arial"/>
          <w:lang w:eastAsia="fr-FR"/>
        </w:rPr>
      </w:pPr>
    </w:p>
    <w:p w14:paraId="1F8D961C" w14:textId="5D9F01A8" w:rsidR="000147DB" w:rsidRPr="003E7524" w:rsidRDefault="000147DB" w:rsidP="000147DB">
      <w:pPr>
        <w:spacing w:after="0" w:line="240" w:lineRule="auto"/>
        <w:jc w:val="both"/>
        <w:rPr>
          <w:rFonts w:eastAsia="Times New Roman" w:cs="Arial"/>
        </w:rPr>
      </w:pPr>
      <w:r>
        <w:t>2) Lõikes 1 nimetatud meetmeid võib kohaldada iga huvitatud isik</w:t>
      </w:r>
    </w:p>
    <w:p w14:paraId="15C47735" w14:textId="380F7E19" w:rsidR="000147DB" w:rsidRPr="003E7524" w:rsidRDefault="000147DB" w:rsidP="000147DB">
      <w:pPr>
        <w:spacing w:after="0" w:line="240" w:lineRule="auto"/>
        <w:jc w:val="both"/>
        <w:rPr>
          <w:rFonts w:eastAsia="Times New Roman" w:cs="Arial"/>
        </w:rPr>
      </w:pPr>
      <w:r>
        <w:t>3) Lõikes 1 loetletud meetmete rakendamine lõpetatakse, kui pakendikäitleja, tunnustatud organisatsioon või muu asjaomane isik on nõuetele vastav.</w:t>
      </w:r>
    </w:p>
    <w:p w14:paraId="2D1DE739" w14:textId="77777777" w:rsidR="000147DB" w:rsidRPr="005C2E9A" w:rsidRDefault="000147DB" w:rsidP="000147DB">
      <w:pPr>
        <w:spacing w:after="0" w:line="240" w:lineRule="auto"/>
        <w:jc w:val="both"/>
        <w:rPr>
          <w:rFonts w:eastAsia="Times New Roman" w:cs="Arial"/>
          <w:b/>
          <w:bCs/>
          <w:lang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Artikkel 22 </w:t>
      </w:r>
      <w:r>
        <w:rPr>
          <w:b/>
          <w:bCs/>
          <w:iCs/>
        </w:rPr>
        <w:t>Vaidlustamine</w:t>
      </w:r>
    </w:p>
    <w:p w14:paraId="777CA2C3" w14:textId="4565466B" w:rsidR="000147DB" w:rsidRPr="003E7524" w:rsidRDefault="000147DB" w:rsidP="000147DB">
      <w:pPr>
        <w:spacing w:after="0" w:line="240" w:lineRule="auto"/>
        <w:jc w:val="both"/>
        <w:rPr>
          <w:rFonts w:eastAsia="Times New Roman" w:cs="Arial"/>
        </w:rPr>
      </w:pPr>
      <w:r>
        <w:t>Käesoleva seaduse alusel tehtud otsuste peale saab esitada kaebuse halduskohtule. Apellatsioonkaebus tuleb esitada konfiskeerimise korral neljakümne päeva jooksul alates otsuse teatavakstegemisest. Apellatsioonikaebuse saavad esitada ka artiklis 23 nimetatud ühendused ja organisatsioonid.</w:t>
      </w:r>
    </w:p>
    <w:p w14:paraId="037D069C" w14:textId="77777777" w:rsidR="000147DB" w:rsidRPr="005C2E9A" w:rsidRDefault="000147DB" w:rsidP="000147DB">
      <w:pPr>
        <w:spacing w:after="0" w:line="240" w:lineRule="auto"/>
        <w:jc w:val="both"/>
        <w:rPr>
          <w:rFonts w:eastAsia="Times New Roman" w:cs="Arial"/>
          <w:lang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Artikkel 23 </w:t>
      </w:r>
      <w:r>
        <w:rPr>
          <w:b/>
          <w:bCs/>
          <w:iCs/>
          <w:color w:val="000000"/>
        </w:rPr>
        <w:t>Tunnustatud keskkonnarühmituste õigus pöörduda kohtusse</w:t>
      </w:r>
    </w:p>
    <w:p w14:paraId="54A6D588" w14:textId="7234A958" w:rsidR="000147DB" w:rsidRPr="00045E59" w:rsidRDefault="000147DB" w:rsidP="000147DB">
      <w:pPr>
        <w:spacing w:after="0" w:line="240" w:lineRule="auto"/>
        <w:jc w:val="both"/>
        <w:rPr>
          <w:rFonts w:eastAsia="Times New Roman" w:cs="Arial"/>
          <w:color w:val="000000"/>
          <w:spacing w:val="-4"/>
        </w:rPr>
      </w:pPr>
      <w:r w:rsidRPr="00045E59">
        <w:rPr>
          <w:color w:val="000000"/>
          <w:spacing w:val="-4"/>
        </w:rPr>
        <w:t>21. märtsi 2012. aasta seaduse kohaselt tunnustatud ühingud ja organisatsioonid võivad teostada õigusi, mis on antud poolele tsiviilasjades, seoses faktiliste asjaoludega, mida käsitletakse käesoleva seaduse tähenduses rikkumisena ja mis tekitavad otsest või kaudset kahju ühishuvidele, mida nad soovivad kaitsta, isegi kui need ei õigusta olulist huvi ja isegi kui ühishuvid, milles nad tegutsevad, on täielikult hõlmatud sotsiaalse huviga, mille kaitsmise tagab Riigiprokuratuur. Sama kehtib välisriigi seadusega reguleeritud juriidilistest isikutest ühingute ja organisatsioonide kohta, kes tegutsevad oma põhikirja järgselt keskkonnakaitse valdkonnas.</w:t>
      </w:r>
    </w:p>
    <w:p w14:paraId="1F5A9B0C" w14:textId="77777777" w:rsidR="000147DB" w:rsidRPr="005C2E9A" w:rsidRDefault="000147DB" w:rsidP="000147DB">
      <w:pPr>
        <w:spacing w:after="0" w:line="240" w:lineRule="auto"/>
        <w:jc w:val="both"/>
        <w:rPr>
          <w:rFonts w:eastAsia="Times New Roman" w:cs="Arial"/>
          <w:lang w:eastAsia="fr-FR"/>
        </w:rPr>
      </w:pPr>
    </w:p>
    <w:p w14:paraId="71FAF0A0" w14:textId="77777777" w:rsidR="000147DB" w:rsidRPr="005C2E9A" w:rsidRDefault="000147DB" w:rsidP="000147DB">
      <w:pPr>
        <w:spacing w:after="0" w:line="240" w:lineRule="auto"/>
        <w:jc w:val="both"/>
        <w:rPr>
          <w:rFonts w:eastAsia="Times New Roman" w:cs="Arial"/>
          <w:lang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lastRenderedPageBreak/>
        <w:t>Artikkel 24 Lisad </w:t>
      </w:r>
    </w:p>
    <w:p w14:paraId="442B7DA9" w14:textId="77777777" w:rsidR="000147DB" w:rsidRPr="005C2E9A" w:rsidRDefault="000147DB" w:rsidP="00B972B3">
      <w:pPr>
        <w:keepNext/>
        <w:keepLines/>
        <w:autoSpaceDE w:val="0"/>
        <w:autoSpaceDN w:val="0"/>
        <w:adjustRightInd w:val="0"/>
        <w:spacing w:after="0" w:line="240" w:lineRule="auto"/>
        <w:jc w:val="both"/>
        <w:rPr>
          <w:rFonts w:cs="TimesNewRoman"/>
          <w:color w:val="FF0000"/>
          <w:sz w:val="24"/>
          <w:szCs w:val="24"/>
          <w:u w:val="single"/>
          <w:lang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Artikkel 24 Euroopa Parlamendi ja nõukogu 20. detsembri 1994. aasta direktiivi 94/62/EÜ pakendite ja pakendijäätmete kohta, mida on muudetud Euroopa Komisjoni delegeeritud õigusaktidega, I lisa, mis on vastu võetud kooskõlas nimetatud direktiivi artikli 19 lõikega 2 ja artikliga 21a, muudatused.</w:t>
      </w:r>
    </w:p>
    <w:p w14:paraId="08B11AB8" w14:textId="77777777" w:rsidR="000147DB" w:rsidRPr="005C2E9A" w:rsidRDefault="000147DB" w:rsidP="000147DB">
      <w:pPr>
        <w:autoSpaceDE w:val="0"/>
        <w:autoSpaceDN w:val="0"/>
        <w:adjustRightInd w:val="0"/>
        <w:spacing w:after="0" w:line="240" w:lineRule="auto"/>
        <w:jc w:val="both"/>
        <w:rPr>
          <w:rFonts w:cs="TimesNewRoman"/>
          <w:b/>
          <w:color w:val="FF0000"/>
          <w:sz w:val="24"/>
          <w:szCs w:val="24"/>
          <w:lang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Euroopa Parlamendi ja nõukogu 20. detsembri 1994. aasta direktiivi 94/62/EÜ pakendite ja pakendijäätmete kohta, mida on muudetud Euroopa Komisjoni delegeeritud õigusaktidega, I lisas, mis on vastu võetud kooskõlas nimetatud direktiivi artikli 19 lõikega 2 ja artikliga 21a, muudatusi kohaldatakse jõustumisega alates Euroopa Komisjoni asjakohaste õigusaktide jõustumise kuupäevast.</w:t>
      </w:r>
    </w:p>
    <w:p w14:paraId="6EBC782C" w14:textId="594B5FB2"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Minister avaldab arvamuse Luksemburgi Suurhertsogiriigi ametlikus väljaandes, andes teavet sel viisil tehtud muudatuste kohta ja lisades viite Euroopa Liidu Teatajas avaldatud õigusaktile. </w:t>
      </w:r>
    </w:p>
    <w:p w14:paraId="4F5B1630" w14:textId="77777777" w:rsidR="000147DB" w:rsidRPr="005C2E9A" w:rsidRDefault="000147DB" w:rsidP="000147DB">
      <w:pPr>
        <w:autoSpaceDE w:val="0"/>
        <w:autoSpaceDN w:val="0"/>
        <w:adjustRightInd w:val="0"/>
        <w:spacing w:after="0" w:line="240" w:lineRule="auto"/>
        <w:jc w:val="both"/>
        <w:rPr>
          <w:rFonts w:cs="TimesNewRoman"/>
          <w:sz w:val="24"/>
          <w:szCs w:val="24"/>
          <w:lang w:eastAsia="fr-BE"/>
        </w:rPr>
      </w:pPr>
    </w:p>
    <w:p w14:paraId="746EFFFC" w14:textId="77777777" w:rsidR="000147DB" w:rsidRPr="005C2E9A" w:rsidRDefault="000147DB" w:rsidP="000147DB">
      <w:pPr>
        <w:spacing w:after="0" w:line="240" w:lineRule="auto"/>
        <w:jc w:val="both"/>
        <w:rPr>
          <w:rFonts w:ascii="Times New Roman" w:eastAsia="Times New Roman" w:hAnsi="Times New Roman" w:cs="Times New Roman"/>
          <w:sz w:val="24"/>
          <w:szCs w:val="24"/>
          <w:lang w:eastAsia="fr-FR"/>
        </w:rPr>
      </w:pPr>
    </w:p>
    <w:p w14:paraId="615F4A80" w14:textId="6951941F" w:rsidR="000147DB" w:rsidRPr="005C2E9A" w:rsidRDefault="000147DB" w:rsidP="000147DB">
      <w:pPr>
        <w:spacing w:after="200" w:line="276" w:lineRule="auto"/>
        <w:rPr>
          <w:rFonts w:eastAsia="Times New Roman" w:cs="Arial"/>
          <w:b/>
          <w:color w:val="000000"/>
          <w:lang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I LISA</w:t>
      </w:r>
    </w:p>
    <w:p w14:paraId="3C2BC896" w14:textId="3BA30DED" w:rsidR="000147DB" w:rsidRPr="003E7524" w:rsidRDefault="000147DB" w:rsidP="00B972B3">
      <w:pPr>
        <w:keepNext/>
        <w:keepLines/>
        <w:spacing w:after="0" w:line="240" w:lineRule="auto"/>
        <w:jc w:val="center"/>
        <w:rPr>
          <w:rFonts w:eastAsia="Times New Roman" w:cs="Arial"/>
          <w:b/>
          <w:bCs/>
          <w:color w:val="000000"/>
        </w:rPr>
      </w:pPr>
      <w:r>
        <w:rPr>
          <w:b/>
          <w:bCs/>
          <w:color w:val="000000"/>
        </w:rPr>
        <w:t>PAKENDI KOOSTIST, KORDUS- JA TAASKASUTATAVUST (EESKÄTT RINGLUST) KÄSITLEVAD ERINÕUDED</w:t>
      </w:r>
    </w:p>
    <w:p w14:paraId="76BAF4AF" w14:textId="77777777" w:rsidR="000147DB" w:rsidRPr="005C2E9A" w:rsidRDefault="000147DB" w:rsidP="00B972B3">
      <w:pPr>
        <w:keepNext/>
        <w:keepLines/>
        <w:spacing w:after="0" w:line="240" w:lineRule="auto"/>
        <w:jc w:val="center"/>
        <w:rPr>
          <w:rFonts w:eastAsia="Times New Roman" w:cs="Arial"/>
          <w:color w:val="000000"/>
          <w:lang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 xml:space="preserve">1) </w:t>
      </w:r>
      <w:r>
        <w:rPr>
          <w:b/>
          <w:bCs/>
          <w:iCs/>
        </w:rPr>
        <w:t>Pakendi valmistamist ja koostist käsitlevad nõuded</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Pakend peab olema valmistatud nii, et selle miinimumini viidud maht ja mass tagaksid vajaliku ohutus-, hügieeni- ja vastuvõetavustaseme nii pakendatud tootele kui tarbijale.</w:t>
      </w:r>
    </w:p>
    <w:p w14:paraId="629D9CA7" w14:textId="17BC5018" w:rsidR="000147DB" w:rsidRPr="00045E59" w:rsidRDefault="000147DB" w:rsidP="000147DB">
      <w:pPr>
        <w:autoSpaceDE w:val="0"/>
        <w:autoSpaceDN w:val="0"/>
        <w:adjustRightInd w:val="0"/>
        <w:spacing w:after="0"/>
        <w:jc w:val="both"/>
        <w:rPr>
          <w:rFonts w:cs="TimesNewRoman"/>
          <w:color w:val="FF0000"/>
          <w:spacing w:val="-4"/>
          <w:sz w:val="24"/>
          <w:szCs w:val="24"/>
        </w:rPr>
      </w:pPr>
      <w:r w:rsidRPr="00045E59">
        <w:rPr>
          <w:color w:val="FF0000"/>
          <w:spacing w:val="-4"/>
          <w:sz w:val="24"/>
          <w:szCs w:val="24"/>
        </w:rPr>
        <w:t>b) Pakend kavandatakse, toodetakse ja turustatakse viisil, mis võimaldab selle kordus- või taaskasutamist, sealhulgas ringlussevõttu – vastavalt jäätmehierarhiale – ja selle keskkonnamõju vähendamist miinimumini pakendijäätmete ja pakendijäätmete käitlemise jääkide kõrvaldamisel. </w:t>
      </w:r>
    </w:p>
    <w:p w14:paraId="538F9353" w14:textId="77777777" w:rsidR="000147DB" w:rsidRPr="005C2E9A" w:rsidRDefault="000147DB" w:rsidP="000147DB">
      <w:pPr>
        <w:spacing w:after="0" w:line="240" w:lineRule="auto"/>
        <w:jc w:val="both"/>
        <w:rPr>
          <w:rFonts w:eastAsia="Times New Roman" w:cs="Arial"/>
          <w:strike/>
          <w:color w:val="FF0000"/>
          <w:lang w:eastAsia="fr-FR"/>
        </w:rPr>
      </w:pPr>
    </w:p>
    <w:p w14:paraId="4613BD21" w14:textId="77777777" w:rsidR="000147DB" w:rsidRPr="005C2E9A" w:rsidRDefault="000147DB" w:rsidP="000147DB">
      <w:pPr>
        <w:spacing w:after="0" w:line="240" w:lineRule="auto"/>
        <w:jc w:val="both"/>
        <w:rPr>
          <w:rFonts w:eastAsia="Times New Roman" w:cs="Arial"/>
          <w:strike/>
          <w:color w:val="FF0000"/>
          <w:lang w:eastAsia="fr-FR"/>
        </w:rPr>
      </w:pPr>
    </w:p>
    <w:p w14:paraId="7E4B7CFE" w14:textId="77777777" w:rsidR="000147DB" w:rsidRPr="00045E59" w:rsidRDefault="000147DB" w:rsidP="000147DB">
      <w:pPr>
        <w:spacing w:after="0" w:line="240" w:lineRule="auto"/>
        <w:jc w:val="both"/>
        <w:rPr>
          <w:rFonts w:eastAsia="Times New Roman" w:cs="Arial"/>
          <w:color w:val="000000"/>
          <w:spacing w:val="-6"/>
        </w:rPr>
      </w:pPr>
      <w:r w:rsidRPr="00045E59">
        <w:rPr>
          <w:color w:val="000000"/>
          <w:spacing w:val="-6"/>
        </w:rPr>
        <w:t>c) Pakend peab olema valmistatud nii, et mürgiste ja teiste ohtlike ainete ja materjalide sisaldus pakendimaterjalis või pakendiosades oleks minimaalne, pidades silmas nende ainete sisaldust pakendite, käitlemisjääkide või pakendijäätmete põletamisel või prügilasse viimisel tekkivates heitmetes, tuhas või nõrgvees.</w:t>
      </w:r>
    </w:p>
    <w:p w14:paraId="31070C98" w14:textId="77777777" w:rsidR="000147DB" w:rsidRPr="005C2E9A" w:rsidRDefault="000147DB" w:rsidP="000147DB">
      <w:pPr>
        <w:spacing w:after="0" w:line="240" w:lineRule="auto"/>
        <w:rPr>
          <w:rFonts w:eastAsia="Times New Roman" w:cs="Arial"/>
          <w:color w:val="000000"/>
          <w:lang w:eastAsia="fr-FR"/>
        </w:rPr>
      </w:pPr>
    </w:p>
    <w:p w14:paraId="767AE17B" w14:textId="795A03E7" w:rsidR="000147DB" w:rsidRPr="003E7524" w:rsidRDefault="000147DB" w:rsidP="00B972B3">
      <w:pPr>
        <w:keepNext/>
        <w:keepLines/>
        <w:spacing w:after="0" w:line="240" w:lineRule="auto"/>
        <w:jc w:val="center"/>
        <w:rPr>
          <w:rFonts w:eastAsia="Times New Roman" w:cs="Arial"/>
          <w:color w:val="000000"/>
        </w:rPr>
      </w:pPr>
      <w:r>
        <w:rPr>
          <w:b/>
          <w:bCs/>
          <w:color w:val="000000"/>
        </w:rPr>
        <w:t>2) Pakendi korduskasutatavust käsitlevad erinõuded</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Samaaegselt peavad olema täidetud järgmised nõuded:</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pakendi füüsikalised omadused peavad võimaldama mitut veo- või kasutuskorda tavaliste kasutustingimuste korral,</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võimalus kasutatud pakendit töödelda, pidades silmas töötajate tervishoiu- ja ohutusnõudeid,</w:t>
      </w:r>
    </w:p>
    <w:p w14:paraId="3D452CEF" w14:textId="03B2AF16" w:rsidR="000147DB" w:rsidRPr="003E7524" w:rsidRDefault="000147DB" w:rsidP="000147DB">
      <w:pPr>
        <w:spacing w:after="0" w:line="240" w:lineRule="auto"/>
        <w:jc w:val="both"/>
        <w:rPr>
          <w:rFonts w:eastAsia="Times New Roman" w:cs="Arial"/>
          <w:color w:val="000000"/>
        </w:rPr>
      </w:pPr>
      <w:r>
        <w:rPr>
          <w:color w:val="000000"/>
        </w:rPr>
        <w:t>c) kui pakendit enam ei korduskasutata ja see muutub jäätmeteks, järgitakse korduskasutatavale pakendile esitatavaid nõudeid.</w:t>
      </w:r>
    </w:p>
    <w:p w14:paraId="21D9B2BB" w14:textId="77777777" w:rsidR="000147DB" w:rsidRPr="005C2E9A" w:rsidRDefault="000147DB" w:rsidP="000147DB">
      <w:pPr>
        <w:spacing w:after="0" w:line="240" w:lineRule="auto"/>
        <w:rPr>
          <w:rFonts w:eastAsia="Times New Roman" w:cs="Arial"/>
          <w:color w:val="000000"/>
          <w:lang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Pakendi taaskasutatavust käsitlevad erinõuded</w:t>
      </w:r>
    </w:p>
    <w:p w14:paraId="1EE282C0" w14:textId="78F39AC8" w:rsidR="000147DB" w:rsidRPr="003E7524" w:rsidRDefault="000147DB" w:rsidP="00B972B3">
      <w:pPr>
        <w:keepNext/>
        <w:keepLines/>
        <w:spacing w:after="0" w:line="240" w:lineRule="auto"/>
        <w:jc w:val="both"/>
        <w:rPr>
          <w:rFonts w:eastAsia="Times New Roman" w:cs="Arial"/>
          <w:color w:val="000000"/>
        </w:rPr>
      </w:pPr>
      <w:r>
        <w:rPr>
          <w:color w:val="000000"/>
        </w:rPr>
        <w:t xml:space="preserve">a) Materjali ringlussevõtu teel korduskasutatav pakend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Pakend peab olema valmistatud viisil, mis võimaldab kasutatud materjalide massist teatava protsendi ringlussevõttu turustatavate toodete valmistamiseks vastavalt Euroopa Liidus kehtivatele standarditele. See protsent võib muutuda olenevalt selle materjali tüübist, millest pakend koosneb.</w:t>
      </w:r>
    </w:p>
    <w:p w14:paraId="1A7B37E6" w14:textId="3485E8E9" w:rsidR="000147DB" w:rsidRPr="003E7524" w:rsidRDefault="000147DB" w:rsidP="00B972B3">
      <w:pPr>
        <w:keepNext/>
        <w:keepLines/>
        <w:spacing w:after="0" w:line="240" w:lineRule="auto"/>
        <w:jc w:val="both"/>
        <w:rPr>
          <w:rFonts w:eastAsia="Times New Roman" w:cs="Arial"/>
          <w:color w:val="000000"/>
        </w:rPr>
      </w:pPr>
      <w:r>
        <w:rPr>
          <w:color w:val="000000"/>
        </w:rPr>
        <w:t xml:space="preserve">b) Energia taaskasutamise teel korduskasutatav pakend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Energiakasutuse eesmärgil töödeldavatel pakendijäätmetel peab olema minimaalne kütteväärtus, et võimaldada energia taaskasutamise optimeerimist.</w:t>
      </w:r>
    </w:p>
    <w:p w14:paraId="47DD47B7" w14:textId="59E85791" w:rsidR="000147DB" w:rsidRPr="003E7524" w:rsidRDefault="000147DB" w:rsidP="00B972B3">
      <w:pPr>
        <w:keepNext/>
        <w:keepLines/>
        <w:spacing w:after="0" w:line="240" w:lineRule="auto"/>
        <w:jc w:val="both"/>
        <w:rPr>
          <w:rFonts w:eastAsia="Times New Roman" w:cs="Arial"/>
          <w:color w:val="000000"/>
        </w:rPr>
      </w:pPr>
      <w:r>
        <w:rPr>
          <w:color w:val="000000"/>
        </w:rPr>
        <w:t>c) Kompostimise teel kordus</w:t>
      </w:r>
      <w:r w:rsidR="00555E6F">
        <w:rPr>
          <w:color w:val="000000"/>
        </w:rPr>
        <w:t>kasutatav pakend</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Kompostimise eesmärgil töödeldavate pakendijäätmete biolagundatavus peaks võimaldama eraldi kogumist ja kompostimist või tegevust, milleks neid jäätmeid kasutatakse.</w:t>
      </w:r>
    </w:p>
    <w:p w14:paraId="36128ACA" w14:textId="77777777" w:rsidR="000147DB" w:rsidRPr="005C2E9A" w:rsidRDefault="000147DB" w:rsidP="000147DB">
      <w:pPr>
        <w:spacing w:after="0" w:line="240" w:lineRule="auto"/>
        <w:jc w:val="both"/>
        <w:rPr>
          <w:rFonts w:eastAsia="Times New Roman" w:cs="Arial"/>
          <w:color w:val="000000"/>
          <w:lang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t>d) Biolagunev pakend</w:t>
      </w:r>
    </w:p>
    <w:p w14:paraId="7A56FE8C" w14:textId="77777777" w:rsidR="000147DB" w:rsidRPr="00045E59" w:rsidRDefault="000147DB" w:rsidP="000147DB">
      <w:pPr>
        <w:autoSpaceDE w:val="0"/>
        <w:autoSpaceDN w:val="0"/>
        <w:adjustRightInd w:val="0"/>
        <w:spacing w:after="0"/>
        <w:jc w:val="both"/>
        <w:rPr>
          <w:rFonts w:cs="TimesNewRoman"/>
          <w:color w:val="FF0000"/>
          <w:spacing w:val="-6"/>
          <w:sz w:val="24"/>
          <w:szCs w:val="24"/>
        </w:rPr>
      </w:pPr>
      <w:r w:rsidRPr="00045E59">
        <w:rPr>
          <w:color w:val="FF0000"/>
          <w:spacing w:val="-6"/>
          <w:sz w:val="24"/>
          <w:szCs w:val="24"/>
        </w:rPr>
        <w:t xml:space="preserve">Biolagunevad pakendijäätmed peavad lagunema nii füüsiliselt, keemiliselt, soojuslikult kui bioloogiliselt, nii et suurem osa lõppkompostist laguneb lõpuks süsinikdioksiidiks, biomassiks ja veeks.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Oksüdantide toimel lagunevaid plastpakendeid ei loeta biolagunevateks.</w:t>
      </w:r>
    </w:p>
    <w:p w14:paraId="4D209010" w14:textId="77777777" w:rsidR="000147DB" w:rsidRPr="005C2E9A" w:rsidRDefault="000147DB" w:rsidP="000147DB">
      <w:pPr>
        <w:autoSpaceDE w:val="0"/>
        <w:autoSpaceDN w:val="0"/>
        <w:adjustRightInd w:val="0"/>
        <w:spacing w:after="0"/>
        <w:jc w:val="both"/>
        <w:rPr>
          <w:rFonts w:cs="TimesNewRoman"/>
          <w:sz w:val="24"/>
          <w:szCs w:val="24"/>
          <w:lang w:eastAsia="fr-BE"/>
        </w:rPr>
      </w:pPr>
    </w:p>
    <w:p w14:paraId="75439D96" w14:textId="77777777" w:rsidR="000147DB" w:rsidRPr="005C2E9A" w:rsidRDefault="000147DB" w:rsidP="000147DB">
      <w:pPr>
        <w:spacing w:after="0" w:line="240" w:lineRule="auto"/>
        <w:rPr>
          <w:rFonts w:eastAsia="Times New Roman" w:cs="Arial"/>
          <w:color w:val="000000"/>
          <w:lang w:eastAsia="fr-FR"/>
        </w:rPr>
      </w:pPr>
    </w:p>
    <w:p w14:paraId="3E017349" w14:textId="77777777" w:rsidR="000147DB" w:rsidRPr="005C2E9A" w:rsidRDefault="000147DB" w:rsidP="000147DB">
      <w:pPr>
        <w:spacing w:after="0" w:line="240" w:lineRule="auto"/>
        <w:jc w:val="center"/>
        <w:rPr>
          <w:rFonts w:eastAsia="Times New Roman" w:cs="Arial"/>
          <w:strike/>
          <w:u w:val="single"/>
          <w:lang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lastRenderedPageBreak/>
        <w:t>II LISA</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Keskkonnakokkulepe</w:t>
      </w:r>
    </w:p>
    <w:p w14:paraId="4C8541AC" w14:textId="77777777" w:rsidR="000147DB" w:rsidRPr="005C2E9A" w:rsidRDefault="000147DB" w:rsidP="00B972B3">
      <w:pPr>
        <w:keepNext/>
        <w:keepLines/>
        <w:spacing w:after="0" w:line="240" w:lineRule="auto"/>
        <w:jc w:val="both"/>
        <w:rPr>
          <w:rFonts w:eastAsia="Times New Roman" w:cs="Arial"/>
          <w:b/>
          <w:lang w:eastAsia="fr-LU"/>
        </w:rPr>
      </w:pPr>
    </w:p>
    <w:p w14:paraId="2F353336" w14:textId="445E7E52" w:rsidR="000147DB" w:rsidRPr="003E7524" w:rsidRDefault="000147DB" w:rsidP="00B972B3">
      <w:pPr>
        <w:keepNext/>
        <w:keepLines/>
        <w:spacing w:after="0" w:line="240" w:lineRule="auto"/>
        <w:jc w:val="both"/>
        <w:rPr>
          <w:rFonts w:eastAsia="Times New Roman" w:cs="Arial"/>
        </w:rPr>
      </w:pPr>
      <w:r>
        <w:t>Käesolevas seaduses sätestatud keskkonnakokkulepete suhtes kehtivad järgmised eeskirjad.</w:t>
      </w:r>
    </w:p>
    <w:p w14:paraId="26FA5C49" w14:textId="77777777" w:rsidR="000147DB" w:rsidRPr="003E7524" w:rsidRDefault="000147DB" w:rsidP="000147DB">
      <w:pPr>
        <w:spacing w:after="0" w:line="240" w:lineRule="auto"/>
        <w:jc w:val="both"/>
        <w:rPr>
          <w:rFonts w:eastAsia="Times New Roman" w:cs="Arial"/>
        </w:rPr>
      </w:pPr>
      <w:r>
        <w:t>1) Lepingutes tuleb täpsustada nende eesmärgid ja kestus.</w:t>
      </w:r>
    </w:p>
    <w:p w14:paraId="6DB322CD" w14:textId="77777777" w:rsidR="000147DB" w:rsidRPr="003E7524" w:rsidRDefault="000147DB" w:rsidP="000147DB">
      <w:pPr>
        <w:spacing w:after="0" w:line="240" w:lineRule="auto"/>
        <w:jc w:val="both"/>
        <w:rPr>
          <w:rFonts w:eastAsia="Times New Roman" w:cs="Arial"/>
        </w:rPr>
      </w:pPr>
      <w:r>
        <w:t>2) Kokkulepped ja nende rakendamisel saavutatud tulemused on üldsusele kättesaadavad ning minister edastab need Euroopa Komisjonile.</w:t>
      </w:r>
    </w:p>
    <w:p w14:paraId="0C4AFADA" w14:textId="77777777" w:rsidR="000147DB" w:rsidRPr="003E7524" w:rsidRDefault="000147DB" w:rsidP="000147DB">
      <w:pPr>
        <w:spacing w:after="0" w:line="240" w:lineRule="auto"/>
        <w:jc w:val="both"/>
        <w:rPr>
          <w:rFonts w:eastAsia="Times New Roman" w:cs="Arial"/>
        </w:rPr>
      </w:pPr>
      <w:r>
        <w:t>3) Amet kontrollib korrapäraselt lepingute kohaldamist.</w:t>
      </w:r>
    </w:p>
    <w:p w14:paraId="338631B9" w14:textId="77777777" w:rsidR="000147DB" w:rsidRPr="003E7524" w:rsidRDefault="000147DB" w:rsidP="000147DB">
      <w:pPr>
        <w:spacing w:after="0" w:line="240" w:lineRule="auto"/>
        <w:jc w:val="both"/>
        <w:rPr>
          <w:rFonts w:eastAsia="Times New Roman" w:cs="Arial"/>
        </w:rPr>
      </w:pPr>
      <w:r>
        <w:t>4) Kokkulepped sisaldavad nende sätete rikkumise korral kohaldatavaid meetmeid ja karistusi.</w:t>
      </w:r>
    </w:p>
    <w:p w14:paraId="3E2E4659" w14:textId="77777777" w:rsidR="000147DB" w:rsidRPr="003E7524" w:rsidRDefault="000147DB" w:rsidP="000147DB">
      <w:pPr>
        <w:spacing w:after="0" w:line="240" w:lineRule="auto"/>
        <w:jc w:val="both"/>
        <w:rPr>
          <w:rFonts w:eastAsia="Times New Roman" w:cs="Arial"/>
        </w:rPr>
      </w:pPr>
      <w:r>
        <w:t>5) Kokkulepped sõlmitakse kindlaksmääratud tähtajaks, mis ei tohi ületada viit aastat. Neid ei saa vaikimisi pikendada.</w:t>
      </w:r>
    </w:p>
    <w:p w14:paraId="104D8A65" w14:textId="77777777" w:rsidR="000147DB" w:rsidRPr="003E7524" w:rsidRDefault="000147DB" w:rsidP="000147DB">
      <w:pPr>
        <w:spacing w:after="0" w:line="240" w:lineRule="auto"/>
        <w:jc w:val="both"/>
        <w:rPr>
          <w:rFonts w:eastAsia="Times New Roman" w:cs="Arial"/>
        </w:rPr>
      </w:pPr>
      <w:r>
        <w:t>6) Kokkulepped lõpevad kas selle tähtaja lõppemisel, milleks need sõlmiti, või kokkulepete eesmärkide saavutamisel või poolte vastastikusel kokkuleppel.</w:t>
      </w:r>
    </w:p>
    <w:p w14:paraId="09C2F1CD" w14:textId="77777777" w:rsidR="000147DB" w:rsidRPr="005C2E9A" w:rsidRDefault="000147DB" w:rsidP="000147DB">
      <w:pPr>
        <w:spacing w:after="0" w:line="240" w:lineRule="auto"/>
        <w:rPr>
          <w:rFonts w:eastAsia="Times New Roman" w:cs="Arial"/>
          <w:lang w:eastAsia="fr-FR"/>
        </w:rPr>
      </w:pPr>
    </w:p>
    <w:p w14:paraId="16C3064A" w14:textId="77777777" w:rsidR="000147DB" w:rsidRPr="005C2E9A" w:rsidRDefault="000147DB" w:rsidP="000147DB">
      <w:pPr>
        <w:spacing w:after="0" w:line="240" w:lineRule="auto"/>
        <w:jc w:val="center"/>
        <w:rPr>
          <w:rFonts w:eastAsia="Calibri" w:cs="Arial"/>
        </w:rPr>
      </w:pPr>
    </w:p>
    <w:p w14:paraId="52D4FCEE" w14:textId="77777777" w:rsidR="000147DB" w:rsidRPr="003E7524" w:rsidRDefault="000147DB" w:rsidP="000147DB">
      <w:pPr>
        <w:spacing w:after="200" w:line="276" w:lineRule="auto"/>
        <w:rPr>
          <w:color w:val="FF0000"/>
        </w:rPr>
      </w:pPr>
      <w:r>
        <w:rPr>
          <w:color w:val="FF0000"/>
        </w:rPr>
        <w:t>[kuupäev] seadus</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III LISA</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Artikli 5 lõike 1 punktis 1 osutatud puu- ja köögiviljade loend</w:t>
      </w:r>
    </w:p>
    <w:p w14:paraId="236111C5" w14:textId="77777777" w:rsidR="000147DB" w:rsidRPr="005C2E9A" w:rsidRDefault="000147DB" w:rsidP="000147DB">
      <w:pPr>
        <w:autoSpaceDE w:val="0"/>
        <w:autoSpaceDN w:val="0"/>
        <w:adjustRightInd w:val="0"/>
        <w:spacing w:after="0"/>
        <w:jc w:val="center"/>
        <w:rPr>
          <w:rFonts w:cs="TimesNewRoman"/>
          <w:bCs/>
          <w:color w:val="FF0000"/>
          <w:sz w:val="24"/>
          <w:szCs w:val="24"/>
          <w:u w:val="single"/>
          <w:lang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Värske puuvili</w:t>
            </w:r>
          </w:p>
        </w:tc>
        <w:tc>
          <w:tcPr>
            <w:tcW w:w="4675" w:type="dxa"/>
          </w:tcPr>
          <w:p w14:paraId="5DD24357" w14:textId="77777777" w:rsidR="000147DB" w:rsidRPr="00B972B3" w:rsidRDefault="000147DB" w:rsidP="000147DB">
            <w:pPr>
              <w:rPr>
                <w:b/>
                <w:color w:val="FF0000"/>
                <w:spacing w:val="-4"/>
              </w:rPr>
            </w:pPr>
            <w:r>
              <w:rPr>
                <w:b/>
                <w:color w:val="FF0000"/>
              </w:rPr>
              <w:t>Värske köögivili</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Ananass</w:t>
            </w:r>
          </w:p>
        </w:tc>
        <w:tc>
          <w:tcPr>
            <w:tcW w:w="4675" w:type="dxa"/>
          </w:tcPr>
          <w:p w14:paraId="08482F53" w14:textId="77777777" w:rsidR="000147DB" w:rsidRPr="00B972B3" w:rsidRDefault="000147DB" w:rsidP="000147DB">
            <w:pPr>
              <w:rPr>
                <w:color w:val="FF0000"/>
                <w:spacing w:val="-4"/>
              </w:rPr>
            </w:pPr>
            <w:r>
              <w:rPr>
                <w:color w:val="FF0000"/>
              </w:rPr>
              <w:t>Küüslauk</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Aprikoos</w:t>
            </w:r>
          </w:p>
        </w:tc>
        <w:tc>
          <w:tcPr>
            <w:tcW w:w="4675" w:type="dxa"/>
          </w:tcPr>
          <w:p w14:paraId="3AFF19ED" w14:textId="77777777" w:rsidR="000147DB" w:rsidRPr="00B972B3" w:rsidRDefault="000147DB" w:rsidP="000147DB">
            <w:pPr>
              <w:rPr>
                <w:color w:val="FF0000"/>
                <w:spacing w:val="-4"/>
              </w:rPr>
            </w:pPr>
            <w:r>
              <w:rPr>
                <w:color w:val="FF0000"/>
              </w:rPr>
              <w:t>Artišokk</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Avokaado </w:t>
            </w:r>
          </w:p>
        </w:tc>
        <w:tc>
          <w:tcPr>
            <w:tcW w:w="4675" w:type="dxa"/>
          </w:tcPr>
          <w:p w14:paraId="2478D876" w14:textId="77777777" w:rsidR="000147DB" w:rsidRPr="00B972B3" w:rsidRDefault="000147DB" w:rsidP="000147DB">
            <w:pPr>
              <w:rPr>
                <w:color w:val="FF0000"/>
                <w:spacing w:val="-4"/>
              </w:rPr>
            </w:pPr>
            <w:r>
              <w:rPr>
                <w:color w:val="FF0000"/>
              </w:rPr>
              <w:t>Spargel</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Banaan</w:t>
            </w:r>
          </w:p>
        </w:tc>
        <w:tc>
          <w:tcPr>
            <w:tcW w:w="4675" w:type="dxa"/>
          </w:tcPr>
          <w:p w14:paraId="3DDEEA9A" w14:textId="77777777" w:rsidR="000147DB" w:rsidRPr="00B972B3" w:rsidRDefault="000147DB" w:rsidP="000147DB">
            <w:pPr>
              <w:rPr>
                <w:color w:val="FF0000"/>
                <w:spacing w:val="-4"/>
              </w:rPr>
            </w:pPr>
            <w:r>
              <w:rPr>
                <w:color w:val="FF0000"/>
              </w:rPr>
              <w:t>Baklažaan</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Karamboola </w:t>
            </w:r>
          </w:p>
        </w:tc>
        <w:tc>
          <w:tcPr>
            <w:tcW w:w="4675" w:type="dxa"/>
          </w:tcPr>
          <w:p w14:paraId="7AC5C4A8" w14:textId="77777777" w:rsidR="000147DB" w:rsidRPr="00B972B3" w:rsidRDefault="000147DB" w:rsidP="000147DB">
            <w:pPr>
              <w:rPr>
                <w:color w:val="FF0000"/>
                <w:spacing w:val="-4"/>
              </w:rPr>
            </w:pPr>
            <w:r>
              <w:rPr>
                <w:color w:val="FF0000"/>
              </w:rPr>
              <w:t>Peet</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Kirss</w:t>
            </w:r>
          </w:p>
        </w:tc>
        <w:tc>
          <w:tcPr>
            <w:tcW w:w="4675" w:type="dxa"/>
          </w:tcPr>
          <w:p w14:paraId="2B969983" w14:textId="77777777" w:rsidR="000147DB" w:rsidRPr="00B972B3" w:rsidRDefault="000147DB" w:rsidP="000147DB">
            <w:pPr>
              <w:rPr>
                <w:color w:val="FF0000"/>
                <w:spacing w:val="-4"/>
              </w:rPr>
            </w:pPr>
            <w:r>
              <w:rPr>
                <w:color w:val="FF0000"/>
              </w:rPr>
              <w:t xml:space="preserve">Brokoli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Sidrun</w:t>
            </w:r>
          </w:p>
        </w:tc>
        <w:tc>
          <w:tcPr>
            <w:tcW w:w="4675" w:type="dxa"/>
          </w:tcPr>
          <w:p w14:paraId="47A7B036" w14:textId="77777777" w:rsidR="000147DB" w:rsidRPr="00B972B3" w:rsidRDefault="000147DB" w:rsidP="000147DB">
            <w:pPr>
              <w:rPr>
                <w:color w:val="FF0000"/>
                <w:spacing w:val="-4"/>
              </w:rPr>
            </w:pPr>
            <w:r>
              <w:rPr>
                <w:color w:val="FF0000"/>
              </w:rPr>
              <w:t>Porgand</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Laim</w:t>
            </w:r>
          </w:p>
        </w:tc>
        <w:tc>
          <w:tcPr>
            <w:tcW w:w="4675" w:type="dxa"/>
          </w:tcPr>
          <w:p w14:paraId="453BF889" w14:textId="77777777" w:rsidR="000147DB" w:rsidRPr="00B972B3" w:rsidRDefault="000147DB" w:rsidP="000147DB">
            <w:pPr>
              <w:rPr>
                <w:color w:val="FF0000"/>
                <w:spacing w:val="-4"/>
              </w:rPr>
            </w:pPr>
            <w:r>
              <w:rPr>
                <w:color w:val="FF0000"/>
              </w:rPr>
              <w:t>Seller</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Klementiin</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Küdoonia</w:t>
            </w:r>
          </w:p>
        </w:tc>
        <w:tc>
          <w:tcPr>
            <w:tcW w:w="4675" w:type="dxa"/>
          </w:tcPr>
          <w:p w14:paraId="7F3699D7" w14:textId="77777777" w:rsidR="000147DB" w:rsidRPr="00B972B3" w:rsidRDefault="000147DB" w:rsidP="000147DB">
            <w:pPr>
              <w:rPr>
                <w:color w:val="FF0000"/>
                <w:spacing w:val="-4"/>
              </w:rPr>
            </w:pPr>
            <w:r>
              <w:rPr>
                <w:color w:val="FF0000"/>
              </w:rPr>
              <w:t>Rooskapsas</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Viigimari</w:t>
            </w:r>
          </w:p>
        </w:tc>
        <w:tc>
          <w:tcPr>
            <w:tcW w:w="4675" w:type="dxa"/>
          </w:tcPr>
          <w:p w14:paraId="7D013B00" w14:textId="77777777" w:rsidR="000147DB" w:rsidRPr="00B972B3" w:rsidRDefault="000147DB" w:rsidP="000147DB">
            <w:pPr>
              <w:rPr>
                <w:color w:val="FF0000"/>
                <w:spacing w:val="-4"/>
              </w:rPr>
            </w:pPr>
            <w:r>
              <w:rPr>
                <w:color w:val="FF0000"/>
              </w:rPr>
              <w:t xml:space="preserve">Lillkapsas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Granadill</w:t>
            </w:r>
          </w:p>
        </w:tc>
        <w:tc>
          <w:tcPr>
            <w:tcW w:w="4675" w:type="dxa"/>
          </w:tcPr>
          <w:p w14:paraId="20A94445" w14:textId="77777777" w:rsidR="000147DB" w:rsidRPr="00B972B3" w:rsidRDefault="000147DB" w:rsidP="000147DB">
            <w:pPr>
              <w:rPr>
                <w:color w:val="FF0000"/>
                <w:spacing w:val="-4"/>
              </w:rPr>
            </w:pPr>
            <w:r>
              <w:rPr>
                <w:color w:val="FF0000"/>
              </w:rPr>
              <w:t xml:space="preserve">Nuikapsas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Guajaav </w:t>
            </w:r>
          </w:p>
        </w:tc>
        <w:tc>
          <w:tcPr>
            <w:tcW w:w="4675" w:type="dxa"/>
          </w:tcPr>
          <w:p w14:paraId="31DCAFA7" w14:textId="77777777" w:rsidR="000147DB" w:rsidRPr="00B972B3" w:rsidRDefault="000147DB" w:rsidP="000147DB">
            <w:pPr>
              <w:rPr>
                <w:color w:val="FF0000"/>
                <w:spacing w:val="-4"/>
              </w:rPr>
            </w:pPr>
            <w:r>
              <w:rPr>
                <w:color w:val="FF0000"/>
              </w:rPr>
              <w:t>Punane peakapsas</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Granaatõun </w:t>
            </w:r>
          </w:p>
        </w:tc>
        <w:tc>
          <w:tcPr>
            <w:tcW w:w="4675" w:type="dxa"/>
          </w:tcPr>
          <w:p w14:paraId="2E7E8615" w14:textId="77777777" w:rsidR="000147DB" w:rsidRPr="00B972B3" w:rsidRDefault="000147DB" w:rsidP="000147DB">
            <w:pPr>
              <w:rPr>
                <w:color w:val="FF0000"/>
                <w:spacing w:val="-4"/>
              </w:rPr>
            </w:pPr>
            <w:r>
              <w:rPr>
                <w:color w:val="FF0000"/>
              </w:rPr>
              <w:t>Lehtkapsas</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Kiivi</w:t>
            </w:r>
          </w:p>
        </w:tc>
        <w:tc>
          <w:tcPr>
            <w:tcW w:w="4675" w:type="dxa"/>
          </w:tcPr>
          <w:p w14:paraId="0CB65944" w14:textId="77777777" w:rsidR="000147DB" w:rsidRPr="00B972B3" w:rsidRDefault="000147DB" w:rsidP="000147DB">
            <w:pPr>
              <w:rPr>
                <w:color w:val="FF0000"/>
                <w:spacing w:val="-4"/>
              </w:rPr>
            </w:pPr>
            <w:r>
              <w:rPr>
                <w:color w:val="FF0000"/>
              </w:rPr>
              <w:t>Kurk</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lastRenderedPageBreak/>
              <w:t>Litši</w:t>
            </w:r>
          </w:p>
        </w:tc>
        <w:tc>
          <w:tcPr>
            <w:tcW w:w="4675" w:type="dxa"/>
          </w:tcPr>
          <w:p w14:paraId="07FD18D1" w14:textId="77777777" w:rsidR="000147DB" w:rsidRPr="00B972B3" w:rsidRDefault="000147DB" w:rsidP="000147DB">
            <w:pPr>
              <w:rPr>
                <w:color w:val="FF0000"/>
                <w:spacing w:val="-4"/>
              </w:rPr>
            </w:pPr>
            <w:r>
              <w:rPr>
                <w:color w:val="FF0000"/>
              </w:rPr>
              <w:t>Kõrvits</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Mandariin</w:t>
            </w:r>
          </w:p>
        </w:tc>
        <w:tc>
          <w:tcPr>
            <w:tcW w:w="4675" w:type="dxa"/>
          </w:tcPr>
          <w:p w14:paraId="1E3114C2" w14:textId="77777777" w:rsidR="000147DB" w:rsidRPr="00B972B3" w:rsidRDefault="000147DB" w:rsidP="000147DB">
            <w:pPr>
              <w:rPr>
                <w:color w:val="FF0000"/>
                <w:spacing w:val="-4"/>
              </w:rPr>
            </w:pPr>
            <w:r>
              <w:rPr>
                <w:color w:val="FF0000"/>
              </w:rPr>
              <w:t xml:space="preserve">Kabatšokk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Aeduba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Melon</w:t>
            </w:r>
          </w:p>
        </w:tc>
        <w:tc>
          <w:tcPr>
            <w:tcW w:w="4675" w:type="dxa"/>
          </w:tcPr>
          <w:p w14:paraId="64BDF842" w14:textId="77777777" w:rsidR="000147DB" w:rsidRPr="00B972B3" w:rsidRDefault="000147DB" w:rsidP="000147DB">
            <w:pPr>
              <w:rPr>
                <w:color w:val="FF0000"/>
                <w:spacing w:val="-4"/>
              </w:rPr>
            </w:pPr>
            <w:r>
              <w:rPr>
                <w:color w:val="FF0000"/>
              </w:rPr>
              <w:t>Endiivia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Mirabell</w:t>
            </w:r>
          </w:p>
        </w:tc>
        <w:tc>
          <w:tcPr>
            <w:tcW w:w="4675" w:type="dxa"/>
          </w:tcPr>
          <w:p w14:paraId="716EDB7B" w14:textId="77777777" w:rsidR="000147DB" w:rsidRPr="00B972B3" w:rsidRDefault="000147DB" w:rsidP="000147DB">
            <w:pPr>
              <w:rPr>
                <w:color w:val="FF0000"/>
                <w:spacing w:val="-4"/>
              </w:rPr>
            </w:pPr>
            <w:r>
              <w:rPr>
                <w:color w:val="FF0000"/>
              </w:rPr>
              <w:t>Apteegitill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Nektariin</w:t>
            </w:r>
          </w:p>
        </w:tc>
        <w:tc>
          <w:tcPr>
            <w:tcW w:w="4675" w:type="dxa"/>
          </w:tcPr>
          <w:p w14:paraId="34F5A88D" w14:textId="77777777" w:rsidR="000147DB" w:rsidRPr="00B972B3" w:rsidRDefault="000147DB" w:rsidP="000147DB">
            <w:pPr>
              <w:rPr>
                <w:color w:val="FF0000"/>
                <w:spacing w:val="-4"/>
              </w:rPr>
            </w:pPr>
            <w:r>
              <w:rPr>
                <w:color w:val="FF0000"/>
              </w:rPr>
              <w:t>Mais</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Apelsin</w:t>
            </w:r>
          </w:p>
        </w:tc>
        <w:tc>
          <w:tcPr>
            <w:tcW w:w="4675" w:type="dxa"/>
          </w:tcPr>
          <w:p w14:paraId="00AE1AA5" w14:textId="77777777" w:rsidR="000147DB" w:rsidRPr="00B972B3" w:rsidRDefault="000147DB" w:rsidP="000147DB">
            <w:pPr>
              <w:rPr>
                <w:color w:val="FF0000"/>
                <w:spacing w:val="-4"/>
              </w:rPr>
            </w:pPr>
            <w:r>
              <w:rPr>
                <w:color w:val="FF0000"/>
              </w:rPr>
              <w:t>Naeris</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Papaia</w:t>
            </w:r>
          </w:p>
        </w:tc>
        <w:tc>
          <w:tcPr>
            <w:tcW w:w="4675" w:type="dxa"/>
          </w:tcPr>
          <w:p w14:paraId="075DB470" w14:textId="77777777" w:rsidR="000147DB" w:rsidRPr="00B972B3" w:rsidRDefault="000147DB" w:rsidP="000147DB">
            <w:pPr>
              <w:rPr>
                <w:color w:val="FF0000"/>
                <w:spacing w:val="-4"/>
              </w:rPr>
            </w:pPr>
            <w:r>
              <w:rPr>
                <w:color w:val="FF0000"/>
              </w:rPr>
              <w:t>Sibul</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Porrulauk</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Virsik</w:t>
            </w:r>
          </w:p>
        </w:tc>
        <w:tc>
          <w:tcPr>
            <w:tcW w:w="4675" w:type="dxa"/>
          </w:tcPr>
          <w:p w14:paraId="5243B15C" w14:textId="77777777" w:rsidR="000147DB" w:rsidRPr="00B972B3" w:rsidRDefault="000147DB" w:rsidP="000147DB">
            <w:pPr>
              <w:rPr>
                <w:color w:val="FF0000"/>
                <w:spacing w:val="-4"/>
              </w:rPr>
            </w:pPr>
            <w:r>
              <w:rPr>
                <w:color w:val="FF0000"/>
              </w:rPr>
              <w:t>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Füüsal</w:t>
            </w:r>
          </w:p>
        </w:tc>
        <w:tc>
          <w:tcPr>
            <w:tcW w:w="4675" w:type="dxa"/>
          </w:tcPr>
          <w:p w14:paraId="6052EBF3" w14:textId="77777777" w:rsidR="000147DB" w:rsidRPr="00B972B3" w:rsidRDefault="000147DB" w:rsidP="000147DB">
            <w:pPr>
              <w:rPr>
                <w:color w:val="FF0000"/>
                <w:spacing w:val="-4"/>
              </w:rPr>
            </w:pPr>
            <w:r>
              <w:rPr>
                <w:color w:val="FF0000"/>
              </w:rPr>
              <w:t>Kartul</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Pitahaia</w:t>
            </w:r>
          </w:p>
        </w:tc>
        <w:tc>
          <w:tcPr>
            <w:tcW w:w="4675" w:type="dxa"/>
          </w:tcPr>
          <w:p w14:paraId="0C08F9BD" w14:textId="77777777" w:rsidR="000147DB" w:rsidRPr="00B972B3" w:rsidRDefault="000147DB" w:rsidP="000147DB">
            <w:pPr>
              <w:rPr>
                <w:color w:val="FF0000"/>
                <w:spacing w:val="-4"/>
              </w:rPr>
            </w:pPr>
            <w:r>
              <w:rPr>
                <w:color w:val="FF0000"/>
              </w:rPr>
              <w:t>Suureviljaline kõrvits</w:t>
            </w:r>
          </w:p>
        </w:tc>
      </w:tr>
      <w:tr w:rsidR="000147DB" w:rsidRPr="00B972B3" w14:paraId="1FEFBA7A" w14:textId="77777777" w:rsidTr="000147DB">
        <w:tc>
          <w:tcPr>
            <w:tcW w:w="4675" w:type="dxa"/>
          </w:tcPr>
          <w:p w14:paraId="69B23FE7" w14:textId="7820F683" w:rsidR="000147DB" w:rsidRPr="00B972B3" w:rsidRDefault="000147DB" w:rsidP="000147DB">
            <w:pPr>
              <w:rPr>
                <w:color w:val="FF0000"/>
                <w:spacing w:val="-4"/>
              </w:rPr>
            </w:pPr>
            <w:r>
              <w:rPr>
                <w:color w:val="FF0000"/>
              </w:rPr>
              <w:t>Hurmaa / kakiploom</w:t>
            </w:r>
          </w:p>
        </w:tc>
        <w:tc>
          <w:tcPr>
            <w:tcW w:w="4675" w:type="dxa"/>
          </w:tcPr>
          <w:p w14:paraId="764A6ACA" w14:textId="77777777" w:rsidR="000147DB" w:rsidRPr="00B972B3" w:rsidRDefault="000147DB" w:rsidP="000147DB">
            <w:pPr>
              <w:rPr>
                <w:color w:val="FF0000"/>
                <w:spacing w:val="-4"/>
              </w:rPr>
            </w:pPr>
            <w:r>
              <w:rPr>
                <w:color w:val="FF0000"/>
              </w:rPr>
              <w:t xml:space="preserve">Redis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Pirn</w:t>
            </w:r>
          </w:p>
        </w:tc>
        <w:tc>
          <w:tcPr>
            <w:tcW w:w="4675" w:type="dxa"/>
          </w:tcPr>
          <w:p w14:paraId="64399CC8" w14:textId="77777777" w:rsidR="000147DB" w:rsidRPr="00B972B3" w:rsidRDefault="000147DB" w:rsidP="000147DB">
            <w:pPr>
              <w:rPr>
                <w:color w:val="FF0000"/>
                <w:spacing w:val="-4"/>
              </w:rPr>
            </w:pPr>
            <w:r>
              <w:rPr>
                <w:color w:val="FF0000"/>
              </w:rPr>
              <w:t xml:space="preserve">Rabarber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w:t>
            </w:r>
          </w:p>
        </w:tc>
        <w:tc>
          <w:tcPr>
            <w:tcW w:w="4675" w:type="dxa"/>
          </w:tcPr>
          <w:p w14:paraId="44F6263F" w14:textId="77777777" w:rsidR="000147DB" w:rsidRPr="00B972B3" w:rsidRDefault="000147DB" w:rsidP="000147DB">
            <w:pPr>
              <w:rPr>
                <w:color w:val="FF0000"/>
                <w:spacing w:val="-4"/>
              </w:rPr>
            </w:pPr>
            <w:r>
              <w:rPr>
                <w:color w:val="FF0000"/>
              </w:rPr>
              <w:t>Tomat</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Õun</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Ploom</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Viinamari</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5C5"/>
    <w:multiLevelType w:val="hybridMultilevel"/>
    <w:tmpl w:val="15C6D32A"/>
    <w:lvl w:ilvl="0" w:tplc="22A4515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045E59"/>
    <w:rsid w:val="00101B7D"/>
    <w:rsid w:val="001D4FC9"/>
    <w:rsid w:val="002F5A31"/>
    <w:rsid w:val="00302FF5"/>
    <w:rsid w:val="003E7524"/>
    <w:rsid w:val="00471E09"/>
    <w:rsid w:val="00555E6F"/>
    <w:rsid w:val="005C2E9A"/>
    <w:rsid w:val="005E4757"/>
    <w:rsid w:val="006432AD"/>
    <w:rsid w:val="00747C65"/>
    <w:rsid w:val="00B972B3"/>
    <w:rsid w:val="00C660B5"/>
    <w:rsid w:val="00C67B48"/>
    <w:rsid w:val="00CD70AA"/>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lux.public.lu/eli/etat/leg/loi/2012/03/21/n1/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9</cp:revision>
  <dcterms:created xsi:type="dcterms:W3CDTF">2020-07-27T11:52:00Z</dcterms:created>
  <dcterms:modified xsi:type="dcterms:W3CDTF">2020-08-13T06:04:00Z</dcterms:modified>
</cp:coreProperties>
</file>