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471E09" w:rsidRDefault="00FE5842" w:rsidP="00471E09">
      <w:pPr>
        <w:spacing w:after="0" w:line="240" w:lineRule="auto"/>
        <w:rPr>
          <w:rFonts w:ascii="Courier New" w:hAnsi="Courier New" w:cs="Courier New"/>
          <w:sz w:val="20"/>
          <w:szCs w:val="20"/>
        </w:rPr>
      </w:pPr>
      <w:bookmarkStart w:id="0" w:name="_Hlk46997595"/>
      <w:r>
        <w:rPr>
          <w:rFonts w:ascii="Courier New" w:hAnsi="Courier New"/>
          <w:sz w:val="20"/>
          <w:szCs w:val="20"/>
        </w:rPr>
        <w:t>1. ------IND- 2020 0485 L-- FI- ------ 20200812 --- --- PROJET</w:t>
      </w:r>
    </w:p>
    <w:bookmarkEnd w:id="0"/>
    <w:p w14:paraId="064DCE1A" w14:textId="2EE2449E" w:rsidR="000147DB" w:rsidRPr="003E7524" w:rsidRDefault="000147DB" w:rsidP="002F5A31">
      <w:pPr>
        <w:keepNext/>
        <w:keepLines/>
        <w:spacing w:after="200" w:line="276" w:lineRule="auto"/>
        <w:jc w:val="center"/>
        <w:rPr>
          <w:rFonts w:ascii="Times New Roman" w:eastAsia="Times New Roman" w:hAnsi="Times New Roman" w:cs="Times New Roman"/>
          <w:b/>
          <w:sz w:val="24"/>
          <w:szCs w:val="24"/>
        </w:rPr>
      </w:pPr>
      <w:r>
        <w:rPr>
          <w:rFonts w:ascii="Times New Roman" w:hAnsi="Times New Roman"/>
          <w:b/>
          <w:sz w:val="24"/>
          <w:szCs w:val="24"/>
        </w:rPr>
        <w:t>Laki, annettu 21 päivänä maaliskuuta 2017, pakkauksista ja pakkausjätteistä</w:t>
      </w:r>
    </w:p>
    <w:p w14:paraId="71E8730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rPr>
      </w:pPr>
      <w:r>
        <w:rPr>
          <w:b/>
          <w:sz w:val="24"/>
          <w:szCs w:val="24"/>
        </w:rPr>
        <w:t>Koonnettu säädös</w:t>
      </w:r>
    </w:p>
    <w:p w14:paraId="7D923E4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lang w:val="fr-LU"/>
        </w:rPr>
      </w:pPr>
    </w:p>
    <w:p w14:paraId="6E6CA03B" w14:textId="77777777" w:rsidR="000147DB" w:rsidRPr="003E7524" w:rsidRDefault="000147DB" w:rsidP="002F5A31">
      <w:pPr>
        <w:keepNext/>
        <w:keepLines/>
        <w:spacing w:after="0" w:line="240" w:lineRule="auto"/>
        <w:jc w:val="both"/>
        <w:rPr>
          <w:rFonts w:eastAsia="Times New Roman" w:cs="Arial"/>
          <w:b/>
          <w:lang w:val="fr-FR" w:eastAsia="fr-FR"/>
        </w:rPr>
      </w:pPr>
    </w:p>
    <w:p w14:paraId="584BE14E" w14:textId="77777777" w:rsidR="000147DB" w:rsidRPr="003E7524" w:rsidRDefault="000147DB" w:rsidP="002F5A31">
      <w:pPr>
        <w:keepNext/>
        <w:keepLines/>
        <w:spacing w:after="0" w:line="240" w:lineRule="auto"/>
        <w:jc w:val="both"/>
        <w:rPr>
          <w:rFonts w:eastAsia="Times New Roman" w:cs="Arial"/>
          <w:b/>
          <w:lang w:val="fr-FR" w:eastAsia="fr-FR"/>
        </w:rPr>
      </w:pPr>
    </w:p>
    <w:p w14:paraId="720F607F"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52F5EF4E"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3FEA7740" w14:textId="31B3FC85" w:rsidR="000147DB" w:rsidRPr="003E7524" w:rsidRDefault="000147DB" w:rsidP="002F5A31">
      <w:pPr>
        <w:keepNext/>
        <w:keepLines/>
        <w:spacing w:beforeLines="100" w:before="240" w:after="240" w:line="240" w:lineRule="auto"/>
        <w:jc w:val="both"/>
        <w:rPr>
          <w:rFonts w:eastAsia="Calibri" w:cs="TimesLTStd-Roman"/>
          <w:color w:val="FF0000"/>
          <w:sz w:val="24"/>
          <w:szCs w:val="24"/>
        </w:rPr>
      </w:pPr>
      <w:r>
        <w:rPr>
          <w:color w:val="FF0000"/>
          <w:sz w:val="24"/>
          <w:szCs w:val="24"/>
          <w:u w:val="single"/>
        </w:rPr>
        <w:t>1 §. Tavoitteet</w:t>
      </w:r>
    </w:p>
    <w:p w14:paraId="20EDAC04" w14:textId="77777777" w:rsidR="000147DB" w:rsidRPr="003E7524" w:rsidRDefault="000147DB" w:rsidP="000147DB">
      <w:pPr>
        <w:spacing w:beforeLines="100" w:before="240" w:after="240" w:line="240" w:lineRule="auto"/>
        <w:jc w:val="both"/>
        <w:rPr>
          <w:rFonts w:eastAsia="Calibri" w:cs="TimesLTStd-Roman"/>
          <w:color w:val="FF0000"/>
          <w:sz w:val="24"/>
          <w:szCs w:val="24"/>
        </w:rPr>
      </w:pPr>
      <w:r>
        <w:rPr>
          <w:color w:val="FF0000"/>
          <w:sz w:val="24"/>
          <w:szCs w:val="24"/>
        </w:rPr>
        <w:t> Tässä laissa säädetään toimenpiteistä, joiden ensisijaisena tavoitteena on pakkausjätteen syntymisen ehkäiseminen ja muina perusperiaatteina pakkausten uudelleenkäyttö ja uudelleenkäyttöön valmisteleminen, pakkausjätteen kierrätys ja muunlainen hyödyntäminen sekä näin ollen tällaisen jätteen loppukäsittelyn vähentäminen, jotta voidaan edistää siirtymistä kiertotalouteen.</w:t>
      </w:r>
    </w:p>
    <w:p w14:paraId="58ECE028" w14:textId="77777777" w:rsidR="000147DB" w:rsidRPr="003E7524" w:rsidRDefault="000147DB" w:rsidP="000147DB">
      <w:pPr>
        <w:spacing w:after="0" w:line="240" w:lineRule="auto"/>
        <w:jc w:val="both"/>
        <w:rPr>
          <w:rFonts w:eastAsia="Times New Roman" w:cs="Arial"/>
          <w:lang w:val="fr-FR" w:eastAsia="fr-FR"/>
        </w:rPr>
      </w:pPr>
    </w:p>
    <w:p w14:paraId="12603C0B" w14:textId="77777777" w:rsidR="000147DB" w:rsidRPr="003E7524" w:rsidRDefault="000147DB" w:rsidP="002F5A31">
      <w:pPr>
        <w:keepNext/>
        <w:keepLines/>
        <w:spacing w:after="0" w:line="240" w:lineRule="auto"/>
        <w:jc w:val="both"/>
        <w:rPr>
          <w:rFonts w:eastAsia="Times New Roman" w:cs="Arial"/>
        </w:rPr>
      </w:pPr>
      <w:r>
        <w:rPr>
          <w:b/>
          <w:bCs/>
        </w:rPr>
        <w:t xml:space="preserve">2 §. </w:t>
      </w:r>
      <w:r>
        <w:rPr>
          <w:b/>
          <w:bCs/>
          <w:iCs/>
        </w:rPr>
        <w:t>Soveltamisala</w:t>
      </w:r>
    </w:p>
    <w:p w14:paraId="10EC3FDA" w14:textId="77777777" w:rsidR="000147DB" w:rsidRPr="003E7524" w:rsidRDefault="000147DB" w:rsidP="000147DB">
      <w:pPr>
        <w:spacing w:after="0" w:line="240" w:lineRule="auto"/>
        <w:jc w:val="both"/>
        <w:rPr>
          <w:rFonts w:eastAsia="Times New Roman" w:cs="Arial"/>
        </w:rPr>
      </w:pPr>
      <w:r>
        <w:t>Tätä lakia sovelletaan kaikkiin Luxemburgin markkinoille saatettaviin pakkauksiin ja kaikkiin pakkausjätteisiin riippumatta siitä, onko niitä käytetty vai hylätty yrityksissä, kaupoissa, toimistoissa, työpajoissa, palveluissa, kotitalouksissa tai millä tahansa muulla tasolla, ja riippumatta materiaaleista, joista ne koostuvat.</w:t>
      </w:r>
    </w:p>
    <w:p w14:paraId="525A371B" w14:textId="77777777" w:rsidR="000147DB" w:rsidRPr="003E7524" w:rsidRDefault="000147DB" w:rsidP="000147DB">
      <w:pPr>
        <w:spacing w:after="0" w:line="240" w:lineRule="auto"/>
        <w:jc w:val="both"/>
        <w:rPr>
          <w:rFonts w:eastAsia="Times New Roman" w:cs="Arial"/>
          <w:lang w:val="fr-FR" w:eastAsia="fr-FR"/>
        </w:rPr>
      </w:pPr>
    </w:p>
    <w:p w14:paraId="6A00E764" w14:textId="77777777" w:rsidR="000147DB" w:rsidRPr="003E7524" w:rsidRDefault="000147DB" w:rsidP="000147DB">
      <w:pPr>
        <w:spacing w:after="0" w:line="240" w:lineRule="auto"/>
        <w:jc w:val="center"/>
        <w:rPr>
          <w:rFonts w:eastAsia="Calibri" w:cs="Arial"/>
          <w:color w:val="FF0000"/>
          <w:lang w:val="fr-FR"/>
        </w:rPr>
      </w:pPr>
    </w:p>
    <w:p w14:paraId="3FB9C656" w14:textId="3BDDB8AC"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u w:val="single"/>
        </w:rPr>
      </w:pPr>
      <w:r>
        <w:rPr>
          <w:color w:val="FF0000"/>
          <w:sz w:val="24"/>
          <w:szCs w:val="24"/>
          <w:u w:val="single"/>
        </w:rPr>
        <w:t>3 §. Määritelmät</w:t>
      </w:r>
    </w:p>
    <w:p w14:paraId="54FAB75E"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lang w:val="fr-LU"/>
        </w:rPr>
      </w:pPr>
    </w:p>
    <w:p w14:paraId="31598118"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Tässä laissa tarkoitetaan</w:t>
      </w:r>
    </w:p>
    <w:p w14:paraId="51BA376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 ’talouden toimijoilla` pakkausmateriaalien toimittajia, pakkausten valmistajia, jalostajia, täyttäjiä ja käyttäjiä, maahantuojia, elinkeinonharjoittajia ja jakelijoita sekä pakkausalalla toimivia viranomaisia ja julkisyhteisöjä;</w:t>
      </w:r>
    </w:p>
    <w:p w14:paraId="6FED5C4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 ’ympäristösopimuksella’ mitä tahansa ympäristöministerin ja pakkauksista vastaavien tahojen tai valtuutettujen elinten välistä muodollista sopimusta, jonka on oltava avoin kaikille talouden toimijoille, jotka haluavat noudattaa sopimuksessa vahvistettuja ehtoja edistääkseen 1 §:ssä määritettyjen tavoitteiden saavuttamista;</w:t>
      </w:r>
    </w:p>
    <w:p w14:paraId="7FF966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3° ’käärimisellä’ toimenpidettä, jossa elintarvike sijoitetaan kääreeseen tai astiaan siten, että elintarvike on suorassa kosketuksessa kääreeseen tai astiaan;</w:t>
      </w:r>
    </w:p>
    <w:p w14:paraId="1DD8A02E" w14:textId="77777777" w:rsidR="000147DB" w:rsidRPr="00471E09"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4° ’pakkausjätteillä’ jätteistä ja luonnonvaroista 21 päivänä maaliskuuta 2012 annetun lain (jäljempänä ’21 päivänä maaliskuuta 2012 annettu laki’), sellaisena kuin se on muutettuna, 4 §:ssä annetun jätteen määritelmän soveltamisalaan kuuluvia pakkauksia tai pakkausmateriaaleja, lukuun ottamatta tuotannon jäännöstuotteita;</w:t>
      </w:r>
    </w:p>
    <w:p w14:paraId="1A85C693" w14:textId="77777777" w:rsidR="000147DB" w:rsidRPr="003E7524" w:rsidRDefault="000147DB" w:rsidP="000147DB">
      <w:pPr>
        <w:autoSpaceDE w:val="0"/>
        <w:autoSpaceDN w:val="0"/>
        <w:adjustRightInd w:val="0"/>
        <w:spacing w:after="0" w:line="240" w:lineRule="auto"/>
        <w:jc w:val="both"/>
        <w:rPr>
          <w:rFonts w:cs="TimesLTStd-Roman"/>
          <w:b/>
          <w:color w:val="FF0000"/>
          <w:sz w:val="24"/>
          <w:szCs w:val="24"/>
        </w:rPr>
      </w:pPr>
      <w:r>
        <w:rPr>
          <w:color w:val="FF0000"/>
          <w:sz w:val="24"/>
          <w:szCs w:val="24"/>
        </w:rPr>
        <w:t>5° ’kotitalouden pakkausjätteillä’ 21 päivänä maaliskuuta 2012 annetussa laissa tarkoitettua kotitalouden yhdyskuntajätteestä koostuvaa pakkausjätettä;</w:t>
      </w:r>
    </w:p>
    <w:p w14:paraId="191FC24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6° ’muilla kuin kotitalouden pakkausjätteillä’ 21 päivänä maaliskuuta 2012 annetussa laissa tarkoitettua muusta kuin kotitalouden yhdyskuntajätteestä koostuvaa pakkausjätettä;</w:t>
      </w:r>
    </w:p>
    <w:p w14:paraId="726D059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7° ’pakkauksella’ mistä tahansa materiaaleista koostuvaa tuotetta, joka on tarkoitettu tiettyjen tavaroiden säilytykseen ja suojaamiseen, jotka voivat olla mitä tahansa raaka-aineista valmiisiin tuotteisiin, sekä mahdollistamaan niiden käsittelyn ja kuljetuksen tuottajalta kuluttajalle tai käyttäjälle ja helpottamaan niiden esillepanoa.</w:t>
      </w:r>
    </w:p>
    <w:p w14:paraId="5B7B7B7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B3C84B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Kaikkia samoihin tarkoituksiin käytettäviä kertakäyttötuotteita on myös pidettävä pakkauksina.</w:t>
      </w:r>
    </w:p>
    <w:p w14:paraId="4BBCE7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9092297"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Pakkauksiin kuuluvat ainoastaan</w:t>
      </w:r>
    </w:p>
    <w:p w14:paraId="5E80CA9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a) kuluttajapakkaus eli primaaripakkaus, joka on tarkoitettu myyntipaikalla loppukäyttäjälle tai kuluttajalle myytävän yksikön säilytykseen;</w:t>
      </w:r>
    </w:p>
    <w:p w14:paraId="0DE873CC"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b) ryhmäpakkaus eli sekundaaripakkaus, joka on tarkoitettu tietystä määrästä myyntiyksiköitä koostuvan ryhmän säilytykseen myyntipaikalla riippumatta siitä, myydäänkö se sellaisenaan loppukäyttäjälle tai kuluttajalle vai käytetäänkö sitä ainoastaan hyllyjen täyttämiseen; se on mahdollista poistaa tuotteesta ilman, että tuotteen ominaisuudet muuttuvat;</w:t>
      </w:r>
    </w:p>
    <w:p w14:paraId="29AF1F65"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c) kuljetuspakkaus eli tertiääripakkaus, jonka tarkoituksena on helpottaa tietyn määrän myyntiyksiköitä tai ryhmäpakkauksia käsittelyä ja kuljetusta siten, että voidaan välttää niiden fyysistä käsittelyä ja kuljetusvaurioita. Kuljetuspakkauksina ei pidetä maantie-, rautatie-, meri- ja lentokuljetuksissa käytettäviä kontteja.</w:t>
      </w:r>
    </w:p>
    <w:p w14:paraId="3E5427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3D83FF34"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Pakkauksen määritelmän on perustuttava lisäksi seuraaviin perusteisiin:</w:t>
      </w:r>
    </w:p>
    <w:p w14:paraId="0BE24D6D"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 Tuotteita pidetään pakkauksina, jos ne täyttävät edellä mainitun määritelmän pakkauksen muita mahdollisia tehtäviä rajoittamatta, paitsi jos kyseiset tuotteet ovat kiinteä osa itse tuotetta ja ne ovat välttämättömiä tuotteen säilytykseen, tukemiseen tai säilyttämiseen sen elinkaaren aikana ja niiden kaikki elementit on tarkoitettu käytettäväksi, kulutettavaksi tai poistettavaksi käytöstä yhdessä.</w:t>
      </w:r>
    </w:p>
    <w:p w14:paraId="03C118C8"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 Tuotteita, jotka on suunniteltu ja tarkoitettu täytettäväksi myyntipaikalla, sekä kertakäyttötuotteita, jotka myydään ja täytetään tai on suunniteltu ja tarkoitettu täytettäväksi myyntipaikalla, pidetään pakkauksina edellyttäen, että ne täyttävät pakkauksen tehtävän ja ne ovat käyttöpakkauksia.</w:t>
      </w:r>
    </w:p>
    <w:p w14:paraId="21E05D6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iii. Pakkauksen osien ja pakkaukseen liitettyjen lisäosien katsotaan kuuluvan pakkaukseen, johon ne on liitetty. Tuotteeseen suoraan ripustettuja tai kiinnitettyjä lisäosia, jotka täyttävät pakkauksen tehtävän, pidetään pakkauksina, elleivät kyseiset tuotteet ole kiinteä osa itse tuotetta ja niiden kaikki elementit tarkoitettu kulutettavaksi tai poistettavaksi käytöstä yhdessä.</w:t>
      </w:r>
    </w:p>
    <w:p w14:paraId="376B89A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FR"/>
        </w:rPr>
      </w:pPr>
    </w:p>
    <w:p w14:paraId="338D0B69"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Pakkauksista ja pakkausjätteistä 20 päivänä joulukuuta 1994 annetun direktiivin 94/62/EY, sellaisena kuin se on muutettuna kyseisen direktiivin 19 artiklan 2 kohdan ja 21 a artiklan nojalla annetuilla Euroopan komission delegoiduilla säädöksillä, liitteessä I luetellut esineet ovat esimerkkejä, joilla havainnollistetaan näiden perusteiden soveltamista;</w:t>
      </w:r>
    </w:p>
    <w:p w14:paraId="44FB8E0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8° ’uudelleenkäytettävällä pakkauksella’ pakkausta, joka on tarkoitettu, suunniteltu ja saatettu markkinoille kestämään elinkaarensa aikana useita käyttökertoja ja joka täytetään tai käytetään uudelleen alkuperäiseen tarkoitukseen;</w:t>
      </w:r>
    </w:p>
    <w:p w14:paraId="0184054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9° ’yhdistelmämateriaalipakkauksella’ pakkausta, joka on tehty kahdesta tai useammasta eri materiaalia olevasta kerroksesta, joita ei voi erottaa käsin ja jotka muodostavat yhden yhtenäisen kokonaisuuden, sekä koostuu sisemmästä säiliöstä ja ulommasta suojuksesta ja joka täytetään, varastoidaan, kuljetetaan ja tyhjennetään sellaisenaan;</w:t>
      </w:r>
    </w:p>
    <w:p w14:paraId="40CA1AE7"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10° ’keskitetyllä huolehtimisella’ järjestelmää, jossa valtuutettu elin huolehtii pakkausjätteistä yleisökeräyspisteestä alkaen, jotta ne voidaan kierrättää;</w:t>
      </w:r>
    </w:p>
    <w:p w14:paraId="2476E1A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11° ’pakkausjätteistä huolehtimisella’ jätehuoltoa sellaisena kuin se on määritelty 21 päivänä maaliskuuta 2012 annetun lain 4 §:ssä;</w:t>
      </w:r>
    </w:p>
    <w:p w14:paraId="7FBC22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12° ’pakkausmateriaaleilla’ mitä tahansa pakkauksen muodostavaa luonnollista tai keinotekoista yksinkertaista materiaalia tai yhdistelmämateriaalia;</w:t>
      </w:r>
    </w:p>
    <w:p w14:paraId="6F8770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13° ’markkinoille saataville asettamisella’ tuotteen toimittamista Luxemburgin markkinoille liiketoiminnan yhteydessä jakelua, kulutusta tai käyttöä varten joko maksua vastaan tai veloituksetta; </w:t>
      </w:r>
    </w:p>
    <w:p w14:paraId="39E8CFE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14° ’markkinoille saattamisella’ tuotteen ensimmäistä saataville asettamista Luxemburgin markkinoilla;</w:t>
      </w:r>
    </w:p>
    <w:p w14:paraId="337D071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15° ’valtuutetulla elimellä’ 21 päivänä maaliskuuta 2012 annetun lain mukaisesti valtuutuksen saanutta oikeushenkilöä, joka huolehtii laajennetun tuottajanvastuun velvoitteista; </w:t>
      </w:r>
    </w:p>
    <w:p w14:paraId="3063727E" w14:textId="5A2948D3"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16° ’muovilla’ kemikaalien rekisteröinnistä, arvioinnista, lupamenettelyistä ja rajoituksista (REACH), Euroopan kemikaaliviraston perustamisesta, direktiivin 1999/45/EY muuttamisesta sekä neuvoston asetuksen (ETY) N:o 793/93, komission asetuksen (EY) N:o 1488/94, neuvoston direktiivin 76/769/ETY ja komission direktiivien 91/155/ETY, 93/67/ETY, 93/105/EY ja 2000/21/EY kumoamisesta 18 päivänä joulukuuta 2006 annetun Euroopan parlamentin ja neuvoston asetuksen (EY) N:o 1907/2006 (jäljempänä ’REACH-asetus’) 3 artiklan 5 kohdassa tarkoitettua polymeeriä, johon voidaan lisätä lisäaineita tai muita aineita ja joka voi täyttää kassien pääasiallisen rakenneosan tehtävän;</w:t>
      </w:r>
    </w:p>
    <w:p w14:paraId="722C1B32" w14:textId="77777777" w:rsidR="000147DB" w:rsidRPr="00487C0C"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487C0C">
        <w:rPr>
          <w:color w:val="FF0000"/>
          <w:spacing w:val="-4"/>
          <w:sz w:val="24"/>
          <w:szCs w:val="24"/>
        </w:rPr>
        <w:t>17° ’orgaanisella kierrätyksellä’ pakkausjätteiden biologisesti hajoavien osien aerobista (kompostointi) tai anaerobista (biokaasujen muodostus) hajottamista mikro-organismien avulla valvotuissa olosuhteissa siten, että tuloksena saadaan stabiloituja orgaanisia maanparannusaineita tai metaania. Kaatopaikalle viemistä ei voida pitää orgaanisen kierrätyksen muotona;</w:t>
      </w:r>
    </w:p>
    <w:p w14:paraId="211C3BAF" w14:textId="77777777" w:rsidR="000147DB" w:rsidRPr="00471E09" w:rsidRDefault="000147DB" w:rsidP="000147DB">
      <w:pPr>
        <w:autoSpaceDE w:val="0"/>
        <w:autoSpaceDN w:val="0"/>
        <w:adjustRightInd w:val="0"/>
        <w:spacing w:after="0"/>
        <w:jc w:val="both"/>
        <w:rPr>
          <w:rFonts w:eastAsia="Calibri" w:cs="TimesLTStd-Roman"/>
          <w:color w:val="FF0000"/>
          <w:sz w:val="24"/>
          <w:szCs w:val="24"/>
        </w:rPr>
      </w:pPr>
      <w:r>
        <w:rPr>
          <w:color w:val="FF0000"/>
          <w:sz w:val="24"/>
          <w:szCs w:val="24"/>
        </w:rPr>
        <w:t>18° ’pakkauksista vastaavalla taholla’ Luxemburgin suurherttuakuntaan tai muualle sijoittautunutta luonnollista henkilöä tai oikeushenkilöä, joka saattaa ammattimaisesti Luxemburgin markkinoille pakattuja tuotteita riippumatta käytettävästä myyntitekniikasta, myös kuluttajansuojalain L.222-1 §:ssä määriteltyjen etämyyntisopimusten välityksellä.</w:t>
      </w:r>
    </w:p>
    <w:p w14:paraId="532A7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Käyttöpakkausten osalta pakkauksista vastaavaksi tahoksi katsotaan henkilöt, jotka tuottavat tai tuovat ammattimaisesti käyttöpakkauksia niiden saattamiseksi Luxemburgin markkinoille;</w:t>
      </w:r>
    </w:p>
    <w:p w14:paraId="2066F3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19° ’muovisilla kantokasseilla’ kantokahvallisia tai kantokahvattomia muovista valmistettuja kantokasseja, joita tarjotaan kuluttajille tavaroiden tai tuotteiden myyntipisteessä;</w:t>
      </w:r>
    </w:p>
    <w:p w14:paraId="2892A8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20° ’kevyillä muovisilla kantokasseilla’ muovisia kantokasseja, joiden paksuus on alle 50 mikronia;</w:t>
      </w:r>
    </w:p>
    <w:p w14:paraId="1D560F9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21° ’erittäin kevyillä muovisilla kantokasseilla’ muovisia kantokasseja, joiden paksuus on alle 15 mikronia</w:t>
      </w:r>
    </w:p>
    <w:p w14:paraId="099FC67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ja joita tarvitaan hygieniasyistä tai joita käytetään irtomyynnissä olevien elintarvikkeiden kuluttajapakkauksina silloin, kun niiden käyttö auttaa ehkäisemään elintarvikkeiden hävikkiä;</w:t>
      </w:r>
    </w:p>
    <w:p w14:paraId="518E14E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22° ’oxo-hajoavilla muovisilla kantokasseilla’ muovisia kantokasseja, jotka on tehty muovimateriaaleista, jotka sisältävät sellaisia lisäaineita, jotka toimivat katalysaattorina muovimateriaalin pilkkoutumisessa mikrorakeiseksi;</w:t>
      </w:r>
    </w:p>
    <w:p w14:paraId="3F38912D" w14:textId="7CDBAB0E"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23° ’panttijärjestelmällä’ palautusjärjestelmää, jossa ostaja maksaa rahasumman, joka palautetaan hänelle, kun käytetty pakkaus palautetaan;</w:t>
      </w:r>
    </w:p>
    <w:p w14:paraId="7826512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24° ’markkinaosuudella’ määrättyä ajanjaksoa koskevaa elintarvikenestepakkausten prosenttiosuutta, jossa on osoittajana uudelleenkäytettäviin pakkauksiin pakattujen ja Luxemburgin alueella kulutettujen markkinoille saatettujen elintarvikenesteiden määrä ja nimittäjänä Luxemburgin alueella markkinoille saatettujen ja kulutettujen elintarvikenesteiden kokonaismäärä;</w:t>
      </w:r>
    </w:p>
    <w:p w14:paraId="7104F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25° ’kierrätysasteella’ määrättyä ajanjaksoa koskevaa pakkausjätteiden prosenttiosuutta, jossa on osoittajana tosiasiallisesti kierrätettyjen pakkausjätteiden paino ja nimittäjänä niiden hyödynnettävien pakkausten kokonaispaino, jotka pakkauksista vastaava taho on saattanut Luxemburgin markkinoille ja jotka on kulutettu Luxemburgin alueella.</w:t>
      </w:r>
    </w:p>
    <w:p w14:paraId="67C77E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Tämä määritelmä ei koske tämän lain määritelmän mukaisesti uudelleenkäytettyjä pakkauksia;</w:t>
      </w:r>
    </w:p>
    <w:p w14:paraId="6B41F5C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26° ’hyödyntämisasteella’ määrättyä ajanjaksoa koskevaa pakkausjätteiden prosenttiosuutta, jossa on osoittajana tosiasiallisesti hyödynnettyjen pakkausjätteiden paino ja nimittäjänä niiden hyödynnettävien pakkausten kokonaispaino, jotka pakkauksista vastaava taho on saattanut Luxemburgin markkinoille ja jotka on kulutettu Luxemburgin alueella;</w:t>
      </w:r>
    </w:p>
    <w:p w14:paraId="5C7F69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Tämä määritelmä ei koske tämän lain määritelmän mukaisesti uudelleenkäytettyjä pakkauksia;</w:t>
      </w:r>
    </w:p>
    <w:p w14:paraId="1F021DE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27° ’energiakäytöllä’ poltettavien pakkausjätteiden käyttöä energian tuotantokeinona polttamalla ne suoraan muiden jätteiden kanssa tai ilman niitä ja ottamalla lämpö talteen.</w:t>
      </w:r>
    </w:p>
    <w:p w14:paraId="2F42A15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Tämä määritelmä ei koske tämän lain määritelmän mukaisesti uudelleenkäytettyjä pakkauksia.</w:t>
      </w:r>
    </w:p>
    <w:p w14:paraId="2A33EF01" w14:textId="77777777" w:rsidR="000147DB" w:rsidRPr="00487C0C" w:rsidRDefault="000147DB" w:rsidP="000147DB">
      <w:pPr>
        <w:spacing w:beforeLines="100" w:before="240" w:after="240" w:line="240" w:lineRule="auto"/>
        <w:jc w:val="both"/>
        <w:rPr>
          <w:rFonts w:eastAsia="Calibri" w:cs="TimesNewRoman"/>
          <w:color w:val="FF0000"/>
          <w:spacing w:val="-4"/>
          <w:sz w:val="24"/>
          <w:szCs w:val="24"/>
        </w:rPr>
      </w:pPr>
      <w:r w:rsidRPr="00487C0C">
        <w:rPr>
          <w:color w:val="FF0000"/>
          <w:spacing w:val="-4"/>
          <w:sz w:val="24"/>
          <w:szCs w:val="24"/>
        </w:rPr>
        <w:t>Tässä laissa sovelletaan 21 päivänä maaliskuuta 2012 annetun lain 4 §:ssä annettuja seuraavien termien määritelmiä: ’jätteet’, ’yhdyskuntajätteet’, ’kotitalouden yhdyskuntajätteet’, ’muut kuin kotitalouden yhdyskuntajätteet’, ’jätehuolto’, ’keräys’, ’erilliskeräys’, ’ehkäisy’, ’uudelleenkäyttö’, ’uudelleenkäytön valmistelu’, ’käsittely’, ’hyödyntäminen’, ’kierrättäminen’, ’laadukas kierrätys’, ’hävittäminen’, ’resurssikeskus’ ja ’laajennetun tuottajanvastuun järjestelmä’.</w:t>
      </w:r>
    </w:p>
    <w:p w14:paraId="2564CAE3" w14:textId="77777777" w:rsidR="000147DB" w:rsidRPr="003E7524" w:rsidRDefault="000147DB" w:rsidP="000147DB">
      <w:pPr>
        <w:spacing w:after="0" w:line="240" w:lineRule="auto"/>
        <w:jc w:val="both"/>
        <w:rPr>
          <w:rFonts w:eastAsia="Times New Roman" w:cs="Arial"/>
          <w:lang w:val="fr-LU" w:eastAsia="fr-FR"/>
        </w:rPr>
      </w:pPr>
    </w:p>
    <w:p w14:paraId="26C831EB" w14:textId="77777777" w:rsidR="000147DB" w:rsidRPr="003E7524" w:rsidRDefault="000147DB" w:rsidP="000147DB">
      <w:pPr>
        <w:spacing w:after="0" w:line="240" w:lineRule="auto"/>
        <w:jc w:val="both"/>
        <w:rPr>
          <w:rFonts w:eastAsia="Times New Roman" w:cs="Arial"/>
          <w:lang w:val="fr-FR" w:eastAsia="fr-FR"/>
        </w:rPr>
      </w:pPr>
    </w:p>
    <w:p w14:paraId="692FDAD6" w14:textId="77777777" w:rsidR="000147DB" w:rsidRPr="003E7524" w:rsidRDefault="000147DB" w:rsidP="002F5A31">
      <w:pPr>
        <w:keepNext/>
        <w:keepLines/>
        <w:spacing w:after="0" w:line="240" w:lineRule="auto"/>
        <w:jc w:val="both"/>
        <w:rPr>
          <w:rFonts w:eastAsia="Times New Roman" w:cs="Arial"/>
          <w:b/>
          <w:iCs/>
        </w:rPr>
      </w:pPr>
      <w:r>
        <w:rPr>
          <w:b/>
          <w:iCs/>
        </w:rPr>
        <w:t>4 §. Ehkäisy ja uudelleenkäyttö ja ympäristösopimukset</w:t>
      </w:r>
    </w:p>
    <w:p w14:paraId="6BEB351B" w14:textId="77777777" w:rsidR="000147DB" w:rsidRPr="003E7524" w:rsidRDefault="000147DB" w:rsidP="002F5A31">
      <w:pPr>
        <w:keepNext/>
        <w:keepLines/>
        <w:spacing w:after="0" w:line="240" w:lineRule="auto"/>
        <w:jc w:val="both"/>
        <w:rPr>
          <w:rFonts w:eastAsia="Times New Roman" w:cs="Arial"/>
          <w:b/>
          <w:iCs/>
          <w:lang w:val="fr-FR" w:eastAsia="fr-FR"/>
        </w:rPr>
      </w:pPr>
    </w:p>
    <w:p w14:paraId="39614631" w14:textId="77777777" w:rsidR="000147DB" w:rsidRPr="003E7524" w:rsidRDefault="000147DB" w:rsidP="002F5A31">
      <w:pPr>
        <w:keepNext/>
        <w:keepLines/>
        <w:spacing w:after="0" w:line="240" w:lineRule="auto"/>
        <w:jc w:val="both"/>
        <w:rPr>
          <w:rFonts w:eastAsia="Times New Roman" w:cs="Arial"/>
          <w:color w:val="FF0000"/>
          <w:lang w:val="fr-FR" w:eastAsia="fr-FR"/>
        </w:rPr>
      </w:pPr>
    </w:p>
    <w:p w14:paraId="63CEA987"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Pakkausjätteiden syntymisen ehkäisemiseksi 9 §:n nojalla määrättyjen toimenpiteiden lisäksi ja sanotun rajoittamatta 2 momenttia ympäristöministeri voi tehdä ympäristösopimuksia, joissa noudatetaan 1 §:n tavoitteita ja joiden tarkoituksena on ensisijaisesti vähentää pakkausten ympäristövaikutuksia ja estää pakkausjätteiden syntyminen. Näissä sopimuksissa voidaan määrätä tiedotuskampanjoista ja yleisön tietoisuutta lisäävistä kampanjoista.</w:t>
      </w:r>
    </w:p>
    <w:p w14:paraId="0A4A972F" w14:textId="77777777" w:rsidR="000147DB" w:rsidRPr="003E7524" w:rsidRDefault="000147DB" w:rsidP="000147DB">
      <w:pPr>
        <w:spacing w:after="0" w:line="240" w:lineRule="auto"/>
        <w:jc w:val="both"/>
        <w:rPr>
          <w:rFonts w:eastAsia="Times New Roman" w:cs="Arial"/>
          <w:color w:val="FF0000"/>
          <w:lang w:val="fr-FR" w:eastAsia="fr-FR"/>
        </w:rPr>
      </w:pPr>
    </w:p>
    <w:p w14:paraId="6A969234" w14:textId="77777777" w:rsidR="000147DB" w:rsidRPr="003E7524" w:rsidRDefault="000147DB" w:rsidP="000147DB">
      <w:pPr>
        <w:spacing w:after="0" w:line="240" w:lineRule="auto"/>
        <w:jc w:val="both"/>
        <w:rPr>
          <w:rFonts w:eastAsia="Times New Roman" w:cs="Arial"/>
          <w:lang w:val="fr-FR" w:eastAsia="fr-FR"/>
        </w:rPr>
      </w:pPr>
    </w:p>
    <w:p w14:paraId="2D73D492" w14:textId="77777777" w:rsidR="000147DB" w:rsidRPr="003E7524" w:rsidRDefault="000147DB" w:rsidP="000147DB">
      <w:pPr>
        <w:spacing w:after="0" w:line="240" w:lineRule="auto"/>
        <w:jc w:val="both"/>
        <w:rPr>
          <w:rFonts w:eastAsia="Times New Roman" w:cs="Arial"/>
        </w:rPr>
      </w:pPr>
      <w:r>
        <w:t>Ympäristösopimuksissa voidaan kannustaa käyttämään pakkausten ja muiden tuotteiden tuotannossa kierrätetyistä pakkausjätteistä peräisin olevia materiaaleja parantamalla kyseisten materiaalien markkinaehtoja.</w:t>
      </w:r>
    </w:p>
    <w:p w14:paraId="4FAEAC4C" w14:textId="77777777" w:rsidR="000147DB" w:rsidRPr="003E7524" w:rsidRDefault="000147DB" w:rsidP="000147DB">
      <w:pPr>
        <w:spacing w:after="0" w:line="240" w:lineRule="auto"/>
        <w:jc w:val="both"/>
        <w:rPr>
          <w:rFonts w:eastAsia="Times New Roman" w:cs="Arial"/>
        </w:rPr>
      </w:pPr>
      <w:r>
        <w:t>Ympäristösopimuksissa voidaan määrittää elintarvikenesteiden ja muiden tuotteiden pakkauksille uudelleenkäytettävien pakkausten tuotannon ja markkinoille saattamisen edistämistä koskevat ehdot ja asettaa tavoitteet niiden markkinaosuudelle. Tämä laki ei vaikuta sellaisten järjestelmien ylläpitämiseen tai perustamiseen, joilla taataan pakkausten uudelleenkäyttö panttijärjestelmällä tai muussa asianmukaisessa muodossa ja 1 §:ssä tarkoitettujen tavoitteiden mukaisesti.</w:t>
      </w:r>
    </w:p>
    <w:p w14:paraId="7B14AF7B" w14:textId="77777777" w:rsidR="000147DB" w:rsidRPr="003E7524" w:rsidRDefault="000147DB" w:rsidP="000147DB">
      <w:pPr>
        <w:spacing w:after="0" w:line="240" w:lineRule="auto"/>
        <w:jc w:val="both"/>
        <w:rPr>
          <w:rFonts w:eastAsia="Times New Roman" w:cs="Arial"/>
        </w:rPr>
      </w:pPr>
      <w:r>
        <w:t>(2) Muita ehkäisytoimenpiteitä, muun muassa tutkimuksia ja kokeiluhankkeita, voidaan määrittää kansallisessa jätehuoltosuunnitelmassa ja tarvittaessa erityissuunnitelmassa 21 päivänä maaliskuuta 2012 annetun lain mukaisesti.</w:t>
      </w:r>
    </w:p>
    <w:p w14:paraId="639CF3A6" w14:textId="77777777" w:rsidR="000147DB" w:rsidRPr="003E7524" w:rsidRDefault="000147DB" w:rsidP="000147DB">
      <w:pPr>
        <w:spacing w:after="0" w:line="240" w:lineRule="auto"/>
        <w:jc w:val="both"/>
        <w:rPr>
          <w:rFonts w:eastAsia="Times New Roman" w:cs="Arial"/>
          <w:lang w:val="fr-FR" w:eastAsia="fr-FR"/>
        </w:rPr>
      </w:pPr>
    </w:p>
    <w:p w14:paraId="173C0BC9" w14:textId="77777777" w:rsidR="000147DB" w:rsidRPr="003E7524" w:rsidRDefault="000147DB" w:rsidP="000147DB">
      <w:pPr>
        <w:spacing w:after="0" w:line="240" w:lineRule="auto"/>
        <w:jc w:val="both"/>
        <w:rPr>
          <w:rFonts w:eastAsia="Times New Roman" w:cs="Arial"/>
          <w:lang w:val="fr-FR" w:eastAsia="fr-FR"/>
        </w:rPr>
      </w:pPr>
    </w:p>
    <w:p w14:paraId="759CE7BF" w14:textId="77777777" w:rsidR="000147DB" w:rsidRPr="003E7524" w:rsidRDefault="000147DB" w:rsidP="000147DB">
      <w:pPr>
        <w:spacing w:after="0" w:line="240" w:lineRule="auto"/>
        <w:jc w:val="both"/>
        <w:rPr>
          <w:rFonts w:eastAsia="Times New Roman" w:cs="Arial"/>
          <w:strike/>
          <w:lang w:val="fr-FR" w:eastAsia="fr-FR"/>
        </w:rPr>
      </w:pPr>
    </w:p>
    <w:p w14:paraId="1F738067" w14:textId="77777777" w:rsidR="000147DB" w:rsidRPr="00471E09" w:rsidRDefault="000147DB" w:rsidP="002F5A31">
      <w:pPr>
        <w:keepNext/>
        <w:keepLines/>
        <w:spacing w:beforeLines="100" w:before="240" w:after="240" w:line="240" w:lineRule="auto"/>
        <w:jc w:val="both"/>
        <w:rPr>
          <w:rFonts w:eastAsia="Calibri" w:cs="TimesNewRoman"/>
          <w:b/>
          <w:color w:val="FF0000"/>
          <w:sz w:val="24"/>
          <w:szCs w:val="24"/>
          <w:u w:val="single"/>
        </w:rPr>
      </w:pPr>
      <w:r>
        <w:rPr>
          <w:b/>
          <w:color w:val="FF0000"/>
          <w:sz w:val="24"/>
          <w:szCs w:val="24"/>
          <w:u w:val="single"/>
        </w:rPr>
        <w:t xml:space="preserve">5 §. Pakkausten vähentäminen </w:t>
      </w:r>
    </w:p>
    <w:p w14:paraId="2D11A631"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Jotta Luxemburgin alueella voidaan vähentää kestävästi pakkausten kuluttamista,</w:t>
      </w:r>
    </w:p>
    <w:p w14:paraId="1921772D" w14:textId="2F6CC734" w:rsidR="000147DB" w:rsidRPr="00471E09" w:rsidRDefault="000147DB" w:rsidP="000147DB">
      <w:pPr>
        <w:pStyle w:val="Liste10"/>
        <w:spacing w:before="240"/>
        <w:ind w:left="360" w:hanging="427"/>
        <w:rPr>
          <w:rFonts w:cs="TimesNewRoman"/>
          <w:color w:val="FF0000"/>
          <w:sz w:val="24"/>
          <w:szCs w:val="24"/>
        </w:rPr>
      </w:pPr>
      <w:r>
        <w:rPr>
          <w:color w:val="FF0000"/>
          <w:sz w:val="24"/>
          <w:szCs w:val="24"/>
        </w:rPr>
        <w:t xml:space="preserve">1° </w:t>
      </w:r>
      <w:r>
        <w:rPr>
          <w:color w:val="FF0000"/>
          <w:sz w:val="24"/>
          <w:szCs w:val="24"/>
        </w:rPr>
        <w:tab/>
        <w:t>i) 1 päivästä tammikuuta 2022 alkaen kaikkien liitteessä III tarkoitettuja tuoreita hedelmiä ja vihanneksia, myös kuorittuja ja pilkottuja hedelmiä ja vihanneksia, myyntiin tarjoavien vähittäiskauppojen on annettava ne tarjolle ilman kokonaan tai osittain muovimateriaalista koostuvaa käärettä. Tätä velvollisuutta ei sovelleta vähintään 1,5 kilogramman eriin pakattuihin hedelmiin ja vihanneksiin; </w:t>
      </w:r>
    </w:p>
    <w:p w14:paraId="33E5B6DD" w14:textId="77777777" w:rsidR="000147DB" w:rsidRPr="003E7524" w:rsidRDefault="000147DB" w:rsidP="000147DB">
      <w:pPr>
        <w:pStyle w:val="Liste10"/>
        <w:spacing w:before="240"/>
        <w:ind w:left="360"/>
        <w:rPr>
          <w:rFonts w:cs="TimesNewRoman"/>
          <w:b/>
          <w:sz w:val="24"/>
          <w:szCs w:val="24"/>
          <w:lang w:val="fr-LU" w:eastAsia="fr-BE"/>
        </w:rPr>
      </w:pPr>
    </w:p>
    <w:p w14:paraId="0EA51AFF" w14:textId="633BD9CF" w:rsidR="000147DB" w:rsidRPr="003E7524" w:rsidRDefault="000147DB" w:rsidP="002F5A31">
      <w:pPr>
        <w:tabs>
          <w:tab w:val="left" w:pos="284"/>
        </w:tabs>
        <w:spacing w:beforeLines="100" w:before="240" w:after="240" w:line="240" w:lineRule="auto"/>
        <w:jc w:val="both"/>
        <w:rPr>
          <w:rFonts w:eastAsia="Calibri" w:cs="TimesNewRoman"/>
          <w:color w:val="FF0000"/>
          <w:sz w:val="24"/>
          <w:szCs w:val="24"/>
        </w:rPr>
      </w:pPr>
      <w:r>
        <w:rPr>
          <w:color w:val="FF0000"/>
          <w:sz w:val="24"/>
          <w:szCs w:val="24"/>
        </w:rPr>
        <w:t>2° kevyiden muovisten kantokassien vuotuinen kulutustaso ei saa olla yli 90 kassia henkilöä kohti 31 päivänä joulukuuta 2019 eikä yli 40 kassia henkilöä kohti 31 päivänä joulukuuta 2025. Tätä ei sovelleta 3 §:n 5 kohdassa tarkoitettuihin erittäin kevyisiin muovisiin kantokasseihin;</w:t>
      </w:r>
    </w:p>
    <w:p w14:paraId="6F0972E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3° tavaroiden tai tuotteiden myyntipisteissä ei anneta muovisia kantokasseja ilmaiseksi. Tätä ei sovelleta 3 §:n 5 kohdassa tarkoitettuihin erittäin kevyisiin muovisiin kantokasseihin;</w:t>
      </w:r>
    </w:p>
    <w:p w14:paraId="58896EE4" w14:textId="77777777" w:rsidR="000147DB" w:rsidRPr="003E7524" w:rsidRDefault="000147DB" w:rsidP="002F5A31">
      <w:pPr>
        <w:keepNext/>
        <w:keepLines/>
        <w:spacing w:beforeLines="100" w:before="240" w:after="240" w:line="240" w:lineRule="auto"/>
        <w:jc w:val="both"/>
        <w:rPr>
          <w:rFonts w:cs="TimesNewRoman"/>
          <w:color w:val="FF0000"/>
          <w:sz w:val="24"/>
          <w:szCs w:val="24"/>
        </w:rPr>
      </w:pPr>
      <w:r>
        <w:rPr>
          <w:color w:val="FF0000"/>
          <w:sz w:val="24"/>
          <w:szCs w:val="24"/>
        </w:rPr>
        <w:t xml:space="preserve">4° seuraavien käyttöpakkausten antaminen ilmaiseksi tavaroiden tai tuotteiden myyntipisteissä lopetetaan seuraavan aikataulun mukaisesti: </w:t>
      </w:r>
    </w:p>
    <w:p w14:paraId="2B70078E"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1 päivästä tammikuuta 2023 alkaen kassit riippumatta materiaalista, josta ne koostuvat;</w:t>
      </w:r>
    </w:p>
    <w:p w14:paraId="03DEAD8E" w14:textId="77777777" w:rsidR="000147DB" w:rsidRPr="00471E09"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1 päivästä tammikuuta 2024 alkaen käyttöpakkaukset, jotka koostuvat tiettyjen muovituotteiden ympäristövaikutusten arvioinnista [päivämäärä] annetun lain A osan liitteessä tarkoitetuista kertakäyttöisistä tuotteista riippumatta materiaalista, josta ne koostuvat;</w:t>
      </w:r>
    </w:p>
    <w:p w14:paraId="10B4C155"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1 päivästä tammikuuta 2025 alkaen kaikki käyttöpakkaukset.</w:t>
      </w:r>
    </w:p>
    <w:p w14:paraId="01699BD2" w14:textId="77777777" w:rsidR="000147DB" w:rsidRPr="00471E09" w:rsidRDefault="000147DB" w:rsidP="000147DB">
      <w:pPr>
        <w:spacing w:beforeLines="100" w:before="240" w:after="240" w:line="240" w:lineRule="auto"/>
        <w:jc w:val="both"/>
        <w:rPr>
          <w:rFonts w:eastAsia="Calibri" w:cstheme="minorHAnsi"/>
          <w:bCs/>
          <w:color w:val="FF0000"/>
          <w:sz w:val="24"/>
          <w:szCs w:val="24"/>
        </w:rPr>
      </w:pPr>
      <w:r>
        <w:rPr>
          <w:color w:val="FF0000"/>
          <w:sz w:val="24"/>
          <w:szCs w:val="24"/>
        </w:rPr>
        <w:lastRenderedPageBreak/>
        <w:t xml:space="preserve">(2) </w:t>
      </w:r>
      <w:r>
        <w:rPr>
          <w:bCs/>
          <w:color w:val="FF0000"/>
          <w:sz w:val="24"/>
          <w:szCs w:val="24"/>
        </w:rPr>
        <w:t>Edellä 1 momentin 3 ja 4 alamomentissa tarkoitetuilla tuotteilla on oltava ostamista hillitsevä hinta, joka esitetään erikseen ja näkyvästi myyntipisteessä ja laskussa. Vähimmäishinta voidaan määrittää ympäristösopimuksessa.</w:t>
      </w:r>
    </w:p>
    <w:p w14:paraId="4B8B74C5" w14:textId="77777777" w:rsidR="000147DB" w:rsidRPr="003E7524" w:rsidRDefault="000147DB" w:rsidP="000147DB">
      <w:pPr>
        <w:spacing w:after="0" w:line="240" w:lineRule="auto"/>
        <w:jc w:val="both"/>
        <w:rPr>
          <w:rFonts w:eastAsia="Times New Roman" w:cs="Arial"/>
          <w:color w:val="FF0000"/>
          <w:lang w:val="fr-FR" w:eastAsia="fr-FR"/>
        </w:rPr>
      </w:pPr>
    </w:p>
    <w:p w14:paraId="400B8D39"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u w:val="single"/>
        </w:rPr>
      </w:pPr>
      <w:r>
        <w:rPr>
          <w:color w:val="FF0000"/>
          <w:sz w:val="24"/>
          <w:szCs w:val="24"/>
          <w:u w:val="single"/>
        </w:rPr>
        <w:t>5 </w:t>
      </w:r>
      <w:r>
        <w:rPr>
          <w:i/>
          <w:color w:val="FF0000"/>
          <w:sz w:val="24"/>
          <w:szCs w:val="24"/>
          <w:u w:val="single"/>
        </w:rPr>
        <w:t>bis</w:t>
      </w:r>
      <w:r>
        <w:rPr>
          <w:color w:val="FF0000"/>
          <w:sz w:val="24"/>
          <w:szCs w:val="24"/>
          <w:u w:val="single"/>
        </w:rPr>
        <w:t> §. Uudelleenkäyttö </w:t>
      </w:r>
    </w:p>
    <w:p w14:paraId="163598FA" w14:textId="77777777" w:rsidR="000147DB" w:rsidRPr="003E7524" w:rsidRDefault="000147DB" w:rsidP="000147DB">
      <w:pPr>
        <w:jc w:val="both"/>
        <w:rPr>
          <w:color w:val="FF0000"/>
          <w:sz w:val="24"/>
        </w:rPr>
      </w:pPr>
      <w:r>
        <w:rPr>
          <w:color w:val="FF0000"/>
          <w:sz w:val="24"/>
        </w:rPr>
        <w:t>Ympäristöministeri voi 21 päivänä maaliskuuta 2012 annetun lain 9 §:ssä vahvistetun jätehierarkian mukaan tehdä ympäristösopimuksia, joilla kannustetaan kasvattamaan markkinoille saatettujen uudelleenkäytettävien pakkausten osuutta ja lisäämään ympäristön kannalta suotuisten pakkausten uudelleenkäyttöjärjestelmiä.</w:t>
      </w:r>
    </w:p>
    <w:p w14:paraId="213A7D6C" w14:textId="77777777" w:rsidR="000147DB" w:rsidRPr="003E7524" w:rsidRDefault="000147DB" w:rsidP="002F5A31">
      <w:pPr>
        <w:keepNext/>
        <w:keepLines/>
        <w:jc w:val="both"/>
        <w:rPr>
          <w:color w:val="FF0000"/>
          <w:sz w:val="24"/>
        </w:rPr>
      </w:pPr>
      <w:r>
        <w:rPr>
          <w:color w:val="FF0000"/>
          <w:sz w:val="24"/>
        </w:rPr>
        <w:t xml:space="preserve">Näiden sopimusten nojalla voidaan muun muassa </w:t>
      </w:r>
    </w:p>
    <w:p w14:paraId="5BEA6077" w14:textId="77777777" w:rsidR="000147DB" w:rsidRPr="003E7524" w:rsidRDefault="000147DB" w:rsidP="000147DB">
      <w:pPr>
        <w:jc w:val="both"/>
        <w:rPr>
          <w:color w:val="FF0000"/>
          <w:sz w:val="24"/>
        </w:rPr>
      </w:pPr>
      <w:r>
        <w:rPr>
          <w:color w:val="FF0000"/>
          <w:sz w:val="24"/>
        </w:rPr>
        <w:t>1° ottaa käyttöön panttijärjestelmiä;</w:t>
      </w:r>
    </w:p>
    <w:p w14:paraId="498392F7" w14:textId="77777777" w:rsidR="000147DB" w:rsidRPr="003E7524" w:rsidRDefault="000147DB" w:rsidP="000147DB">
      <w:pPr>
        <w:jc w:val="both"/>
        <w:rPr>
          <w:color w:val="FF0000"/>
          <w:sz w:val="24"/>
        </w:rPr>
      </w:pPr>
      <w:r>
        <w:rPr>
          <w:color w:val="FF0000"/>
          <w:sz w:val="24"/>
        </w:rPr>
        <w:t>2° määrittää laadullisia tai määrällisiä tavoitteita;</w:t>
      </w:r>
    </w:p>
    <w:p w14:paraId="57A9F07C" w14:textId="77777777" w:rsidR="000147DB" w:rsidRPr="003E7524" w:rsidRDefault="000147DB" w:rsidP="000147DB">
      <w:pPr>
        <w:jc w:val="both"/>
        <w:rPr>
          <w:color w:val="FF0000"/>
          <w:sz w:val="24"/>
        </w:rPr>
      </w:pPr>
      <w:r>
        <w:rPr>
          <w:color w:val="FF0000"/>
          <w:sz w:val="24"/>
        </w:rPr>
        <w:t>3° ottaa käyttöön taloudellisia kannustinjärjestelmiä;</w:t>
      </w:r>
    </w:p>
    <w:p w14:paraId="2D7BAE53" w14:textId="77777777" w:rsidR="000147DB" w:rsidRPr="003E7524" w:rsidRDefault="000147DB" w:rsidP="000147DB">
      <w:pPr>
        <w:jc w:val="both"/>
        <w:rPr>
          <w:color w:val="FF0000"/>
          <w:sz w:val="24"/>
        </w:rPr>
      </w:pPr>
      <w:r>
        <w:rPr>
          <w:color w:val="FF0000"/>
          <w:sz w:val="24"/>
        </w:rPr>
        <w:t>4° määrittää vuosittain markkinoille saatettavien uudelleenkäytettävien pakkausten vähimmäisosuus kunkin pakkausvirran osalta.</w:t>
      </w:r>
    </w:p>
    <w:p w14:paraId="7CDB617E" w14:textId="77777777" w:rsidR="000147DB" w:rsidRPr="003E7524" w:rsidRDefault="000147DB" w:rsidP="000147DB">
      <w:pPr>
        <w:spacing w:after="0" w:line="240" w:lineRule="auto"/>
        <w:jc w:val="both"/>
        <w:rPr>
          <w:rFonts w:eastAsia="Times New Roman" w:cs="Arial"/>
          <w:lang w:val="fr-LU" w:eastAsia="fr-FR"/>
        </w:rPr>
      </w:pPr>
    </w:p>
    <w:p w14:paraId="07381996" w14:textId="77777777" w:rsidR="000147DB" w:rsidRPr="003E7524" w:rsidRDefault="000147DB" w:rsidP="000147DB">
      <w:pPr>
        <w:spacing w:after="0" w:line="240" w:lineRule="auto"/>
        <w:jc w:val="both"/>
        <w:rPr>
          <w:rFonts w:eastAsia="Times New Roman" w:cs="Arial"/>
          <w:lang w:val="fr-FR" w:eastAsia="fr-FR"/>
        </w:rPr>
      </w:pPr>
    </w:p>
    <w:p w14:paraId="0E3A37E2"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u w:val="single"/>
        </w:rPr>
        <w:t>6 §. Hyödyntäminen ja kierrätys</w:t>
      </w:r>
    </w:p>
    <w:p w14:paraId="6A7E88E7"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Pakkauksista vastaavien tahojen on saavutettava vähintään seuraavat tavoitteet: </w:t>
      </w:r>
    </w:p>
    <w:p w14:paraId="135701C7" w14:textId="77777777" w:rsidR="000147DB" w:rsidRPr="003E7524" w:rsidRDefault="000147DB" w:rsidP="000147DB">
      <w:pPr>
        <w:pStyle w:val="Liste10"/>
        <w:spacing w:before="240"/>
        <w:rPr>
          <w:rFonts w:cs="TimesNewRoman"/>
          <w:b/>
          <w:color w:val="FF0000"/>
          <w:sz w:val="24"/>
          <w:szCs w:val="24"/>
        </w:rPr>
      </w:pPr>
      <w:r>
        <w:rPr>
          <w:color w:val="FF0000"/>
          <w:sz w:val="24"/>
          <w:szCs w:val="24"/>
        </w:rPr>
        <w:t>1) 65 painoprosenttia pakkausjätteistä hyödynnetään tai poltetaan jätteiden polttolaitoksissa, joissa energia otetaan talteen;</w:t>
      </w:r>
    </w:p>
    <w:p w14:paraId="0BEBEC70" w14:textId="77777777" w:rsidR="000147DB" w:rsidRPr="003E7524" w:rsidRDefault="000147DB" w:rsidP="000147DB">
      <w:pPr>
        <w:pStyle w:val="Liste10"/>
        <w:spacing w:before="240"/>
        <w:rPr>
          <w:rFonts w:cs="TimesNewRoman"/>
          <w:b/>
          <w:color w:val="FF0000"/>
          <w:sz w:val="24"/>
          <w:szCs w:val="24"/>
        </w:rPr>
      </w:pPr>
      <w:r>
        <w:rPr>
          <w:color w:val="FF0000"/>
          <w:sz w:val="24"/>
          <w:szCs w:val="24"/>
        </w:rPr>
        <w:t>2) 60 painoprosenttia pakkausjätteistä kierrätetään seuraavien kierrätyksen vähimmäistavoitteiden mukaisesti pakkausjätteiden sisältämien materiaalien osalta: 60 painoprosenttia lasista, 60 painoprosenttia paperista ja kartongista, 50 painoprosenttia metallista, 22,5 painoprosenttia muovista ottaen huomioon ainoastaan materiaalit, jotka kierrätetään takaisin muoviksi, ja 15 painoprosenttia puusta;</w:t>
      </w:r>
    </w:p>
    <w:p w14:paraId="74DA408D" w14:textId="77777777" w:rsidR="000147DB" w:rsidRPr="003E7524" w:rsidRDefault="000147DB" w:rsidP="000147DB">
      <w:pPr>
        <w:pStyle w:val="Liste10"/>
        <w:spacing w:before="240"/>
        <w:rPr>
          <w:rFonts w:cs="TimesNewRoman"/>
          <w:b/>
          <w:color w:val="FF0000"/>
          <w:sz w:val="24"/>
          <w:szCs w:val="24"/>
        </w:rPr>
      </w:pPr>
      <w:r>
        <w:rPr>
          <w:color w:val="FF0000"/>
          <w:sz w:val="24"/>
          <w:szCs w:val="24"/>
        </w:rPr>
        <w:t>3) viimeistään 31 päivänä joulukuuta 2025 kierrätetään vähintään 65 painoprosenttia kaikista pakkausjätteistä;</w:t>
      </w:r>
    </w:p>
    <w:p w14:paraId="73EB6671"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4) viimeistään 31 päivänä joulukuuta 2025 seuraavat kierrätyksen vähimmäistavoitteet on saavutettava seuraavien pakkausjätteiden sisältämien erityismateriaalien osalta:</w:t>
      </w:r>
    </w:p>
    <w:p w14:paraId="28C5FBC2"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a) 50 painoprosenttia muovista;</w:t>
      </w:r>
    </w:p>
    <w:p w14:paraId="4E57FAF2"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lastRenderedPageBreak/>
        <w:t>b) 25 painoprosenttia puusta;</w:t>
      </w:r>
    </w:p>
    <w:p w14:paraId="2042FBF8"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c) 70 painoprosenttia rautametalleista;</w:t>
      </w:r>
    </w:p>
    <w:p w14:paraId="44C91BB4"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d) 50 painoprosenttia alumiinista;</w:t>
      </w:r>
    </w:p>
    <w:p w14:paraId="7238B496"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e) 70 painoprosenttia lasista;</w:t>
      </w:r>
    </w:p>
    <w:p w14:paraId="0474C36D"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f) 75 painoprosenttia paperista ja kartongista;</w:t>
      </w:r>
    </w:p>
    <w:p w14:paraId="0E79D37D" w14:textId="77777777" w:rsidR="000147DB" w:rsidRPr="00471E09" w:rsidRDefault="000147DB" w:rsidP="000147DB">
      <w:pPr>
        <w:pStyle w:val="Liste10"/>
        <w:spacing w:before="240"/>
        <w:rPr>
          <w:rFonts w:cs="TimesNewRoman"/>
          <w:color w:val="FF0000"/>
          <w:sz w:val="24"/>
          <w:szCs w:val="24"/>
        </w:rPr>
      </w:pPr>
      <w:r>
        <w:rPr>
          <w:color w:val="FF0000"/>
          <w:sz w:val="24"/>
          <w:szCs w:val="24"/>
        </w:rPr>
        <w:t>5) viimeistään 31 päivänä joulukuuta 2030 kierrätetään vähintään 70 painoprosenttia kaikista pakkausjätteistä;</w:t>
      </w:r>
    </w:p>
    <w:p w14:paraId="72B3204C" w14:textId="77777777" w:rsidR="000147DB" w:rsidRPr="00471E09" w:rsidRDefault="000147DB" w:rsidP="002F5A31">
      <w:pPr>
        <w:pStyle w:val="Liste10"/>
        <w:keepNext/>
        <w:keepLines/>
        <w:spacing w:before="240"/>
        <w:rPr>
          <w:rFonts w:cs="TimesNewRoman"/>
          <w:color w:val="FF0000"/>
          <w:sz w:val="24"/>
          <w:szCs w:val="24"/>
        </w:rPr>
      </w:pPr>
      <w:r>
        <w:rPr>
          <w:color w:val="FF0000"/>
          <w:sz w:val="24"/>
          <w:szCs w:val="24"/>
        </w:rPr>
        <w:t>6) viimeistään 31 päivänä joulukuuta 2030 seuraavat kierrätyksen vähimmäistavoitteet on saavutettava seuraavien pakkausjätteiden sisältämien erityismateriaalien osalta:</w:t>
      </w:r>
    </w:p>
    <w:p w14:paraId="5CEB0529"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a) 55 painoprosenttia muovista;</w:t>
      </w:r>
    </w:p>
    <w:p w14:paraId="3F31D1FB"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b) 30 painoprosenttia puusta;</w:t>
      </w:r>
    </w:p>
    <w:p w14:paraId="75516D16"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c) 80 painoprosenttia rautametalleista;</w:t>
      </w:r>
    </w:p>
    <w:p w14:paraId="4FD2DC34"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d) 60 painoprosenttia alumiinista;</w:t>
      </w:r>
    </w:p>
    <w:p w14:paraId="6756906E"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e) 75 painoprosenttia lasista;</w:t>
      </w:r>
    </w:p>
    <w:p w14:paraId="7EEFA81F"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f) 85 painoprosenttia paperista ja kartongista.</w:t>
      </w:r>
    </w:p>
    <w:p w14:paraId="4B119723" w14:textId="77777777" w:rsidR="000147DB" w:rsidRPr="00471E09" w:rsidRDefault="000147DB" w:rsidP="000147DB">
      <w:pPr>
        <w:pStyle w:val="Liste10"/>
        <w:spacing w:before="240"/>
        <w:rPr>
          <w:rFonts w:cs="TimesNewRoman"/>
          <w:color w:val="FF0000"/>
          <w:sz w:val="24"/>
          <w:szCs w:val="24"/>
        </w:rPr>
      </w:pPr>
      <w:r>
        <w:rPr>
          <w:color w:val="FF0000"/>
          <w:sz w:val="24"/>
          <w:szCs w:val="24"/>
        </w:rPr>
        <w:t>Sanotun rajoittamatta 14 §:ää ympäristöviranomainen huolehtii siitä, että näistä velvoitteista ja tavoitteista järjestetään suurelle yleisölle ja talouden toimijoille suunnattu tiedotuskampanja.</w:t>
      </w:r>
    </w:p>
    <w:p w14:paraId="7CDFE683" w14:textId="77777777" w:rsidR="000147DB" w:rsidRPr="003E7524" w:rsidRDefault="000147DB" w:rsidP="000147DB">
      <w:pPr>
        <w:spacing w:after="0" w:line="240" w:lineRule="auto"/>
        <w:jc w:val="both"/>
        <w:rPr>
          <w:rFonts w:eastAsia="Times New Roman" w:cs="Arial"/>
          <w:color w:val="FF0000"/>
          <w:lang w:val="fr-LU" w:eastAsia="fr-FR"/>
        </w:rPr>
      </w:pPr>
    </w:p>
    <w:p w14:paraId="349B36C3"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u w:val="single"/>
        </w:rPr>
        <w:t>6 </w:t>
      </w:r>
      <w:r>
        <w:rPr>
          <w:i/>
          <w:color w:val="FF0000"/>
          <w:sz w:val="24"/>
          <w:szCs w:val="24"/>
          <w:u w:val="single"/>
        </w:rPr>
        <w:t>bis</w:t>
      </w:r>
      <w:r>
        <w:rPr>
          <w:color w:val="FF0000"/>
          <w:sz w:val="24"/>
          <w:szCs w:val="24"/>
          <w:u w:val="single"/>
        </w:rPr>
        <w:t> §. Tavoitteiden saavuttamisen arvioinnissa sovellettavat laskemissäännöt</w:t>
      </w:r>
    </w:p>
    <w:p w14:paraId="4190A464"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(1) Jotta voidaan tehdä laskelma sen määrittämiseksi, onko 6 §:n 1 momentin 3−6 alamomentissa vahvistetut tavoitteet saavutettu,</w:t>
      </w:r>
    </w:p>
    <w:p w14:paraId="64FF6A17"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szCs w:val="24"/>
        </w:rPr>
        <w:t>1. syntyneen ja kierrätetyn pakkausjätteen paino lasketaan kyseisen kalenterivuoden ajalta. Pakkausjätettä voidaan katsoa syntyvän saman verran kuin pakkauksia saatetaan samana vuonna markkinoille;</w:t>
      </w:r>
    </w:p>
    <w:p w14:paraId="3595E56C" w14:textId="77777777" w:rsidR="000147DB" w:rsidRPr="00487C0C" w:rsidRDefault="000147DB" w:rsidP="00487C0C">
      <w:pPr>
        <w:keepLines/>
        <w:spacing w:beforeLines="100" w:before="240" w:after="240" w:line="240" w:lineRule="auto"/>
        <w:ind w:left="720"/>
        <w:jc w:val="both"/>
        <w:rPr>
          <w:rFonts w:eastAsia="Calibri" w:cs="TimesNewRoman"/>
          <w:color w:val="FF0000"/>
          <w:spacing w:val="-4"/>
          <w:sz w:val="24"/>
          <w:szCs w:val="24"/>
        </w:rPr>
      </w:pPr>
      <w:r w:rsidRPr="00487C0C">
        <w:rPr>
          <w:color w:val="FF0000"/>
          <w:spacing w:val="-4"/>
          <w:sz w:val="24"/>
          <w:szCs w:val="24"/>
        </w:rPr>
        <w:lastRenderedPageBreak/>
        <w:t>2. kierrätetyn pakkausjätteen paino on laskettava niiden pakkausten painona, joista on tullut jätettä, joka sen jälkeen, kun sille on tehty kaikki tarvittavat tarkistus- ja lajittelutoimet ja muut valmistelutoimet sellaisten jätemateriaalien poistamiseksi, jotka eivät ole myöhemmän uudelleenkäsittelyn kohteena, ja laadukkaan kierrätyksen varmistamiseksi, tulee kierrätykseen, jossa jätemateriaalit tosiasiallisesti uudelleenkäsitellään tuotteiksi, materiaaleiksi tai aineiksi.</w:t>
      </w:r>
    </w:p>
    <w:p w14:paraId="528F3DBE"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(2) Edellä olevan 1 momentin 1 alamomentin soveltamiseksi kierrätettävä pakkausjäte punnitaan, kun jäte tulee kierrätykseen.</w:t>
      </w:r>
    </w:p>
    <w:p w14:paraId="5C40963C"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Edellä olevasta 1 alamomentista poiketen kierrätetyn pakkausjätteen paino voidaan punnita mahdollisen lajittelutoiminnan tuotoksena edellyttäen, että</w:t>
      </w:r>
    </w:p>
    <w:p w14:paraId="34D0716F"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1. tällainen tuotosjäte tämän jälkeen kierrätetään;</w:t>
      </w:r>
    </w:p>
    <w:p w14:paraId="3B9C8FE8"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2. niiden materiaalien tai aineiden painoa, jotka poistetaan ennen kierrätystä toteutettavissa muissa toimissa ja joita ei sen jälkeen kierrätetä, ei sisällytetä kierrätetyksi ilmoitetun jätteen painoon.</w:t>
      </w:r>
    </w:p>
    <w:p w14:paraId="0049964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Jotta voidaan taata, että laskemissääntöjä noudatetaan ja että kaikki tiedot toimitetaan asianmukaisesti toimivaltaiselle viranomaiselle, perustetaan sähköinen rekisteri 21 päivänä maaliskuuta 2012 annetun lain 34 §:n mukaisesti. </w:t>
      </w:r>
    </w:p>
    <w:p w14:paraId="22177B0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(4) Sellaisten pakkausjätemateriaalien määrä, jotka ovat lakanneet olemasta jätettä ennen uudelleenkäsittelyä toteutetun valmistelutoimen tuloksena, voidaan lukea kierrätetyksi edellyttäen, että tällaiset materiaalit on tarkoitettu uudelleenkäsiteltäviksi alkuperäisiin tai muihin tarkoituksiin käytettäviksi tuotteiksi, materiaaleiksi tai aineiksi. Materiaaleja, joita ei enää luokitella jätteeksi ja joita on määrä käyttää polttoaineina tai muutoin energian tuottamiseksi taikka polttaa, käyttää maantäyttöön tai sijoittaa kaatopaikalle, ei saa ottaa huomioon kierrätystavoitteiden saavuttamisessa.</w:t>
      </w:r>
    </w:p>
    <w:p w14:paraId="79D6EBA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(5) Sen laskemiseksi, onko 6 §:n 1 momentin 3−6 alamomentissa säädetyt tavoitteet saavutettu, ympäristöviranomainen voi ottaa huomioon jätteenpolton jälkeen erotettujen metallien kierrätyksen, sen mukaan, mikä on pakkausjätteen osuus poltetusta jätteestä, mikäli kierrätetyt metallit täyttävät tietyt direktiivin 2008/98/EY 11 a artiklan 9 kohdan nojalla annetussa täytäntöönpanosäädöksessä vahvistetut laatuvaatimukset.</w:t>
      </w:r>
    </w:p>
    <w:p w14:paraId="451BF595"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(6) Pakkausjätteen, joka on toimitettu toiseen Euroopan unionin jäsenvaltioon kierrätettäväksi kyseisessä toisessa jäsenvaltiossa, otetaan huomioon 6 §:n 1 momentin 3–6 alamomentissa säädettyjen tavoitteiden saavuttamisessa Luxemburgissa.</w:t>
      </w:r>
    </w:p>
    <w:p w14:paraId="5CA935B6" w14:textId="77777777" w:rsidR="000147DB" w:rsidRPr="003E7524" w:rsidRDefault="000147DB" w:rsidP="00487C0C">
      <w:pPr>
        <w:keepLines/>
        <w:spacing w:beforeLines="100" w:before="240" w:after="240" w:line="240" w:lineRule="auto"/>
        <w:jc w:val="both"/>
        <w:rPr>
          <w:rFonts w:eastAsia="Calibri" w:cs="TimesNewRoman"/>
          <w:color w:val="FF0000"/>
          <w:sz w:val="24"/>
          <w:szCs w:val="24"/>
        </w:rPr>
      </w:pPr>
      <w:r>
        <w:rPr>
          <w:color w:val="FF0000"/>
          <w:sz w:val="24"/>
          <w:szCs w:val="24"/>
        </w:rPr>
        <w:lastRenderedPageBreak/>
        <w:t>(7) Euroopan unionista viedyn pakkausjätteen voi ottaa huomioon 6 §:n 1 momentissa säädettyjen tavoitteiden saavuttamisessa ainoastaan, jos 3 momentin vaatimukset täyttyvät ja jos viejä voi jätteiden siirrosta 14 päivänä kesäkuuta 2006 annetun Euroopan parlamentin ja neuvoston asetuksen (EY) N:o 1013/2006 mukaisesti osoittaa, että jätteen siirto on kyseisen asetuksen vaatimusten mukaista ja että pakkausjätteen käsittely Euroopan unionin ulkopuolella tapahtui olosuhteissa, jotka suurelta osin vastaavat asiaa koskevassa unionin ympäristölainsäädännössä asetettuja edellytyksiä.</w:t>
      </w:r>
    </w:p>
    <w:p w14:paraId="627E6620" w14:textId="77777777" w:rsidR="000147DB" w:rsidRPr="003E7524" w:rsidRDefault="000147DB" w:rsidP="000147DB">
      <w:pPr>
        <w:spacing w:after="0" w:line="240" w:lineRule="auto"/>
        <w:jc w:val="center"/>
        <w:rPr>
          <w:rFonts w:eastAsia="Calibri" w:cs="Arial"/>
          <w:lang w:val="fr-FR"/>
        </w:rPr>
      </w:pPr>
    </w:p>
    <w:p w14:paraId="2620BFC1" w14:textId="77777777" w:rsidR="000147DB" w:rsidRPr="003E7524" w:rsidRDefault="000147DB" w:rsidP="000147DB">
      <w:pPr>
        <w:spacing w:after="0" w:line="240" w:lineRule="auto"/>
        <w:jc w:val="both"/>
        <w:rPr>
          <w:rFonts w:eastAsia="Times New Roman" w:cs="Arial"/>
          <w:strike/>
          <w:color w:val="FF0000"/>
          <w:lang w:val="fr-FR" w:eastAsia="fr-FR"/>
        </w:rPr>
      </w:pPr>
    </w:p>
    <w:p w14:paraId="516918B1" w14:textId="77777777" w:rsidR="000147DB" w:rsidRPr="003E7524" w:rsidRDefault="000147DB" w:rsidP="000147DB">
      <w:pPr>
        <w:spacing w:after="0" w:line="240" w:lineRule="auto"/>
        <w:jc w:val="center"/>
        <w:rPr>
          <w:rFonts w:eastAsia="Calibri" w:cs="Arial"/>
          <w:color w:val="FF0000"/>
          <w:lang w:val="fr-FR"/>
        </w:rPr>
      </w:pPr>
    </w:p>
    <w:p w14:paraId="47E52660" w14:textId="77777777" w:rsidR="000147DB" w:rsidRPr="003E7524" w:rsidRDefault="000147DB" w:rsidP="002F5A31">
      <w:pPr>
        <w:keepNext/>
        <w:keepLines/>
        <w:shd w:val="clear" w:color="auto" w:fill="FFFFFF"/>
        <w:spacing w:before="142" w:after="28"/>
        <w:jc w:val="both"/>
        <w:rPr>
          <w:rFonts w:eastAsia="Calibri" w:cs="TimesNewRoman"/>
          <w:color w:val="FF0000"/>
          <w:sz w:val="24"/>
          <w:szCs w:val="24"/>
        </w:rPr>
      </w:pPr>
      <w:r>
        <w:rPr>
          <w:color w:val="FF0000"/>
          <w:sz w:val="24"/>
          <w:szCs w:val="24"/>
          <w:u w:val="single"/>
        </w:rPr>
        <w:t>7 §. Palautus-, keräys- ja hyödyntämisjärjestelmät</w:t>
      </w:r>
    </w:p>
    <w:p w14:paraId="3CFE162E"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(1) Edellä 1 §:ssä tarkoitettujen tavoitteiden saavuttamiseksi ja 2 momentin mukaisesti pakkauksista vastaavien tahojen on huolehdittava seuraavista hygieniamääräyksiä noudattaen:</w:t>
      </w:r>
    </w:p>
    <w:p w14:paraId="7AA5AC5D"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1. kuluttajilta, muilta loppukäyttäjiltä tai jätevirroista saatavien käytettyjen pakkausten tai pakkausjätteen palauttaminen tai keräys, jotta ne voidaan ohjata käsiteltäväksi tarkoituksenmukaisimpien jätehuoltoratkaisujen mukaisesti;</w:t>
      </w:r>
    </w:p>
    <w:p w14:paraId="40D25AD4"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2. kerättyjen pakkausten tai pakkausjätteen uudelleenkäyttö tai hyödyntäminen, mukaan lukien kierrätys.</w:t>
      </w:r>
    </w:p>
    <w:p w14:paraId="60F35859"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Asianomaisten alojen talouden toimijoiden ja toimivaltaisten viranomaisten on voitava osallistua kyseisiin järjestelmiin. Järjestelmiä on sovellettava syrjimättömin ehdoin myös tuontituotteisiin, myös järjestelmiin pääsyä koskevien yksityiskohtaisten sääntöjen ja pääsystä mahdollisesti perittävien maksujen osalta, ja ne on suunniteltava siten, että vältetään kaupan esteet tai kilpailun vääristyminen.</w:t>
      </w:r>
    </w:p>
    <w:p w14:paraId="7291264C"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(2) Jotta voidaan vähentää mahdollisimman paljon pakkausjätteiden hävittämistä yhdyskuntajätteinä ja saavuttaa pakkausjätteiden erilliskeräyksen korkea taso, sovelletaan seuraavia säännöksiä:</w:t>
      </w:r>
    </w:p>
    <w:p w14:paraId="457714E4"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a) kotitalouden yhdyskuntajätteiden osalta:</w:t>
      </w:r>
    </w:p>
    <w:p w14:paraId="04693C3C"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szCs w:val="24"/>
        </w:rPr>
        <w:t>Sanotun rajoittamatta kotitalouden yhdyskuntajätteistä huolehtimisesta 21 päivänä maaliskuuta 2012 annetun lain nojalla vastuussa olevien kuntien tai kuntaliittojen velvoitteita, kuntien tai kuntaliittojen on huolehdittava erilliskeräysjärjestelmien saatavuudesta. Kuntien tai kuntaliittojen on huolehdittava tarvittaessa yhteistyössä valtuutettujen elinten kanssa sellaisten kotitalouden pakkausjätteiden erilliskeräyksen julkisten infrastruktuurien saatavuudesta ja saavutettavuudesta, joihin loppuhaltijat voivat viedä vähintään ilmaiseksi kyseiset pakkausjätteet.</w:t>
      </w:r>
    </w:p>
    <w:p w14:paraId="54386F43" w14:textId="77777777" w:rsidR="000147DB" w:rsidRPr="00487C0C" w:rsidRDefault="000147DB" w:rsidP="00487C0C">
      <w:pPr>
        <w:keepLines/>
        <w:spacing w:before="200" w:after="85" w:line="240" w:lineRule="auto"/>
        <w:ind w:left="374"/>
        <w:jc w:val="both"/>
        <w:rPr>
          <w:rFonts w:eastAsia="Calibri" w:cs="TimesNewRoman"/>
          <w:color w:val="FF0000"/>
          <w:spacing w:val="-6"/>
          <w:sz w:val="24"/>
          <w:szCs w:val="24"/>
        </w:rPr>
      </w:pPr>
      <w:r w:rsidRPr="00487C0C">
        <w:rPr>
          <w:color w:val="FF0000"/>
          <w:spacing w:val="-6"/>
          <w:sz w:val="24"/>
          <w:szCs w:val="24"/>
        </w:rPr>
        <w:lastRenderedPageBreak/>
        <w:t>Valtuutetut elimet voivat järjestää ja käyttää vaihtoehtoisia tai täydentäviä kotitalouden pakkausjätteiden palautusjärjestelmiä, mikäli kyseisissä järjestelmissä noudatetaan tämän lain tavoitteita ja taataan sama alueellinen kattavuus kuin kuntien tai kuntaliittojen käyttöön ottamissa järjestelmissä sekä varmistetaan vähintään kotitalouden pakkausjätteiden ilmainen palautus.</w:t>
      </w:r>
    </w:p>
    <w:p w14:paraId="1411304A"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t>Kotitalouden pakkausten käyttäjien on käytettävä kotitalouden pakkausjätteiden erilliskeräyksen palautusjärjestelmiä, jotka kunnat tai kuntaliitot tai valtuutetut elimet ovat antaneet heidän saatavilleen;</w:t>
      </w:r>
    </w:p>
    <w:p w14:paraId="72763D47"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b) muiden kuin kotitalouden yhdyskuntajätteiden osalta:</w:t>
      </w:r>
    </w:p>
    <w:p w14:paraId="3D19C80D"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t>Muiden kuin kotitalouden pakkauksista vastaavat tahot huolehtivat kyseisten jätteiden keräämisestä ja hyödyntämisestä tämän lain 8 §:ssä tarkoitetun laajennetun tuottajanvastuun järjestelmän yhteydessä.</w:t>
      </w:r>
    </w:p>
    <w:p w14:paraId="211C6CEC" w14:textId="165B29C7" w:rsidR="000147DB" w:rsidRPr="00471E09"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(3) </w:t>
      </w:r>
      <w:hyperlink r:id="rId4" w:history="1">
        <w:r>
          <w:rPr>
            <w:color w:val="FF0000"/>
            <w:sz w:val="24"/>
            <w:szCs w:val="24"/>
          </w:rPr>
          <w:t>Maaliskuun 21 päivänä 2012 annetun lain</w:t>
        </w:r>
      </w:hyperlink>
      <w:r>
        <w:rPr>
          <w:color w:val="FF0000"/>
          <w:sz w:val="24"/>
          <w:szCs w:val="24"/>
        </w:rPr>
        <w:t xml:space="preserve"> 30 §:n 1 momentissa tarkoitetut laitokset tai yritykset voivat kerätä tai kuljettaa kotitalouden jätteitä muodostavia pakkausjätteitä vain, jos ne ovat saaneet siihen toimeksiannon valtuutetuilta elimiltä.</w:t>
      </w:r>
    </w:p>
    <w:p w14:paraId="5A8B572D" w14:textId="03908A6C"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(4) Ihmisten käyttöön tarkoitetuilla Luxemburgin markkinoille saatetuilla juomapakkauksilla on yhtenäinen kansallinen panttijärjestelmä. Pantin määrä vaihtelee pakkauksen luonteen mukaan kymmenestä sentistä yhteen euroon. Panttijärjestelmän käyttöönoton päivämäärä ja ehdot määritetään suurherttuan määräyksessä. </w:t>
      </w:r>
    </w:p>
    <w:p w14:paraId="2E9C3117" w14:textId="77777777" w:rsidR="000147DB" w:rsidRPr="003E7524" w:rsidRDefault="000147DB" w:rsidP="000147DB">
      <w:pPr>
        <w:spacing w:after="0" w:line="240" w:lineRule="auto"/>
        <w:jc w:val="both"/>
        <w:rPr>
          <w:rFonts w:eastAsia="Times New Roman" w:cs="Arial"/>
          <w:b/>
          <w:bCs/>
          <w:lang w:val="fr-LU" w:eastAsia="fr-FR"/>
        </w:rPr>
      </w:pPr>
    </w:p>
    <w:p w14:paraId="39140DBB" w14:textId="77777777" w:rsidR="000147DB" w:rsidRPr="003E7524" w:rsidRDefault="000147DB" w:rsidP="000147DB">
      <w:pPr>
        <w:spacing w:after="0" w:line="240" w:lineRule="auto"/>
        <w:jc w:val="both"/>
        <w:rPr>
          <w:rFonts w:eastAsia="Times New Roman" w:cs="Arial"/>
          <w:b/>
          <w:bCs/>
          <w:lang w:val="fr-FR" w:eastAsia="fr-FR"/>
        </w:rPr>
      </w:pPr>
    </w:p>
    <w:p w14:paraId="515F989F" w14:textId="77777777" w:rsidR="000147DB" w:rsidRPr="003E7524" w:rsidRDefault="000147DB" w:rsidP="000147DB">
      <w:pPr>
        <w:spacing w:after="0" w:line="240" w:lineRule="auto"/>
        <w:jc w:val="both"/>
        <w:rPr>
          <w:rFonts w:eastAsia="Times New Roman" w:cs="Arial"/>
          <w:strike/>
          <w:color w:val="FF0000"/>
          <w:lang w:val="fr-FR" w:eastAsia="fr-FR"/>
        </w:rPr>
      </w:pPr>
    </w:p>
    <w:p w14:paraId="5B6EF5DC"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u w:val="single"/>
        </w:rPr>
        <w:t>8</w:t>
      </w:r>
      <w:r>
        <w:rPr>
          <w:color w:val="FF0000"/>
          <w:sz w:val="24"/>
          <w:szCs w:val="24"/>
        </w:rPr>
        <w:t> §.</w:t>
      </w:r>
      <w:r>
        <w:rPr>
          <w:color w:val="FF0000"/>
          <w:sz w:val="24"/>
          <w:szCs w:val="24"/>
          <w:u w:val="single"/>
        </w:rPr>
        <w:t xml:space="preserve"> Pakkauksista vastaavat tahot ja valtuutetut elimet</w:t>
      </w:r>
    </w:p>
    <w:p w14:paraId="4ADADA8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(1) Jotta pakkauksista vastaava taho voi täyttää sille tästä laista johtuvat velvoitteet sekä tiettyjen muovituotteiden ympäristövaikutusten arvioinnista annetusta laista johtuvat velvoitteet, pakkauksista vastaavaan tahoon sovelletaan 21 päivänä maaliskuuta 2012 annetun lain 19 §:ssä tarkoitettua laajennetun tuottajanvastuun järjestelmää. </w:t>
      </w:r>
    </w:p>
    <w:p w14:paraId="48FF4710"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Niiden uudelleenkäytettävien kotitalouden pakkausten osalta, joilla on palautusjärjestelmä, pakkauksista vastaava taho voi veloittaa sopimusperusteisesti valtuutettua elintä kyseisen velvoitteen suorittamisesta kokonaan tai osittain. Muiden kotitalouden pakkausten osalta pakkauksista vastaavan tahon on veloitettava sopimusperusteisesti valtuutettua elintä kyseisen velvoitteen suorittamisesta. Muiden kuin kotitalouden pakkausten osalta pakkauksista vastaavan tahon on veloitettava sopimusperusteisesti valtuutettua laitosta kyseisen velvoitteen suorittamisesta kokonaan tai osittain. </w:t>
      </w:r>
    </w:p>
    <w:p w14:paraId="0456039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lastRenderedPageBreak/>
        <w:t>(2) Niiden pakkausjätteiden osalta, joihin sovelletaan keskitettyä huolehtimista, valtuutetut elimet huolehtivat kukin omalta osaltaan jätehuollon rahoituksesta, myös uudelleenkäytön valmistelua koskevista toimenpiteistä, yleisökeräyspisteestä alkaen.</w:t>
      </w:r>
    </w:p>
    <w:p w14:paraId="72D5467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Niiden pakkausjätteiden osalta, jotka eivät kuulu keskitettyyn huolehtimiseen, valtuutettujen elinten taloudellista osuutta kyseisten jätteiden erilliskeräyksessä koskevat ehdot määritetään kyseisten laitosten ja kyseisten kuntien yhteisessä sopimuksessa. Pakkauksista vastaavien tahojen on huolehdittava kaikista jätteistä huolehtimista koskevista kustannuksista, myös uudelleenkäytön valmistelua koskevista toimenpiteistä.</w:t>
      </w:r>
    </w:p>
    <w:p w14:paraId="7AFE5345"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(3) Valtuutetun elimen täytyy lisäksi</w:t>
      </w:r>
    </w:p>
    <w:p w14:paraId="09CD75E1"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1° laskea sopimusosapuoltensa rahoitusosuudet, jotta olemassa oleviin ja tuleviin keräyksiin, kerättyjen pakkausjätteiden lajitteluun, uudelleenkäytön valmistelua koskeviin toimenpiteisiin ja pakkausjätteiden käsittelyyn liittyvät kustannukset sekä jätteiden haltijoille tiedottamista sekä tietojen välittämistä ja keräämistä koskevat kustannukset voidaan rahoittaa. Huomioon otettavat kustannukset eivät saa ylittää kustannustehokkaan palvelun edellyttämiä kustannuksia;</w:t>
      </w:r>
    </w:p>
    <w:p w14:paraId="2A2FFD4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2° tehdä kotitalouden yhdyskuntajätteistä huolehtimisesta vastaavien kuntien tai kuntaliittojen kanssa sopimus, jossa määritetään muun muassa kyseisten pakkausjätteiden keräämisen ja pakkausjätteistä huolehtimisen tekniset ehdot. </w:t>
      </w:r>
    </w:p>
    <w:p w14:paraId="0E152E2B"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Sopimus ei saa missään tapauksessa vaikuttaa kotitalouden yhdyskuntajätteistä huolehtimisesta vastaavien kuntien tai kuntaliittojen toimivaltuuksiin alalla;</w:t>
      </w:r>
    </w:p>
    <w:p w14:paraId="5D98EE2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ilmoittaa ympäristöministerille vuosittain ja 21 päivänä maaliskuuta 2012 tehdyn sopimuksen 35 §:n 2 momentissa koskevan selonteon yhteydessä kotitalouden yhdyskuntajätteistä huolehtimisesta vastaavien kuntien tai kuntaliittojen kanssa tehdyt sopimukset. </w:t>
      </w:r>
    </w:p>
    <w:p w14:paraId="4EF43EE8"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(4) Pakkausjätteistä on huolehdittava 21 päivänä maaliskuuta 2012 annetun lain 9 §:ssä tarkoitetun jätehierarkian mukaisesti. </w:t>
      </w:r>
    </w:p>
    <w:p w14:paraId="0B1E18BC" w14:textId="77777777" w:rsidR="000147DB" w:rsidRPr="003E7524" w:rsidRDefault="000147DB" w:rsidP="000147DB">
      <w:pPr>
        <w:spacing w:after="0" w:line="240" w:lineRule="auto"/>
        <w:jc w:val="both"/>
        <w:rPr>
          <w:rFonts w:eastAsia="Times New Roman" w:cs="Arial"/>
          <w:strike/>
          <w:color w:val="FF0000"/>
          <w:lang w:val="fr-LU" w:eastAsia="fr-FR"/>
        </w:rPr>
      </w:pPr>
    </w:p>
    <w:p w14:paraId="1CA79E98" w14:textId="77777777" w:rsidR="000147DB" w:rsidRPr="003E7524" w:rsidRDefault="000147DB" w:rsidP="000147DB">
      <w:pPr>
        <w:spacing w:after="0" w:line="240" w:lineRule="auto"/>
        <w:jc w:val="both"/>
        <w:rPr>
          <w:rFonts w:eastAsia="Times New Roman" w:cs="Arial"/>
          <w:strike/>
          <w:color w:val="FF0000"/>
          <w:lang w:val="fr-FR" w:eastAsia="fr-FR"/>
        </w:rPr>
      </w:pPr>
    </w:p>
    <w:p w14:paraId="657BECD5" w14:textId="77777777" w:rsidR="000147DB" w:rsidRPr="003E7524" w:rsidRDefault="000147DB" w:rsidP="000147DB">
      <w:pPr>
        <w:spacing w:after="0" w:line="240" w:lineRule="auto"/>
        <w:jc w:val="both"/>
        <w:rPr>
          <w:rFonts w:eastAsia="Times New Roman" w:cs="Arial"/>
          <w:strike/>
          <w:color w:val="FF0000"/>
          <w:lang w:val="fr-FR" w:eastAsia="fr-FR"/>
        </w:rPr>
      </w:pPr>
    </w:p>
    <w:p w14:paraId="5E398962" w14:textId="77777777" w:rsidR="000147DB" w:rsidRPr="003E7524" w:rsidRDefault="000147DB" w:rsidP="002F5A31">
      <w:pPr>
        <w:keepNext/>
        <w:keepLines/>
        <w:spacing w:after="0" w:line="240" w:lineRule="auto"/>
        <w:jc w:val="both"/>
        <w:rPr>
          <w:rFonts w:eastAsia="Times New Roman" w:cs="Arial"/>
        </w:rPr>
      </w:pPr>
      <w:r>
        <w:rPr>
          <w:b/>
          <w:bCs/>
        </w:rPr>
        <w:t>9 §. Perusvaatimukset</w:t>
      </w:r>
    </w:p>
    <w:p w14:paraId="605864EB" w14:textId="77777777" w:rsidR="000147DB" w:rsidRPr="003E7524" w:rsidRDefault="000147DB" w:rsidP="000147DB">
      <w:pPr>
        <w:spacing w:after="0" w:line="240" w:lineRule="auto"/>
        <w:jc w:val="both"/>
        <w:rPr>
          <w:rFonts w:eastAsia="Times New Roman" w:cs="Arial"/>
        </w:rPr>
      </w:pPr>
      <w:r>
        <w:t>Pakkaus voidaan saattaa Luxemburgin markkinoille, jos se täyttää kaikki liitteessä I määritetyt perusvaatimukset.</w:t>
      </w:r>
    </w:p>
    <w:p w14:paraId="3A246FED" w14:textId="77777777" w:rsidR="000147DB" w:rsidRPr="003E7524" w:rsidRDefault="000147DB" w:rsidP="000147DB">
      <w:pPr>
        <w:spacing w:after="0" w:line="240" w:lineRule="auto"/>
        <w:jc w:val="both"/>
        <w:rPr>
          <w:rFonts w:eastAsia="Times New Roman" w:cs="Arial"/>
          <w:lang w:val="fr-FR" w:eastAsia="fr-FR"/>
        </w:rPr>
      </w:pPr>
    </w:p>
    <w:p w14:paraId="22E6A7CC" w14:textId="77777777" w:rsidR="000147DB" w:rsidRPr="003E7524" w:rsidRDefault="000147DB" w:rsidP="00487C0C">
      <w:pPr>
        <w:keepNext/>
        <w:keepLines/>
        <w:pageBreakBefore/>
        <w:spacing w:after="0" w:line="240" w:lineRule="auto"/>
        <w:jc w:val="both"/>
        <w:rPr>
          <w:rFonts w:eastAsia="Times New Roman" w:cs="Arial"/>
          <w:b/>
          <w:bCs/>
          <w:iCs/>
        </w:rPr>
      </w:pPr>
      <w:r>
        <w:rPr>
          <w:b/>
          <w:bCs/>
        </w:rPr>
        <w:lastRenderedPageBreak/>
        <w:t xml:space="preserve">10 §. </w:t>
      </w:r>
      <w:r>
        <w:rPr>
          <w:b/>
          <w:bCs/>
          <w:iCs/>
        </w:rPr>
        <w:t>Tunnistusjärjestelmä</w:t>
      </w:r>
    </w:p>
    <w:p w14:paraId="05C008A4" w14:textId="77777777" w:rsidR="000147DB" w:rsidRPr="003E7524" w:rsidRDefault="000147DB" w:rsidP="002F5A31">
      <w:pPr>
        <w:keepNext/>
        <w:keepLines/>
        <w:spacing w:after="0" w:line="240" w:lineRule="auto"/>
        <w:jc w:val="both"/>
        <w:rPr>
          <w:rFonts w:eastAsia="Times New Roman" w:cs="Arial"/>
          <w:b/>
          <w:bCs/>
          <w:iCs/>
          <w:lang w:val="fr-FR" w:eastAsia="fr-FR"/>
        </w:rPr>
      </w:pPr>
    </w:p>
    <w:p w14:paraId="331832A7" w14:textId="77777777" w:rsidR="000147DB" w:rsidRPr="003E7524" w:rsidRDefault="000147DB" w:rsidP="002F5A31">
      <w:pPr>
        <w:keepNext/>
        <w:keepLines/>
        <w:spacing w:after="0" w:line="240" w:lineRule="auto"/>
        <w:jc w:val="both"/>
        <w:rPr>
          <w:rFonts w:eastAsia="Times New Roman" w:cs="Arial"/>
          <w:b/>
          <w:lang w:val="fr-FR" w:eastAsia="fr-FR"/>
        </w:rPr>
      </w:pPr>
    </w:p>
    <w:p w14:paraId="425BF78D" w14:textId="77777777" w:rsidR="000147DB" w:rsidRPr="003E7524" w:rsidRDefault="000147DB" w:rsidP="002F5A31">
      <w:pPr>
        <w:keepNext/>
        <w:keepLines/>
        <w:spacing w:after="0" w:line="240" w:lineRule="auto"/>
        <w:jc w:val="both"/>
        <w:rPr>
          <w:rFonts w:eastAsia="Times New Roman" w:cs="Arial"/>
          <w:lang w:val="fr-FR" w:eastAsia="fr-FR"/>
        </w:rPr>
      </w:pPr>
    </w:p>
    <w:p w14:paraId="5D34AF9E" w14:textId="38F1F05F"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(1) Pakkauksiin on niiden keräyksen, uudelleenkäyttöön valmistelun ja hyödyntämisen, mukaan lukien kierrätys, helpottamiseksi merkittävä niissä käytetyt materiaalit, jotta ne voidaan tunnistaa ja luokitella kyseisellä teollisuuden alalla pakkausmateriaalien tunnistusjärjestelmän vahvistamisesta pakkauksista ja pakkausjätteistä annetun Euroopan parlamentin ja neuvoston direktiivin 94/62/EY mukaisesti 28 päivänä tammikuuta 1997 annetun komission päätöksen 97/129/EY perusteella. </w:t>
      </w:r>
    </w:p>
    <w:p w14:paraId="4942209B" w14:textId="77777777" w:rsidR="000147DB" w:rsidRPr="003E7524" w:rsidRDefault="000147DB" w:rsidP="000147DB">
      <w:pPr>
        <w:spacing w:after="0" w:line="240" w:lineRule="auto"/>
        <w:jc w:val="both"/>
        <w:rPr>
          <w:rFonts w:eastAsia="Times New Roman" w:cs="Arial"/>
          <w:lang w:val="fr-FR" w:eastAsia="fr-FR"/>
        </w:rPr>
      </w:pPr>
    </w:p>
    <w:p w14:paraId="08E9BCD8" w14:textId="77777777" w:rsidR="000147DB" w:rsidRPr="00487C0C" w:rsidRDefault="000147DB" w:rsidP="000147DB">
      <w:pPr>
        <w:spacing w:after="0" w:line="240" w:lineRule="auto"/>
        <w:jc w:val="both"/>
        <w:rPr>
          <w:rFonts w:eastAsia="Times New Roman" w:cs="Arial"/>
          <w:spacing w:val="-6"/>
        </w:rPr>
      </w:pPr>
      <w:r w:rsidRPr="00487C0C">
        <w:rPr>
          <w:spacing w:val="-6"/>
        </w:rPr>
        <w:t>(2) Tarpeen mukaan asianmukainen merkintä tehdään joko itse pakkaukseen tai etikettiin. Sen on oltava selvästi nähtävissä ja helposti luettavissa. Merkinnän on kestettävä tietyn ajan, myös silloin kun pakkaus avataan.</w:t>
      </w:r>
    </w:p>
    <w:p w14:paraId="09FE587A" w14:textId="77777777" w:rsidR="000147DB" w:rsidRPr="003E7524" w:rsidRDefault="000147DB" w:rsidP="000147DB">
      <w:pPr>
        <w:spacing w:after="0" w:line="240" w:lineRule="auto"/>
        <w:jc w:val="both"/>
        <w:rPr>
          <w:rFonts w:eastAsia="Times New Roman" w:cs="Arial"/>
          <w:lang w:val="fr-FR" w:eastAsia="fr-FR"/>
        </w:rPr>
      </w:pPr>
    </w:p>
    <w:p w14:paraId="7D950806" w14:textId="77777777" w:rsidR="000147DB" w:rsidRPr="003E7524" w:rsidRDefault="000147DB" w:rsidP="002F5A31">
      <w:pPr>
        <w:keepNext/>
        <w:keepLines/>
        <w:spacing w:after="0" w:line="240" w:lineRule="auto"/>
        <w:jc w:val="both"/>
        <w:rPr>
          <w:rFonts w:eastAsia="Times New Roman" w:cs="Arial"/>
          <w:b/>
          <w:color w:val="000000"/>
        </w:rPr>
      </w:pPr>
      <w:r>
        <w:rPr>
          <w:b/>
          <w:color w:val="000000"/>
        </w:rPr>
        <w:t xml:space="preserve">11 §. </w:t>
      </w:r>
      <w:r>
        <w:rPr>
          <w:b/>
          <w:iCs/>
          <w:color w:val="000000"/>
        </w:rPr>
        <w:t>Raskasmetallien pitoisuustasot pakkauksissa</w:t>
      </w:r>
    </w:p>
    <w:p w14:paraId="5961C7DD" w14:textId="77777777" w:rsidR="000147DB" w:rsidRPr="003E7524" w:rsidRDefault="000147DB" w:rsidP="000147DB">
      <w:pPr>
        <w:spacing w:after="0" w:line="240" w:lineRule="auto"/>
        <w:jc w:val="both"/>
        <w:rPr>
          <w:rFonts w:eastAsia="Times New Roman" w:cs="Arial"/>
          <w:color w:val="000000"/>
        </w:rPr>
      </w:pPr>
      <w:r>
        <w:rPr>
          <w:color w:val="000000"/>
        </w:rPr>
        <w:t>(1) Pakkauksissa tai niiden osissa olevan lyijyn, kadmiumin, elohopean ja kuudenarvoisen kromin yhteispitoisuudet eivät saa ylittää 100 miljoonasosaa painosta.</w:t>
      </w:r>
    </w:p>
    <w:p w14:paraId="173D4287" w14:textId="77777777" w:rsidR="000147DB" w:rsidRPr="003E7524" w:rsidRDefault="000147DB" w:rsidP="000147DB">
      <w:pPr>
        <w:spacing w:after="0" w:line="240" w:lineRule="auto"/>
        <w:jc w:val="both"/>
        <w:rPr>
          <w:rFonts w:eastAsia="Times New Roman" w:cs="Arial"/>
          <w:color w:val="000000"/>
        </w:rPr>
      </w:pPr>
      <w:r>
        <w:rPr>
          <w:color w:val="000000"/>
        </w:rPr>
        <w:t>(2) Edellä 1 momentissa tarkoitettuja pitoisuuksia ei sovelleta kokonaan kristallilasista koostuviin pakkauksiin.</w:t>
      </w:r>
    </w:p>
    <w:p w14:paraId="242DF555" w14:textId="77777777" w:rsidR="000147DB" w:rsidRPr="003E7524" w:rsidRDefault="000147DB" w:rsidP="000147DB">
      <w:pPr>
        <w:spacing w:after="0" w:line="240" w:lineRule="auto"/>
        <w:jc w:val="both"/>
        <w:rPr>
          <w:rFonts w:eastAsia="Times New Roman" w:cs="Arial"/>
          <w:lang w:val="fr-FR" w:eastAsia="fr-FR"/>
        </w:rPr>
      </w:pPr>
    </w:p>
    <w:p w14:paraId="122991E0" w14:textId="77777777" w:rsidR="000147DB" w:rsidRPr="003E7524" w:rsidRDefault="000147DB" w:rsidP="002F5A31">
      <w:pPr>
        <w:keepNext/>
        <w:keepLines/>
        <w:spacing w:after="0" w:line="240" w:lineRule="auto"/>
        <w:jc w:val="both"/>
        <w:rPr>
          <w:rFonts w:eastAsia="Times New Roman" w:cs="Arial"/>
          <w:b/>
        </w:rPr>
      </w:pPr>
      <w:r>
        <w:rPr>
          <w:b/>
        </w:rPr>
        <w:t>12 §. Tietojärjestelmät</w:t>
      </w:r>
    </w:p>
    <w:p w14:paraId="5FCE099A" w14:textId="77777777" w:rsidR="000147DB" w:rsidRPr="00487C0C" w:rsidRDefault="000147DB" w:rsidP="000147DB">
      <w:pPr>
        <w:spacing w:after="0" w:line="240" w:lineRule="auto"/>
        <w:jc w:val="both"/>
        <w:rPr>
          <w:rFonts w:eastAsia="Times New Roman" w:cs="Arial"/>
          <w:spacing w:val="-4"/>
        </w:rPr>
      </w:pPr>
      <w:r w:rsidRPr="00487C0C">
        <w:rPr>
          <w:spacing w:val="-4"/>
        </w:rPr>
        <w:t>(1) Pakkauksista ja pakkausjätteistä 20 päivänä joulukuuta 1994 annetun direktiivin 94/62/EY, sellaisena kuin se on muutettuna kyseisen direktiivin 19 artiklan nojalla annetuilla Euroopan komission delegoiduilla säädöksillä, liitteessä III tarkoitetuista tietokannoista huolehtii ympäristöviranomainen. Niissä annetaan tietoa pakkaus- ja pakkausjätevirtojen laajuudesta, ominaispiirteistä ja kehityksestä, mukaan lukien tiedot pakkausmateriaalien ja niiden valmistuksessa käytettävien ainesosien myrkyllisyydestä tai vaarallisuudesta.</w:t>
      </w:r>
    </w:p>
    <w:p w14:paraId="7E5340DE" w14:textId="77777777" w:rsidR="000147DB" w:rsidRPr="003E7524" w:rsidRDefault="000147DB" w:rsidP="000147DB">
      <w:pPr>
        <w:spacing w:after="0" w:line="240" w:lineRule="auto"/>
        <w:jc w:val="both"/>
        <w:rPr>
          <w:rFonts w:eastAsia="Times New Roman" w:cs="Arial"/>
        </w:rPr>
      </w:pPr>
      <w:r>
        <w:t>(2) Kyseessä olevien talouden toimijoiden on toimitettava ympäristöviranomaiselle tässä pykälässä edellytetyt luotettavat tiedot omalta alaltaan. Ympäristöviranomainen ottaa huomioon erityiset ongelmat, joita yksityiskohtaisten tietojen antaminen tuottaa pienille ja keskisuurille yrityksille.</w:t>
      </w:r>
    </w:p>
    <w:p w14:paraId="5AEC8260" w14:textId="77777777" w:rsidR="000147DB" w:rsidRPr="003E7524" w:rsidRDefault="000147DB" w:rsidP="000147DB">
      <w:pPr>
        <w:spacing w:after="0" w:line="240" w:lineRule="auto"/>
        <w:jc w:val="both"/>
        <w:rPr>
          <w:rFonts w:eastAsia="Times New Roman" w:cs="Arial"/>
          <w:lang w:val="fr-FR" w:eastAsia="fr-FR"/>
        </w:rPr>
      </w:pPr>
    </w:p>
    <w:p w14:paraId="3E529549" w14:textId="77777777" w:rsidR="000147DB" w:rsidRPr="003E7524" w:rsidRDefault="000147DB" w:rsidP="000147DB">
      <w:pPr>
        <w:spacing w:after="0" w:line="240" w:lineRule="auto"/>
        <w:jc w:val="both"/>
        <w:rPr>
          <w:rFonts w:eastAsia="Times New Roman" w:cs="Arial"/>
          <w:lang w:val="fr-FR" w:eastAsia="fr-FR"/>
        </w:rPr>
      </w:pPr>
    </w:p>
    <w:p w14:paraId="0135E764" w14:textId="77777777" w:rsidR="000147DB" w:rsidRPr="003E7524" w:rsidRDefault="000147DB" w:rsidP="002F5A31">
      <w:pPr>
        <w:keepNext/>
        <w:keepLines/>
        <w:spacing w:after="0" w:line="240" w:lineRule="auto"/>
        <w:jc w:val="both"/>
        <w:rPr>
          <w:rFonts w:eastAsia="Times New Roman" w:cs="Arial"/>
        </w:rPr>
      </w:pPr>
      <w:r>
        <w:rPr>
          <w:b/>
          <w:bCs/>
        </w:rPr>
        <w:t xml:space="preserve">14 §. </w:t>
      </w:r>
      <w:r>
        <w:rPr>
          <w:b/>
          <w:bCs/>
          <w:iCs/>
        </w:rPr>
        <w:t>Tiedottaminen pakkausten käyttäjille</w:t>
      </w:r>
    </w:p>
    <w:p w14:paraId="0BFAA0F4" w14:textId="77777777" w:rsidR="000147DB" w:rsidRPr="003E7524" w:rsidRDefault="000147DB" w:rsidP="000147DB">
      <w:pPr>
        <w:spacing w:after="0" w:line="240" w:lineRule="auto"/>
        <w:jc w:val="both"/>
        <w:rPr>
          <w:rFonts w:eastAsia="Times New Roman" w:cs="Arial"/>
        </w:rPr>
      </w:pPr>
      <w:r>
        <w:t>(1) Pakkauksista vastaavien tahojen tai valtuutettujen elinten on kunkin omalta osaltaan annettava pakkausten käyttäjille, myös kuluttajille, tietoa</w:t>
      </w:r>
    </w:p>
    <w:p w14:paraId="28FD57E8" w14:textId="77777777" w:rsidR="000147DB" w:rsidRPr="003E7524" w:rsidRDefault="000147DB" w:rsidP="000147DB">
      <w:pPr>
        <w:spacing w:after="0" w:line="240" w:lineRule="auto"/>
        <w:jc w:val="both"/>
        <w:rPr>
          <w:rFonts w:eastAsia="Times New Roman" w:cs="Arial"/>
        </w:rPr>
      </w:pPr>
      <w:r>
        <w:t>mahdollisuuksista estää pakkausjätteiden syntyminen;</w:t>
      </w:r>
    </w:p>
    <w:p w14:paraId="1A222528" w14:textId="77777777" w:rsidR="000147DB" w:rsidRPr="003E7524" w:rsidRDefault="000147DB" w:rsidP="000147DB">
      <w:pPr>
        <w:spacing w:after="0" w:line="240" w:lineRule="auto"/>
        <w:jc w:val="both"/>
        <w:rPr>
          <w:rFonts w:eastAsia="Times New Roman" w:cs="Arial"/>
        </w:rPr>
      </w:pPr>
      <w:r>
        <w:t>käyttäjien saatavilla olevista palautus-, keräys- ja hyödyntämisjärjestelmistä sekä käyttäjien osuudesta pakkausten ja pakkausjätteiden uudelleenkäytössä, hyödyntämisessä tai kierrättämisessä;</w:t>
      </w:r>
    </w:p>
    <w:p w14:paraId="2AF81E67" w14:textId="77777777" w:rsidR="000147DB" w:rsidRPr="003E7524" w:rsidRDefault="000147DB" w:rsidP="000147DB">
      <w:pPr>
        <w:spacing w:after="0" w:line="240" w:lineRule="auto"/>
        <w:jc w:val="both"/>
        <w:rPr>
          <w:rFonts w:eastAsia="Times New Roman" w:cs="Arial"/>
        </w:rPr>
      </w:pPr>
      <w:r>
        <w:t>muovisten kantokassien liiallisesta kuluttamisesta ympäristölle aiheutuvista haitallisista seurauksista;</w:t>
      </w:r>
    </w:p>
    <w:p w14:paraId="0BB30D5B" w14:textId="77777777" w:rsidR="000147DB" w:rsidRPr="003E7524" w:rsidRDefault="000147DB" w:rsidP="000147DB">
      <w:pPr>
        <w:spacing w:after="0" w:line="240" w:lineRule="auto"/>
        <w:jc w:val="both"/>
        <w:rPr>
          <w:rFonts w:eastAsia="Times New Roman" w:cs="Arial"/>
        </w:rPr>
      </w:pPr>
      <w:r>
        <w:t>pakkauksista ja pakkausjätteistä huolehtimista koskevien suunnitelmien asianmukaisista osista, jotka joko kuuluvat kansalliseen jätehuoltosuunnitelmaan tai joista laaditaan erityinen suunnitelma 21 päivänä maaliskuuta 2012 annetun lain mukaisesti.</w:t>
      </w:r>
    </w:p>
    <w:p w14:paraId="6F14132A" w14:textId="77777777" w:rsidR="000147DB" w:rsidRPr="003E7524" w:rsidRDefault="000147DB" w:rsidP="000147DB">
      <w:pPr>
        <w:spacing w:after="0" w:line="240" w:lineRule="auto"/>
        <w:jc w:val="both"/>
        <w:rPr>
          <w:rFonts w:eastAsia="Times New Roman" w:cs="Arial"/>
          <w:color w:val="FF0000"/>
          <w:lang w:val="fr-FR" w:eastAsia="fr-FR"/>
        </w:rPr>
      </w:pPr>
    </w:p>
    <w:p w14:paraId="7030362B" w14:textId="51AC38F2" w:rsidR="000147DB" w:rsidRPr="00487C0C" w:rsidRDefault="000147DB" w:rsidP="000147DB">
      <w:pPr>
        <w:spacing w:after="0" w:line="240" w:lineRule="auto"/>
        <w:jc w:val="both"/>
        <w:rPr>
          <w:rFonts w:eastAsia="Times New Roman" w:cs="Arial"/>
          <w:spacing w:val="-4"/>
        </w:rPr>
      </w:pPr>
      <w:r w:rsidRPr="00487C0C">
        <w:rPr>
          <w:spacing w:val="-4"/>
        </w:rPr>
        <w:t>(2) Pakattuja tuotteita myyntiin saattavien henkilöiden on huolehdittava siitä, että loppukuluttajalle tiedotetaan myyntipisteissä asianmukaisesti pakkauksen uudelleenkäytettävyydestä tai hyödynnettävyydestä, myös kierrätettävyydestä, sekä palautusjärjestelmästä, muun muassa pakkauksen keräämisestä.</w:t>
      </w:r>
    </w:p>
    <w:p w14:paraId="049AF441" w14:textId="77777777" w:rsidR="000147DB" w:rsidRPr="00487C0C" w:rsidRDefault="000147DB" w:rsidP="000147DB">
      <w:pPr>
        <w:autoSpaceDE w:val="0"/>
        <w:autoSpaceDN w:val="0"/>
        <w:adjustRightInd w:val="0"/>
        <w:spacing w:after="0" w:line="240" w:lineRule="auto"/>
        <w:jc w:val="both"/>
        <w:rPr>
          <w:rFonts w:eastAsia="Calibri" w:cs="TimesNewRoman"/>
          <w:color w:val="FF0000"/>
          <w:spacing w:val="-6"/>
          <w:sz w:val="24"/>
          <w:szCs w:val="24"/>
        </w:rPr>
      </w:pPr>
      <w:r w:rsidRPr="00487C0C">
        <w:rPr>
          <w:color w:val="FF0000"/>
          <w:spacing w:val="-6"/>
          <w:sz w:val="24"/>
          <w:szCs w:val="24"/>
        </w:rPr>
        <w:lastRenderedPageBreak/>
        <w:t>Asianmukainen merkintä tehdään joko itse pakkaukseen tai etikettiin. Sen on oltava selvästi nähtävissä ja helposti luettavissa. Merkinnän on kestettävä tietyn ajan, myös silloin kun pakkaus avataan. </w:t>
      </w:r>
    </w:p>
    <w:p w14:paraId="479912FE" w14:textId="77777777" w:rsidR="000147DB" w:rsidRPr="003E7524" w:rsidRDefault="000147DB" w:rsidP="000147DB">
      <w:pPr>
        <w:spacing w:after="0" w:line="240" w:lineRule="auto"/>
        <w:jc w:val="both"/>
        <w:rPr>
          <w:rFonts w:eastAsia="Times New Roman" w:cs="Arial"/>
          <w:lang w:val="fr-FR" w:eastAsia="fr-FR"/>
        </w:rPr>
      </w:pPr>
    </w:p>
    <w:p w14:paraId="567A68A6" w14:textId="77777777" w:rsidR="000147DB" w:rsidRPr="003E7524" w:rsidRDefault="000147DB" w:rsidP="000147DB">
      <w:pPr>
        <w:spacing w:after="0" w:line="240" w:lineRule="auto"/>
        <w:jc w:val="both"/>
        <w:rPr>
          <w:rFonts w:eastAsia="Times New Roman" w:cs="Arial"/>
        </w:rPr>
      </w:pPr>
      <w:r>
        <w:t>(3) Edellä 1 ja 2 momentissa tarkoitetut tiedotustoimenpiteet toteutetaan tarvittaessa ympäristöviranomaisen kanssa yhteistyössä järjestettävillä tietoisuutta lisäävillä kampanjoilla.</w:t>
      </w:r>
    </w:p>
    <w:p w14:paraId="310D81FF" w14:textId="77777777" w:rsidR="000147DB" w:rsidRPr="003E7524" w:rsidRDefault="000147DB" w:rsidP="000147DB">
      <w:pPr>
        <w:spacing w:after="0" w:line="240" w:lineRule="auto"/>
        <w:jc w:val="both"/>
        <w:rPr>
          <w:rFonts w:eastAsia="Times New Roman" w:cs="Arial"/>
          <w:lang w:val="fr-FR" w:eastAsia="fr-FR"/>
        </w:rPr>
      </w:pPr>
    </w:p>
    <w:p w14:paraId="6E40D75F" w14:textId="77777777" w:rsidR="000147DB" w:rsidRPr="003E7524" w:rsidRDefault="000147DB" w:rsidP="000147DB">
      <w:pPr>
        <w:spacing w:after="0" w:line="240" w:lineRule="auto"/>
        <w:jc w:val="both"/>
        <w:rPr>
          <w:rFonts w:eastAsia="Times New Roman" w:cs="Arial"/>
          <w:lang w:val="fr-FR" w:eastAsia="fr-FR"/>
        </w:rPr>
      </w:pPr>
    </w:p>
    <w:p w14:paraId="48933925" w14:textId="77777777" w:rsidR="000147DB" w:rsidRPr="003E7524" w:rsidRDefault="000147DB" w:rsidP="000147DB">
      <w:pPr>
        <w:spacing w:after="0" w:line="240" w:lineRule="auto"/>
        <w:jc w:val="both"/>
        <w:rPr>
          <w:rFonts w:eastAsia="Times New Roman" w:cs="Arial"/>
          <w:strike/>
          <w:color w:val="FF0000"/>
          <w:lang w:val="fr-FR" w:eastAsia="fr-FR"/>
        </w:rPr>
      </w:pPr>
    </w:p>
    <w:p w14:paraId="53040DFE"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15 §. Selonteot</w:t>
      </w:r>
    </w:p>
    <w:p w14:paraId="5D99A309"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lang w:val="fr-FR" w:eastAsia="fr-BE"/>
        </w:rPr>
      </w:pPr>
    </w:p>
    <w:p w14:paraId="6A108156"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 xml:space="preserve">Kunkin kevyitä muovisia kantokasseja markkinoille saattaneen pakkauksista vastaavan tahon on ilmoitettava kyseisten kassien vuotuinen määrä valtuutetulle elimelle, johon se kuuluu. </w:t>
      </w:r>
    </w:p>
    <w:p w14:paraId="7B36C2F6" w14:textId="203BBF9C"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Valtuutetun elimen on ilmoitettava kyseiset määrät toimivaltaiselle viranomaiselle 21 päivänä maaliskuuta 2012 annetun lain 35 §:n 2 momentissa tarkoitetussa selonteossa. Tätä ei sovelleta 3 §:n 17 kohdassa tarkoitettuihin erittäin kevyisiin muovisiin kantokasseihin. </w:t>
      </w:r>
    </w:p>
    <w:p w14:paraId="7EE24D00" w14:textId="77777777" w:rsidR="000147DB" w:rsidRPr="003E7524" w:rsidRDefault="000147DB" w:rsidP="000147DB">
      <w:pPr>
        <w:spacing w:after="0" w:line="240" w:lineRule="auto"/>
        <w:jc w:val="both"/>
        <w:rPr>
          <w:rFonts w:eastAsia="Times New Roman" w:cs="Arial"/>
          <w:strike/>
          <w:color w:val="FF0000"/>
          <w:lang w:val="fr-FR" w:eastAsia="fr-FR"/>
        </w:rPr>
      </w:pPr>
    </w:p>
    <w:p w14:paraId="4AB10018" w14:textId="77777777" w:rsidR="000147DB" w:rsidRPr="00471E09" w:rsidRDefault="000147DB" w:rsidP="00B972B3">
      <w:pPr>
        <w:keepNext/>
        <w:keepLines/>
        <w:spacing w:after="0" w:line="240" w:lineRule="auto"/>
        <w:jc w:val="both"/>
        <w:rPr>
          <w:rFonts w:eastAsia="Times New Roman" w:cs="Arial"/>
          <w:b/>
        </w:rPr>
      </w:pPr>
      <w:r>
        <w:rPr>
          <w:b/>
        </w:rPr>
        <w:t xml:space="preserve">16 §. Toteutettavat tarkastukset </w:t>
      </w:r>
    </w:p>
    <w:p w14:paraId="035D85BE" w14:textId="77777777" w:rsidR="000147DB" w:rsidRPr="003E7524" w:rsidRDefault="000147DB" w:rsidP="000147DB">
      <w:pPr>
        <w:spacing w:after="0" w:line="240" w:lineRule="auto"/>
        <w:jc w:val="both"/>
        <w:rPr>
          <w:rFonts w:eastAsia="Times New Roman" w:cs="Arial"/>
        </w:rPr>
      </w:pPr>
      <w:r>
        <w:t>(1) Vuotuinen selonteko tarkastetaan 21 päivänä maaliskuuta 2012 annetun lain 35 §:n 2 kohdan säännösten mukaisesti.</w:t>
      </w:r>
    </w:p>
    <w:p w14:paraId="35E08884" w14:textId="77777777" w:rsidR="000147DB" w:rsidRPr="003E7524" w:rsidRDefault="000147DB" w:rsidP="000147DB">
      <w:pPr>
        <w:spacing w:after="0" w:line="240" w:lineRule="auto"/>
        <w:jc w:val="both"/>
        <w:rPr>
          <w:rFonts w:eastAsia="Times New Roman" w:cs="Arial"/>
        </w:rPr>
      </w:pPr>
      <w:r>
        <w:t>Pakkauksista vastaavien tahojen tai valtuutettujen elinten on tarkastusta varten annettava valtuutetun yritystarkastajan käyttöön kaikki kirjanpidolliset ja muut tiedot sekä kaikki laskentatiedot, joita on käytetty kyseisten selontekojen perustana.</w:t>
      </w:r>
    </w:p>
    <w:p w14:paraId="01E1F62A" w14:textId="77777777" w:rsidR="000147DB" w:rsidRPr="003E7524" w:rsidRDefault="000147DB" w:rsidP="000147DB">
      <w:pPr>
        <w:spacing w:after="0" w:line="240" w:lineRule="auto"/>
        <w:jc w:val="both"/>
        <w:rPr>
          <w:rFonts w:eastAsia="Times New Roman" w:cs="Arial"/>
        </w:rPr>
      </w:pPr>
      <w:r>
        <w:t>Valtuutetun yritystarkastajan palkkion maksamisesta huolehtivat pakkauksista vastaavat tahot tai valtuutetut elimet.</w:t>
      </w:r>
    </w:p>
    <w:p w14:paraId="54AD644D" w14:textId="77777777" w:rsidR="000147DB" w:rsidRPr="003E7524" w:rsidRDefault="000147DB" w:rsidP="000147DB">
      <w:pPr>
        <w:spacing w:after="0" w:line="240" w:lineRule="auto"/>
        <w:jc w:val="both"/>
        <w:rPr>
          <w:rFonts w:eastAsia="Times New Roman" w:cs="Arial"/>
        </w:rPr>
      </w:pPr>
      <w:r>
        <w:t>(2) Valtuutetun yritystarkastajan on toimitettava tekemänsä tarkastuksen tulokset viipymättä ympäristöviranomaiselle.</w:t>
      </w:r>
    </w:p>
    <w:p w14:paraId="1AEDBCE9" w14:textId="77777777" w:rsidR="000147DB" w:rsidRPr="003E7524" w:rsidRDefault="000147DB" w:rsidP="000147DB">
      <w:pPr>
        <w:spacing w:after="0" w:line="240" w:lineRule="auto"/>
        <w:jc w:val="both"/>
        <w:rPr>
          <w:rFonts w:eastAsia="Times New Roman" w:cs="Arial"/>
          <w:b/>
          <w:bCs/>
          <w:lang w:val="fr-FR" w:eastAsia="fr-FR"/>
        </w:rPr>
      </w:pPr>
    </w:p>
    <w:p w14:paraId="2D750672" w14:textId="5CE5F3A0"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t>17 §. Rikkomusten tutkinta ja toteaminen</w:t>
      </w:r>
    </w:p>
    <w:p w14:paraId="7D85080C"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73929CE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(1) Tämä lain ja sen toimeenpanemiseksi annettujen määräysten rikkomuksia voivat suurherttuakunnan poliisien poliisin toimivaltaan kuuluvien asioiden osalta todeta lisäksi tulli- ja valmisteveroviranomaisten virkailijat tarkastajan arvosta alkaen ja ympäristöviranomaisen käsittelyryhmien A1, A2 ja B1 virkamiehet ja työntekijät.</w:t>
      </w:r>
    </w:p>
    <w:p w14:paraId="5A9972ED"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Tehtäviään suorittaessaan tulli- ja valmisteveroviranomaisen virkailijoilla ja ympäristöviranomaisen virkailijoilla on rikospoliisin virkamiesten valtuudet. He toteavat rikkomukset pöytäkirjoilla, jotka ovat todistusvoimaisia, kunnes toisin todistetaan.</w:t>
      </w:r>
    </w:p>
    <w:p w14:paraId="4BDACC6F"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(2) Edellä 1 momentissa tarkoitettujen virkailijoiden on pitänyt suorittaa ammatillinen erityiskoulutus rikkomusten tutkinnasta ja toteamisesta. Koulutuksen ohjelma ja kesto sekä osaamisen tarkastusmenettelyt määritetään suurherttuan määräyksessä.</w:t>
      </w:r>
    </w:p>
    <w:p w14:paraId="23E18C1A"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rPr>
        <w:t>Ennen tehtävän aloittamista he antavat Luxemburgin alueen siviiliasioita käsittelevässä tuomioistuimessa seuraavan vakuutuksen:</w:t>
      </w:r>
    </w:p>
    <w:p w14:paraId="1EC889C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”Vakuutan täyttäväni tehtäväni rehellisesti, täsmällisesti ja puolueettomasti.”</w:t>
      </w:r>
    </w:p>
    <w:p w14:paraId="0E596F7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Rikoslain 458 §:ää sovelletaan. </w:t>
      </w:r>
    </w:p>
    <w:p w14:paraId="181593C7" w14:textId="77777777" w:rsidR="000147DB" w:rsidRPr="003E7524" w:rsidRDefault="000147DB" w:rsidP="000147DB">
      <w:pPr>
        <w:spacing w:after="0" w:line="240" w:lineRule="auto"/>
        <w:jc w:val="both"/>
        <w:rPr>
          <w:rFonts w:eastAsia="Times New Roman" w:cs="Arial"/>
          <w:strike/>
          <w:color w:val="FF0000"/>
          <w:lang w:val="fr-FR" w:eastAsia="fr-FR"/>
        </w:rPr>
      </w:pPr>
    </w:p>
    <w:p w14:paraId="0ED2FC95" w14:textId="77777777" w:rsidR="000147DB" w:rsidRPr="003E7524" w:rsidRDefault="000147DB" w:rsidP="000147DB">
      <w:pPr>
        <w:spacing w:after="0" w:line="240" w:lineRule="auto"/>
        <w:jc w:val="both"/>
        <w:rPr>
          <w:rFonts w:eastAsia="Times New Roman" w:cs="Arial"/>
          <w:strike/>
          <w:color w:val="FF0000"/>
          <w:lang w:val="fr-FR" w:eastAsia="fr-FR"/>
        </w:rPr>
      </w:pPr>
    </w:p>
    <w:p w14:paraId="4F3097F3" w14:textId="77777777" w:rsidR="000147DB" w:rsidRPr="003E7524" w:rsidRDefault="000147DB" w:rsidP="00B972B3">
      <w:pPr>
        <w:keepNext/>
        <w:keepLines/>
        <w:rPr>
          <w:rFonts w:ascii="Calibri" w:eastAsia="Calibri" w:hAnsi="Calibri" w:cs="Times New Roman"/>
          <w:color w:val="FF0000"/>
          <w:sz w:val="24"/>
          <w:szCs w:val="24"/>
        </w:rPr>
      </w:pPr>
      <w:r>
        <w:rPr>
          <w:rFonts w:ascii="Calibri" w:hAnsi="Calibri"/>
          <w:color w:val="FF0000"/>
          <w:sz w:val="24"/>
          <w:szCs w:val="24"/>
          <w:u w:val="single"/>
        </w:rPr>
        <w:lastRenderedPageBreak/>
        <w:t>18 §. Tarkastukseen liittyvät valtuudet ja oikeudet</w:t>
      </w:r>
    </w:p>
    <w:p w14:paraId="16422B7B"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 xml:space="preserve">(1) Edellä 17 §:ssä tarkoitetuilla henkilöillä on ympärivuorokautinen pääsy, joka ei edellytä ennakkoilmoitusta, laitoksiin, paikkoihin, alueisiin, rakenteisiin ja kuljetusvälineisiin, joihin sovelletaan tätä lakia ja sen soveltamiseksi annettuja määräyksiä. </w:t>
      </w:r>
    </w:p>
    <w:p w14:paraId="038ADE3C" w14:textId="4CBD0E56"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(2) Edellä olevan 1 momentin säännöksiä ei sovelleta asumiskäytössä oleviin paikkoihin.</w:t>
      </w:r>
    </w:p>
    <w:p w14:paraId="017C6164"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Sanotun rajoittamatta rikosprosessilain 33 §:n 1 momenttia, jos on vakavaa näyttöä, jonka perusteella voidaan olettaa, että rikkomuksen alkuperä on asumiskäyttöön tarkoitetuissa paikoissa, rikospoliisi, suurherttuakunnan poliisi tai 45 §:ssä tarkoitettu tutkintatuomarin toimeksiannosta toimiva henkilö voi kuitenkin tehdä kotikäynnin kello 6.30−24.00.</w:t>
      </w:r>
    </w:p>
    <w:p w14:paraId="1BB0F8A5" w14:textId="77777777" w:rsidR="000147DB" w:rsidRPr="003E7524" w:rsidRDefault="000147DB" w:rsidP="00B972B3">
      <w:pPr>
        <w:keepNext/>
        <w:keepLines/>
        <w:jc w:val="both"/>
        <w:rPr>
          <w:rFonts w:ascii="Calibri" w:eastAsia="Calibri" w:hAnsi="Calibri" w:cs="Times New Roman"/>
          <w:color w:val="FF0000"/>
          <w:sz w:val="24"/>
          <w:szCs w:val="24"/>
        </w:rPr>
      </w:pPr>
      <w:r>
        <w:rPr>
          <w:rFonts w:ascii="Calibri" w:hAnsi="Calibri"/>
          <w:color w:val="FF0000"/>
          <w:sz w:val="24"/>
          <w:szCs w:val="24"/>
        </w:rPr>
        <w:t>(3) Harjoittaessaan 1 ja 2 momentissa tarkoitettuja tehtäviään kyseessä olevat virkailijat voivat</w:t>
      </w:r>
    </w:p>
    <w:p w14:paraId="6F3F9813"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1° ottaa vastaan tiedotuksia kaikkia tässä laissa tarkoitettuja pakkauksia ja pakkausjätteitä koskevista tiedoista ja asiakirjoista;</w:t>
      </w:r>
    </w:p>
    <w:p w14:paraId="75B9F6D7" w14:textId="5E96EE24" w:rsidR="000147DB" w:rsidRPr="00487C0C" w:rsidRDefault="000147DB" w:rsidP="000147DB">
      <w:pPr>
        <w:jc w:val="both"/>
        <w:rPr>
          <w:rFonts w:ascii="Calibri" w:eastAsia="Calibri" w:hAnsi="Calibri" w:cs="Times New Roman"/>
          <w:color w:val="FF0000"/>
          <w:spacing w:val="-4"/>
          <w:sz w:val="24"/>
          <w:szCs w:val="24"/>
        </w:rPr>
      </w:pPr>
      <w:r w:rsidRPr="00487C0C">
        <w:rPr>
          <w:rFonts w:ascii="Calibri" w:hAnsi="Calibri"/>
          <w:color w:val="FF0000"/>
          <w:spacing w:val="-4"/>
          <w:sz w:val="24"/>
          <w:szCs w:val="24"/>
        </w:rPr>
        <w:t>2° ottaa tai otattaa tutkimusta tai analyysia varten näytteitä tässä laissa tarkoitetuista pakkauksista ja pakkausjätteistä. Näytteestä toimitetaan yksi osa suljettuna tai sinetöitynä laitoksen, paikan tai kuljetusvälineen toiminnanharjoittajalle tai haltijalle tämän kustannuksella, paitsi jos kyseinen henkilö kieltäytyy siitä yksiselitteisesti tai jos se ei ole perusteltua teknisistä syistä;</w:t>
      </w:r>
    </w:p>
    <w:p w14:paraId="7A3F87EB" w14:textId="3B7EC98F"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3° takavarikoida ja tarvittaessa sinetöidä tässä laissa tarkoitetut pakkaukset ja pakkausjätteet sekä niitä koskevat tiedot ja asiakirjat.</w:t>
      </w:r>
    </w:p>
    <w:p w14:paraId="724E3F46"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(4) Kaikkien 3 momentissa tarkoitettujen toimenpiteiden kohteena olevien henkilöiden sekä heidät korvaavien henkilöiden on kyseisistä toimenpiteistä vastaavien virkamiesten pyynnöstä helpotettava näiden tekemiä toimia.</w:t>
      </w:r>
    </w:p>
    <w:p w14:paraId="3EDE58D7"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Edeltävässä alamomentissa tarkoitetut henkilöt voivat osallistua toimiin.</w:t>
      </w:r>
    </w:p>
    <w:p w14:paraId="7303060C"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(5) Toteamuksista ja toimista laaditaan pöytäkirja.</w:t>
      </w:r>
    </w:p>
    <w:p w14:paraId="560BE14F"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(6) Tämän pykälän nojalla toteutetuista toimenpiteistä johtuvat kustannukset sisällytetään niitä seuraaviin oikeudellisiin kuluihin. </w:t>
      </w:r>
    </w:p>
    <w:p w14:paraId="20CF83B8" w14:textId="77777777" w:rsidR="000147DB" w:rsidRPr="003E7524" w:rsidRDefault="000147DB" w:rsidP="000147DB">
      <w:pPr>
        <w:spacing w:after="0" w:line="240" w:lineRule="auto"/>
        <w:jc w:val="both"/>
        <w:rPr>
          <w:rFonts w:eastAsia="Times New Roman" w:cs="Arial"/>
          <w:strike/>
          <w:color w:val="FF0000"/>
          <w:lang w:val="fr-FR" w:eastAsia="fr-FR"/>
        </w:rPr>
      </w:pPr>
    </w:p>
    <w:p w14:paraId="53FCF286" w14:textId="77777777" w:rsidR="000147DB" w:rsidRPr="003E7524" w:rsidRDefault="000147DB" w:rsidP="000147DB">
      <w:pPr>
        <w:spacing w:after="0" w:line="240" w:lineRule="auto"/>
        <w:jc w:val="center"/>
        <w:rPr>
          <w:rFonts w:eastAsia="Calibri" w:cs="Arial"/>
          <w:lang w:val="fr-FR"/>
        </w:rPr>
      </w:pPr>
    </w:p>
    <w:p w14:paraId="29F0DFDD"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t>19 §. Rangaistukset</w:t>
      </w:r>
    </w:p>
    <w:p w14:paraId="18C8EB51"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6EF8479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Edellä 6 §:n 1 momentin, 7 §:n 1 momentin 1 alamomentin ja 3 momentin, 8 §:n 1 momentin 2 alamomentin, 8 §:n 2 momentin, 8 §:n 4 momentin, 9 §:n ja 11 §:n 1 momentin rikkomuksista rangaistaan kahdeksasta päivästä kolmeen vuoteen kestävällä vankeusrangaistuksella ja 251−750 000 euron sakolla tai jommallakummalla niistä.</w:t>
      </w:r>
    </w:p>
    <w:p w14:paraId="45DF121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14:paraId="19C50898"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lastRenderedPageBreak/>
        <w:t>Samoja rangaistuksia sovelletaan 21 §:n nojalla määrättyjen hallinnollisten toimenpiteiden estämiseen tai noudattamatta jättämiseen.</w:t>
      </w:r>
    </w:p>
    <w:p w14:paraId="36E770B5" w14:textId="77777777" w:rsidR="000147DB" w:rsidRPr="003E7524" w:rsidRDefault="000147DB" w:rsidP="000147DB">
      <w:pPr>
        <w:spacing w:after="0" w:line="240" w:lineRule="auto"/>
        <w:rPr>
          <w:rFonts w:eastAsia="Calibri" w:cs="Arial"/>
          <w:lang w:val="fr-LU"/>
        </w:rPr>
      </w:pPr>
    </w:p>
    <w:p w14:paraId="67DBA026" w14:textId="77777777" w:rsidR="000147DB" w:rsidRPr="003E7524" w:rsidRDefault="000147DB" w:rsidP="000147DB">
      <w:pPr>
        <w:spacing w:after="0" w:line="240" w:lineRule="auto"/>
        <w:jc w:val="both"/>
        <w:rPr>
          <w:rFonts w:eastAsia="Calibri" w:cs="Arial"/>
          <w:color w:val="FF0000"/>
          <w:lang w:val="fr-FR"/>
        </w:rPr>
      </w:pPr>
    </w:p>
    <w:p w14:paraId="6F9BCE2F" w14:textId="77777777" w:rsidR="000147DB" w:rsidRPr="003E7524" w:rsidRDefault="000147DB" w:rsidP="000147DB">
      <w:pPr>
        <w:spacing w:after="0" w:line="240" w:lineRule="auto"/>
        <w:jc w:val="both"/>
        <w:rPr>
          <w:rFonts w:eastAsia="Times New Roman" w:cs="Arial"/>
          <w:b/>
          <w:u w:val="single"/>
          <w:lang w:val="fr-FR" w:eastAsia="fr-FR"/>
        </w:rPr>
      </w:pPr>
    </w:p>
    <w:p w14:paraId="4741CEFE"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20 §. Hallinnolliset sakot</w:t>
      </w:r>
    </w:p>
    <w:p w14:paraId="42AED21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47BECB2B"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Ympäristöministeri voi määrätä 50−10 000 euron hallinnollisen sakon 5 §:n 1 ja 2 momentin, 7 §:n 2 momentin a alamomentin 3 alamomentin, 8 §:n 3 momentin, 3 alamomentin, 12 §:n 2 momentin, 14 §:n 1 ja 2 momentin ja 15 §:n tai 16 §:n 2 momentin rikkomisesta.</w:t>
      </w:r>
    </w:p>
    <w:p w14:paraId="7D851266"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751FD4D4" w14:textId="1B51823B"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Sakot on maksettava kahden kuukauden kuluessa tätä päätöstä koskevasta kirjallisesta tiedonannosta.</w:t>
      </w:r>
    </w:p>
    <w:p w14:paraId="6134B9EE"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ECDD579"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Hallinnolliset sakot maksetaan rekisteröinti-, verkkoalue- ja alv-viranomaiselle. Ne peritään rekisteröintioikeuksien alalla.</w:t>
      </w:r>
    </w:p>
    <w:p w14:paraId="79836004" w14:textId="77777777" w:rsidR="000147DB" w:rsidRPr="003E7524" w:rsidRDefault="000147DB" w:rsidP="000147DB">
      <w:pPr>
        <w:spacing w:after="0" w:line="240" w:lineRule="auto"/>
        <w:jc w:val="both"/>
        <w:rPr>
          <w:rFonts w:eastAsia="Times New Roman" w:cs="Arial"/>
          <w:b/>
          <w:color w:val="FF0000"/>
          <w:u w:val="single"/>
          <w:lang w:val="fr-LU" w:eastAsia="fr-FR"/>
        </w:rPr>
      </w:pPr>
    </w:p>
    <w:p w14:paraId="40076A38" w14:textId="77777777" w:rsidR="000147DB" w:rsidRPr="003E7524" w:rsidRDefault="000147DB" w:rsidP="000147DB">
      <w:pPr>
        <w:spacing w:after="0" w:line="240" w:lineRule="auto"/>
        <w:jc w:val="both"/>
        <w:rPr>
          <w:rFonts w:eastAsia="Times New Roman" w:cs="Arial"/>
          <w:b/>
          <w:u w:val="single"/>
          <w:lang w:val="fr-FR" w:eastAsia="fr-FR"/>
        </w:rPr>
      </w:pPr>
    </w:p>
    <w:p w14:paraId="7782CE6B" w14:textId="77777777" w:rsidR="000147DB" w:rsidRPr="003E7524" w:rsidRDefault="000147DB" w:rsidP="000147DB">
      <w:pPr>
        <w:spacing w:after="0" w:line="240" w:lineRule="auto"/>
        <w:jc w:val="both"/>
        <w:rPr>
          <w:rFonts w:eastAsia="Times New Roman" w:cs="Arial"/>
          <w:b/>
          <w:u w:val="single"/>
          <w:lang w:val="fr-FR" w:eastAsia="fr-FR"/>
        </w:rPr>
      </w:pPr>
    </w:p>
    <w:p w14:paraId="7035C42C" w14:textId="77777777" w:rsidR="000147DB" w:rsidRPr="003E7524" w:rsidRDefault="000147DB" w:rsidP="000147DB">
      <w:pPr>
        <w:spacing w:after="0" w:line="240" w:lineRule="auto"/>
        <w:jc w:val="both"/>
        <w:rPr>
          <w:rFonts w:eastAsia="Times New Roman" w:cs="Arial"/>
          <w:b/>
          <w:u w:val="single"/>
          <w:lang w:val="fr-FR" w:eastAsia="fr-FR"/>
        </w:rPr>
      </w:pPr>
    </w:p>
    <w:p w14:paraId="59B3BC00" w14:textId="77777777" w:rsidR="000147DB" w:rsidRPr="003E7524" w:rsidRDefault="000147DB" w:rsidP="00B972B3">
      <w:pPr>
        <w:keepNext/>
        <w:keepLines/>
        <w:spacing w:after="0" w:line="240" w:lineRule="auto"/>
        <w:jc w:val="both"/>
        <w:rPr>
          <w:rFonts w:eastAsia="Times New Roman" w:cs="Arial"/>
          <w:b/>
          <w:bCs/>
          <w:iCs/>
        </w:rPr>
      </w:pPr>
      <w:r>
        <w:rPr>
          <w:b/>
          <w:bCs/>
        </w:rPr>
        <w:t xml:space="preserve">21 §. </w:t>
      </w:r>
      <w:r>
        <w:rPr>
          <w:b/>
          <w:bCs/>
          <w:iCs/>
        </w:rPr>
        <w:t>Hallinnolliset toimenpiteet</w:t>
      </w:r>
    </w:p>
    <w:p w14:paraId="5F403B1E" w14:textId="77777777" w:rsidR="000147DB" w:rsidRPr="003E7524" w:rsidRDefault="000147DB" w:rsidP="00B972B3">
      <w:pPr>
        <w:keepNext/>
        <w:keepLines/>
        <w:spacing w:after="0" w:line="240" w:lineRule="auto"/>
        <w:jc w:val="both"/>
        <w:rPr>
          <w:rFonts w:eastAsia="Times New Roman" w:cs="Arial"/>
          <w:b/>
          <w:bCs/>
          <w:iCs/>
          <w:lang w:val="fr-FR" w:eastAsia="fr-FR"/>
        </w:rPr>
      </w:pPr>
    </w:p>
    <w:p w14:paraId="3E28D60D" w14:textId="20FDE3DB" w:rsidR="000147DB" w:rsidRPr="00487C0C" w:rsidRDefault="000147DB" w:rsidP="00B972B3">
      <w:pPr>
        <w:keepNext/>
        <w:keepLines/>
        <w:spacing w:after="0" w:line="240" w:lineRule="auto"/>
        <w:jc w:val="both"/>
        <w:rPr>
          <w:rFonts w:eastAsia="Times New Roman" w:cs="Arial"/>
          <w:spacing w:val="-4"/>
        </w:rPr>
      </w:pPr>
      <w:r w:rsidRPr="00487C0C">
        <w:rPr>
          <w:spacing w:val="-4"/>
        </w:rPr>
        <w:t xml:space="preserve">(1) Jos tämän lain 19 §:n </w:t>
      </w:r>
      <w:r w:rsidRPr="00487C0C">
        <w:rPr>
          <w:strike/>
          <w:color w:val="FF0000"/>
          <w:spacing w:val="-4"/>
        </w:rPr>
        <w:t>1 momentin</w:t>
      </w:r>
      <w:r w:rsidRPr="00487C0C">
        <w:rPr>
          <w:spacing w:val="-4"/>
        </w:rPr>
        <w:t xml:space="preserve"> mukaan rangaistavia säännöksiä ei noudateta, ympäristöministeri voi</w:t>
      </w:r>
    </w:p>
    <w:p w14:paraId="3FA876A2" w14:textId="77777777" w:rsidR="000147DB" w:rsidRPr="00B972B3" w:rsidRDefault="000147DB" w:rsidP="000147DB">
      <w:pPr>
        <w:spacing w:after="0" w:line="240" w:lineRule="auto"/>
        <w:jc w:val="both"/>
        <w:rPr>
          <w:rFonts w:eastAsia="Times New Roman" w:cs="Arial"/>
          <w:spacing w:val="-4"/>
        </w:rPr>
      </w:pPr>
      <w:r>
        <w:t>asettaa pakkauksista vastaavalle taholle, valtuutetulle elimelle tai muulle kyseessä olevalle henkilölle määräajan, jossa niiden on noudatettava säännöksiä ja joka voi olla enintään kaksi vuotta;</w:t>
      </w:r>
    </w:p>
    <w:p w14:paraId="3CDBEA63" w14:textId="11412CF2" w:rsidR="000147DB" w:rsidRPr="003E7524" w:rsidRDefault="000147DB" w:rsidP="000147DB">
      <w:pPr>
        <w:autoSpaceDE w:val="0"/>
        <w:autoSpaceDN w:val="0"/>
        <w:adjustRightInd w:val="0"/>
        <w:spacing w:after="0" w:line="276" w:lineRule="auto"/>
        <w:jc w:val="both"/>
        <w:rPr>
          <w:rFonts w:cs="TimesNewRoman"/>
          <w:color w:val="FF0000"/>
          <w:sz w:val="24"/>
          <w:szCs w:val="24"/>
        </w:rPr>
      </w:pPr>
      <w:r>
        <w:rPr>
          <w:color w:val="FF0000"/>
          <w:sz w:val="24"/>
          <w:szCs w:val="24"/>
        </w:rPr>
        <w:t>2) keskeyttää kokonaan tai osittain pakkauksista vastaava tahon tai valtuutetun elimen toiminnan tai laitoksen käytön tai sulkea laitoksen kokonaan tai osittain sekä sinetöidä tässä laissa tarkoitetut pakkaukset ja pakkausjätteet tai kieltää niiden markkinoille saattamisen tai määrätä niiden poisvedon markkinoilta. </w:t>
      </w:r>
    </w:p>
    <w:p w14:paraId="5BBBA105" w14:textId="77777777" w:rsidR="000147DB" w:rsidRPr="003E7524" w:rsidRDefault="000147DB" w:rsidP="000147DB">
      <w:pPr>
        <w:spacing w:after="0" w:line="240" w:lineRule="auto"/>
        <w:jc w:val="both"/>
        <w:rPr>
          <w:rFonts w:eastAsia="Times New Roman" w:cs="Arial"/>
          <w:lang w:val="fr-LU" w:eastAsia="fr-FR"/>
        </w:rPr>
      </w:pPr>
    </w:p>
    <w:p w14:paraId="481D1A7A" w14:textId="77777777" w:rsidR="000147DB" w:rsidRPr="003E7524" w:rsidRDefault="000147DB" w:rsidP="000147DB">
      <w:pPr>
        <w:spacing w:after="0" w:line="240" w:lineRule="auto"/>
        <w:jc w:val="both"/>
        <w:rPr>
          <w:rFonts w:eastAsia="Times New Roman" w:cs="Arial"/>
          <w:lang w:val="fr-FR" w:eastAsia="fr-FR"/>
        </w:rPr>
      </w:pPr>
    </w:p>
    <w:p w14:paraId="1F8D961C" w14:textId="77777777" w:rsidR="000147DB" w:rsidRPr="003E7524" w:rsidRDefault="000147DB" w:rsidP="000147DB">
      <w:pPr>
        <w:spacing w:after="0" w:line="240" w:lineRule="auto"/>
        <w:jc w:val="both"/>
        <w:rPr>
          <w:rFonts w:eastAsia="Times New Roman" w:cs="Arial"/>
        </w:rPr>
      </w:pPr>
      <w:r>
        <w:t>(2) Kaikki asianosaiset voivat pyytää 1 momentissa tarkoitettujen toimenpiteiden soveltamista.</w:t>
      </w:r>
    </w:p>
    <w:p w14:paraId="15C47735" w14:textId="77777777" w:rsidR="000147DB" w:rsidRPr="003E7524" w:rsidRDefault="000147DB" w:rsidP="000147DB">
      <w:pPr>
        <w:spacing w:after="0" w:line="240" w:lineRule="auto"/>
        <w:jc w:val="both"/>
        <w:rPr>
          <w:rFonts w:eastAsia="Times New Roman" w:cs="Arial"/>
        </w:rPr>
      </w:pPr>
      <w:r>
        <w:t>(3) Edellä 1 momentissa luetellut toimenpiteet poistetaan, kun pakkauksista vastaava taho, valtuutettu elin tai muu kyseessä oleva henkilö noudattaa vaatimuksia.</w:t>
      </w:r>
    </w:p>
    <w:p w14:paraId="2D1DE739" w14:textId="77777777" w:rsidR="000147DB" w:rsidRPr="003E7524" w:rsidRDefault="000147DB" w:rsidP="000147DB">
      <w:pPr>
        <w:spacing w:after="0" w:line="240" w:lineRule="auto"/>
        <w:jc w:val="both"/>
        <w:rPr>
          <w:rFonts w:eastAsia="Times New Roman" w:cs="Arial"/>
          <w:b/>
          <w:bCs/>
          <w:lang w:val="fr-FR" w:eastAsia="fr-FR"/>
        </w:rPr>
      </w:pPr>
    </w:p>
    <w:p w14:paraId="6F3C4DAC" w14:textId="77777777" w:rsidR="000147DB" w:rsidRPr="003E7524" w:rsidRDefault="000147DB" w:rsidP="00B972B3">
      <w:pPr>
        <w:keepNext/>
        <w:keepLines/>
        <w:spacing w:after="0" w:line="240" w:lineRule="auto"/>
        <w:jc w:val="both"/>
        <w:rPr>
          <w:rFonts w:eastAsia="Times New Roman" w:cs="Arial"/>
        </w:rPr>
      </w:pPr>
      <w:r>
        <w:rPr>
          <w:b/>
          <w:bCs/>
        </w:rPr>
        <w:t xml:space="preserve">22 §. </w:t>
      </w:r>
      <w:r>
        <w:rPr>
          <w:b/>
          <w:bCs/>
          <w:iCs/>
        </w:rPr>
        <w:t>Muutoksenhakumenettely</w:t>
      </w:r>
    </w:p>
    <w:p w14:paraId="777CA2C3" w14:textId="77777777" w:rsidR="000147DB" w:rsidRPr="003E7524" w:rsidRDefault="000147DB" w:rsidP="000147DB">
      <w:pPr>
        <w:spacing w:after="0" w:line="240" w:lineRule="auto"/>
        <w:jc w:val="both"/>
        <w:rPr>
          <w:rFonts w:eastAsia="Times New Roman" w:cs="Arial"/>
        </w:rPr>
      </w:pPr>
      <w:r>
        <w:t>Tämän lain nojalla tehtyihin päätöksiin voi hakea muutosta hallintotuomioistuimelta. Tämä muutoksenhaku on aloitettava 40 päivän kuluessa päätöksen tiedoksi antamisesta, tai oikeus menetetään. Muutosta voivat hakea myös 23 §:ssä tarkoitetut yhdistykset ja järjestöt.</w:t>
      </w:r>
    </w:p>
    <w:p w14:paraId="037D069C" w14:textId="77777777" w:rsidR="000147DB" w:rsidRPr="003E7524" w:rsidRDefault="000147DB" w:rsidP="000147DB">
      <w:pPr>
        <w:spacing w:after="0" w:line="240" w:lineRule="auto"/>
        <w:jc w:val="both"/>
        <w:rPr>
          <w:rFonts w:eastAsia="Times New Roman" w:cs="Arial"/>
          <w:lang w:val="fr-FR" w:eastAsia="fr-FR"/>
        </w:rPr>
      </w:pPr>
    </w:p>
    <w:p w14:paraId="6E733435" w14:textId="77777777" w:rsidR="000147DB" w:rsidRPr="003E7524" w:rsidRDefault="000147DB" w:rsidP="00B972B3">
      <w:pPr>
        <w:keepNext/>
        <w:keepLines/>
        <w:spacing w:after="0" w:line="240" w:lineRule="auto"/>
        <w:jc w:val="both"/>
        <w:rPr>
          <w:rFonts w:eastAsia="Times New Roman" w:cs="Arial"/>
          <w:color w:val="000000"/>
        </w:rPr>
      </w:pPr>
      <w:r>
        <w:rPr>
          <w:b/>
          <w:bCs/>
          <w:color w:val="000000"/>
        </w:rPr>
        <w:t xml:space="preserve">23 §. </w:t>
      </w:r>
      <w:r>
        <w:rPr>
          <w:b/>
          <w:bCs/>
          <w:iCs/>
          <w:color w:val="000000"/>
        </w:rPr>
        <w:t>Valtuutettujen ympäristöjärjestöjen oikeus nostaa kanne</w:t>
      </w:r>
    </w:p>
    <w:p w14:paraId="54A6D588" w14:textId="7234A958" w:rsidR="000147DB" w:rsidRPr="00487C0C" w:rsidRDefault="000147DB" w:rsidP="000147DB">
      <w:pPr>
        <w:spacing w:after="0" w:line="240" w:lineRule="auto"/>
        <w:jc w:val="both"/>
        <w:rPr>
          <w:rFonts w:eastAsia="Times New Roman" w:cs="Arial"/>
          <w:color w:val="000000"/>
          <w:spacing w:val="-4"/>
        </w:rPr>
      </w:pPr>
      <w:r w:rsidRPr="00487C0C">
        <w:rPr>
          <w:color w:val="000000"/>
          <w:spacing w:val="-4"/>
        </w:rPr>
        <w:t xml:space="preserve">Maaliskuun 21 päivänä 2012 annetun lain mukaisesti valtuutetut yhdistykset ja järjestöt voivat harjoittaa asianomistajan oikeuksia asioissa, jotka koskevat tässä laissa tarkoitettua rikkomusta ja suoraa tai epäsuoraa haittaa yleisille eduille, joita niiden on tarkoitus puolustaa, vaikka niitä ei perustella aineellisella edulla ja vaikka yleinen etu, jonka yhteydessä ne toimivat, kuuluu kokonaan yhteiskunnalliseen etuun, jonka puolustamisesta </w:t>
      </w:r>
      <w:r w:rsidRPr="00487C0C">
        <w:rPr>
          <w:color w:val="000000"/>
          <w:spacing w:val="-4"/>
        </w:rPr>
        <w:lastRenderedPageBreak/>
        <w:t>syyttäjälaitos vastaa. Sama oikeus on myös toisen valtion lain mukaisilla yhdistyksillä ja järjestöillä, jotka ovat oikeushenkilöitä ja jotka harjoittavat lakisääteisiä toimiaan ympäristönsuojelun alalla.</w:t>
      </w:r>
    </w:p>
    <w:p w14:paraId="1F5A9B0C" w14:textId="77777777" w:rsidR="000147DB" w:rsidRPr="003E7524" w:rsidRDefault="000147DB" w:rsidP="000147DB">
      <w:pPr>
        <w:spacing w:after="0" w:line="240" w:lineRule="auto"/>
        <w:jc w:val="both"/>
        <w:rPr>
          <w:rFonts w:eastAsia="Times New Roman" w:cs="Arial"/>
          <w:lang w:val="fr-FR" w:eastAsia="fr-FR"/>
        </w:rPr>
      </w:pPr>
    </w:p>
    <w:p w14:paraId="71FAF0A0" w14:textId="77777777" w:rsidR="000147DB" w:rsidRPr="003E7524" w:rsidRDefault="000147DB" w:rsidP="000147DB">
      <w:pPr>
        <w:spacing w:after="0" w:line="240" w:lineRule="auto"/>
        <w:jc w:val="both"/>
        <w:rPr>
          <w:rFonts w:eastAsia="Times New Roman" w:cs="Arial"/>
          <w:lang w:val="fr-FR" w:eastAsia="fr-FR"/>
        </w:rPr>
      </w:pPr>
    </w:p>
    <w:p w14:paraId="42EE1F17" w14:textId="77777777" w:rsidR="000147DB" w:rsidRPr="003E7524" w:rsidRDefault="00747C65" w:rsidP="00B972B3">
      <w:pPr>
        <w:keepNext/>
        <w:keepLines/>
        <w:autoSpaceDE w:val="0"/>
        <w:autoSpaceDN w:val="0"/>
        <w:adjustRightInd w:val="0"/>
        <w:spacing w:after="0" w:line="240" w:lineRule="auto"/>
        <w:jc w:val="both"/>
        <w:rPr>
          <w:rFonts w:cs="TimesNewRoman"/>
          <w:color w:val="FF0000"/>
          <w:sz w:val="24"/>
          <w:szCs w:val="24"/>
          <w:u w:val="single"/>
        </w:rPr>
      </w:pPr>
      <w:r>
        <w:rPr>
          <w:color w:val="FF0000"/>
          <w:sz w:val="24"/>
          <w:szCs w:val="24"/>
          <w:u w:val="single"/>
        </w:rPr>
        <w:t>24 §. Liitteet </w:t>
      </w:r>
    </w:p>
    <w:p w14:paraId="442B7DA9" w14:textId="77777777" w:rsidR="000147DB" w:rsidRPr="003E7524" w:rsidRDefault="000147DB" w:rsidP="00B972B3">
      <w:pPr>
        <w:keepNext/>
        <w:keepLines/>
        <w:autoSpaceDE w:val="0"/>
        <w:autoSpaceDN w:val="0"/>
        <w:adjustRightInd w:val="0"/>
        <w:spacing w:after="0" w:line="240" w:lineRule="auto"/>
        <w:jc w:val="both"/>
        <w:rPr>
          <w:rFonts w:cs="TimesNewRoman"/>
          <w:color w:val="FF0000"/>
          <w:sz w:val="24"/>
          <w:szCs w:val="24"/>
          <w:u w:val="single"/>
          <w:lang w:val="fr-LU" w:eastAsia="fr-BE"/>
        </w:rPr>
      </w:pPr>
    </w:p>
    <w:p w14:paraId="5380A119" w14:textId="5396EE1C" w:rsidR="000147DB" w:rsidRPr="003E7524" w:rsidRDefault="000147DB" w:rsidP="000147DB">
      <w:pPr>
        <w:autoSpaceDE w:val="0"/>
        <w:autoSpaceDN w:val="0"/>
        <w:adjustRightInd w:val="0"/>
        <w:spacing w:after="0" w:line="240" w:lineRule="auto"/>
        <w:jc w:val="both"/>
        <w:rPr>
          <w:rFonts w:cs="TimesNewRoman"/>
          <w:b/>
          <w:color w:val="FF0000"/>
          <w:sz w:val="24"/>
          <w:szCs w:val="24"/>
        </w:rPr>
      </w:pPr>
      <w:r>
        <w:rPr>
          <w:b/>
          <w:color w:val="FF0000"/>
          <w:sz w:val="24"/>
          <w:szCs w:val="24"/>
        </w:rPr>
        <w:t>24 §. Pakkauksista ja pakkausjätteistä 20 päivänä joulukuuta 1994 annetun direktiivin 94/62/EY, sellaisena kuin se on muutettuna kyseisen direktiivin 19 artiklan 2 kohdan ja 21 a artiklan nojalla annetuilla Euroopan komission delegoiduilla säädöksillä, liitteen I muutokset</w:t>
      </w:r>
    </w:p>
    <w:p w14:paraId="08B11AB8"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lang w:val="fr-LU" w:eastAsia="fr-BE"/>
        </w:rPr>
      </w:pPr>
    </w:p>
    <w:p w14:paraId="0D5AC822"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Pakkauksista ja pakkausjätteistä 20 päivänä joulukuuta 1994 annetun direktiivin 94/62/EY, sellaisena kuin se on muutettuna kyseisen direktiivin 19 artiklan 2 kohdan ja 21 a artiklan nojalla annetuilla Euroopan komission delegoiduilla säädöksillä, liitteen I muutoksia sovelletaan Euroopan komission siihen liittyvien säädösten voimaantulopäivästä alkaen.</w:t>
      </w:r>
    </w:p>
    <w:p w14:paraId="6EBC782C"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 xml:space="preserve">Ympäristöministeri julkaisee Luxemburgin suurherttuakunnan virallisessa lehdessä ilmoituksen, jossa annetaan tietoa muutoksista sekä toimenpiteistä, ja lisää viittauksen Euroopan unionin virallisessa lehdessä julkaistavaan säädökseen. </w:t>
      </w:r>
    </w:p>
    <w:p w14:paraId="4F5B1630" w14:textId="77777777" w:rsidR="000147DB" w:rsidRPr="003E7524" w:rsidRDefault="000147DB" w:rsidP="000147DB">
      <w:pPr>
        <w:autoSpaceDE w:val="0"/>
        <w:autoSpaceDN w:val="0"/>
        <w:adjustRightInd w:val="0"/>
        <w:spacing w:after="0" w:line="240" w:lineRule="auto"/>
        <w:jc w:val="both"/>
        <w:rPr>
          <w:rFonts w:cs="TimesNewRoman"/>
          <w:sz w:val="24"/>
          <w:szCs w:val="24"/>
          <w:lang w:val="fr-LU" w:eastAsia="fr-BE"/>
        </w:rPr>
      </w:pPr>
    </w:p>
    <w:p w14:paraId="746EFFFC" w14:textId="77777777" w:rsidR="000147DB" w:rsidRPr="003E7524" w:rsidRDefault="000147DB" w:rsidP="000147DB">
      <w:pPr>
        <w:spacing w:after="0" w:line="240" w:lineRule="auto"/>
        <w:jc w:val="both"/>
        <w:rPr>
          <w:rFonts w:ascii="Times New Roman" w:eastAsia="Times New Roman" w:hAnsi="Times New Roman" w:cs="Times New Roman"/>
          <w:sz w:val="24"/>
          <w:szCs w:val="24"/>
          <w:lang w:val="fr-FR" w:eastAsia="fr-FR"/>
        </w:rPr>
      </w:pPr>
    </w:p>
    <w:p w14:paraId="615F4A80" w14:textId="6951941F" w:rsidR="000147DB" w:rsidRPr="003E7524" w:rsidRDefault="000147DB" w:rsidP="000147DB">
      <w:pPr>
        <w:spacing w:after="200" w:line="276" w:lineRule="auto"/>
        <w:rPr>
          <w:rFonts w:eastAsia="Times New Roman" w:cs="Arial"/>
          <w:b/>
          <w:color w:val="000000"/>
          <w:lang w:val="fr-FR" w:eastAsia="fr-FR"/>
        </w:rPr>
      </w:pPr>
    </w:p>
    <w:p w14:paraId="1FB9F654" w14:textId="77777777" w:rsidR="000147DB" w:rsidRPr="003E7524" w:rsidRDefault="000147DB" w:rsidP="00B972B3">
      <w:pPr>
        <w:keepNext/>
        <w:keepLines/>
        <w:pageBreakBefore/>
        <w:spacing w:after="0" w:line="240" w:lineRule="auto"/>
        <w:jc w:val="center"/>
        <w:rPr>
          <w:rFonts w:eastAsia="Times New Roman" w:cs="Arial"/>
          <w:b/>
          <w:color w:val="000000"/>
        </w:rPr>
      </w:pPr>
      <w:r>
        <w:rPr>
          <w:b/>
          <w:color w:val="000000"/>
        </w:rPr>
        <w:lastRenderedPageBreak/>
        <w:t>LIITE I</w:t>
      </w:r>
    </w:p>
    <w:p w14:paraId="3C2BC896" w14:textId="77777777" w:rsidR="000147DB" w:rsidRPr="003E7524" w:rsidRDefault="000147DB" w:rsidP="00B972B3">
      <w:pPr>
        <w:keepNext/>
        <w:keepLines/>
        <w:spacing w:after="0" w:line="240" w:lineRule="auto"/>
        <w:jc w:val="center"/>
        <w:rPr>
          <w:rFonts w:eastAsia="Times New Roman" w:cs="Arial"/>
          <w:b/>
          <w:bCs/>
          <w:color w:val="000000"/>
        </w:rPr>
      </w:pPr>
      <w:r>
        <w:rPr>
          <w:b/>
          <w:bCs/>
          <w:color w:val="000000"/>
        </w:rPr>
        <w:t>Pakkausten koostumusta sekä uudelleenkäytettävyyttä ja hyödynnettävyyttä (mukaan lukien kierrätettävyyttä) koskevat perusvaatimukset</w:t>
      </w:r>
    </w:p>
    <w:p w14:paraId="76BAF4AF" w14:textId="77777777" w:rsidR="000147DB" w:rsidRPr="003E7524" w:rsidRDefault="000147DB" w:rsidP="00B972B3">
      <w:pPr>
        <w:keepNext/>
        <w:keepLines/>
        <w:spacing w:after="0" w:line="240" w:lineRule="auto"/>
        <w:jc w:val="center"/>
        <w:rPr>
          <w:rFonts w:eastAsia="Times New Roman" w:cs="Arial"/>
          <w:color w:val="000000"/>
          <w:lang w:val="fr-FR" w:eastAsia="fr-FR"/>
        </w:rPr>
      </w:pPr>
    </w:p>
    <w:p w14:paraId="7D49E7BD" w14:textId="77777777" w:rsidR="000147DB" w:rsidRPr="003E7524" w:rsidRDefault="000147DB" w:rsidP="00B972B3">
      <w:pPr>
        <w:keepNext/>
        <w:keepLines/>
        <w:spacing w:after="0" w:line="240" w:lineRule="auto"/>
        <w:jc w:val="center"/>
        <w:rPr>
          <w:rFonts w:eastAsia="Times New Roman" w:cs="Arial"/>
        </w:rPr>
      </w:pPr>
      <w:r>
        <w:rPr>
          <w:b/>
          <w:bCs/>
        </w:rPr>
        <w:t>1) Pakkauksen valmistusta ja koostumusta koskevat vaatimukset</w:t>
      </w:r>
    </w:p>
    <w:p w14:paraId="174C3BC4" w14:textId="77777777" w:rsidR="000147DB" w:rsidRPr="003E7524" w:rsidRDefault="000147DB" w:rsidP="000147DB">
      <w:pPr>
        <w:spacing w:after="0" w:line="240" w:lineRule="auto"/>
        <w:jc w:val="both"/>
        <w:rPr>
          <w:rFonts w:eastAsia="Times New Roman" w:cs="Arial"/>
          <w:color w:val="000000"/>
        </w:rPr>
      </w:pPr>
      <w:r>
        <w:rPr>
          <w:color w:val="000000"/>
        </w:rPr>
        <w:t>a) Pakkaus on valmistettava siten, että sen koko ja paino rajoitetaan mahdollisimman pieniksi, kuitenkin niin, että varmistetaan vaadittava turvallisuuden, hygienian ja hyväksyttävyyden taso sekä pakatun tuotteen että kuluttajan kannalta.</w:t>
      </w:r>
    </w:p>
    <w:p w14:paraId="629D9CA7" w14:textId="17BC5018"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b) Pakkaus on suunniteltava, valmistettava ja pidettävä kaupan siten, että sen uudelleenkäyttö tai hyödyntäminen, mukaan lukien kierrätys, on jätehierarkian mukaisesti mahdollista ja että sen ympäristövaikutukset minimoidaan, kun pakkausjäte tai pakkausjätettä koskevissa jätehuoltotoimissa syntyvät jäännökset loppukäsitellään. </w:t>
      </w:r>
    </w:p>
    <w:p w14:paraId="538F9353" w14:textId="77777777" w:rsidR="000147DB" w:rsidRPr="003E7524" w:rsidRDefault="000147DB" w:rsidP="000147DB">
      <w:pPr>
        <w:spacing w:after="0" w:line="240" w:lineRule="auto"/>
        <w:jc w:val="both"/>
        <w:rPr>
          <w:rFonts w:eastAsia="Times New Roman" w:cs="Arial"/>
          <w:strike/>
          <w:color w:val="FF0000"/>
          <w:lang w:val="fr-LU" w:eastAsia="fr-FR"/>
        </w:rPr>
      </w:pPr>
    </w:p>
    <w:p w14:paraId="4613BD21" w14:textId="77777777" w:rsidR="000147DB" w:rsidRPr="003E7524" w:rsidRDefault="000147DB" w:rsidP="000147DB">
      <w:pPr>
        <w:spacing w:after="0" w:line="240" w:lineRule="auto"/>
        <w:jc w:val="both"/>
        <w:rPr>
          <w:rFonts w:eastAsia="Times New Roman" w:cs="Arial"/>
          <w:strike/>
          <w:color w:val="FF0000"/>
          <w:lang w:val="fr-FR" w:eastAsia="fr-FR"/>
        </w:rPr>
      </w:pPr>
    </w:p>
    <w:p w14:paraId="7E4B7CFE" w14:textId="77777777" w:rsidR="000147DB" w:rsidRPr="00487C0C" w:rsidRDefault="000147DB" w:rsidP="000147DB">
      <w:pPr>
        <w:spacing w:after="0" w:line="240" w:lineRule="auto"/>
        <w:jc w:val="both"/>
        <w:rPr>
          <w:rFonts w:eastAsia="Times New Roman" w:cs="Arial"/>
          <w:color w:val="000000"/>
          <w:spacing w:val="-4"/>
        </w:rPr>
      </w:pPr>
      <w:r w:rsidRPr="00487C0C">
        <w:rPr>
          <w:color w:val="000000"/>
          <w:spacing w:val="-4"/>
        </w:rPr>
        <w:t>c) Pakkausta valmistettaessa on huolehdittava siitä, että haitallisten aineiden ja ainesten sekä muiden vaarallisten aineiden pitoisuudet pakkausmateriaalissa ja sen osissa ovat mahdollisimman vähäiset, mitä tulee niiden esiintymiseen pakkausten polttamisesta tai kaatopaikalle viemisestä syntyvissä päästöissä, tuhkassa tai suotovedessä taikka pakkausjätteistä huolehtimiseen liittyvistä toimista syntyvissä jäännöksissä.</w:t>
      </w:r>
    </w:p>
    <w:p w14:paraId="31070C98" w14:textId="77777777" w:rsidR="000147DB" w:rsidRPr="003E7524" w:rsidRDefault="000147DB" w:rsidP="000147DB">
      <w:pPr>
        <w:spacing w:after="0" w:line="240" w:lineRule="auto"/>
        <w:rPr>
          <w:rFonts w:eastAsia="Times New Roman" w:cs="Arial"/>
          <w:color w:val="000000"/>
          <w:lang w:val="fr-FR" w:eastAsia="fr-FR"/>
        </w:rPr>
      </w:pPr>
    </w:p>
    <w:p w14:paraId="767AE17B" w14:textId="77777777" w:rsidR="000147DB" w:rsidRPr="003E7524" w:rsidRDefault="000147DB" w:rsidP="00B972B3">
      <w:pPr>
        <w:keepNext/>
        <w:keepLines/>
        <w:spacing w:after="0" w:line="240" w:lineRule="auto"/>
        <w:jc w:val="center"/>
        <w:rPr>
          <w:rFonts w:eastAsia="Times New Roman" w:cs="Arial"/>
          <w:color w:val="000000"/>
        </w:rPr>
      </w:pPr>
      <w:r>
        <w:rPr>
          <w:b/>
          <w:bCs/>
          <w:color w:val="000000"/>
        </w:rPr>
        <w:t>2) Pakkauksen uudelleenkäytettävyyttä koskevat vaatimukset</w:t>
      </w:r>
    </w:p>
    <w:p w14:paraId="632929B6" w14:textId="77777777" w:rsidR="000147DB" w:rsidRPr="003E7524" w:rsidRDefault="000147DB" w:rsidP="00B972B3">
      <w:pPr>
        <w:keepNext/>
        <w:keepLines/>
        <w:spacing w:after="0" w:line="240" w:lineRule="auto"/>
        <w:jc w:val="both"/>
        <w:rPr>
          <w:rFonts w:eastAsia="Times New Roman" w:cs="Arial"/>
          <w:color w:val="000000"/>
        </w:rPr>
      </w:pPr>
      <w:r>
        <w:rPr>
          <w:color w:val="000000"/>
        </w:rPr>
        <w:t>Pakkauksen on täytettävä samanaikaisesti seuraavat vaatimukset:</w:t>
      </w:r>
    </w:p>
    <w:p w14:paraId="3D32190A" w14:textId="77777777" w:rsidR="000147DB" w:rsidRPr="003E7524" w:rsidRDefault="000147DB" w:rsidP="000147DB">
      <w:pPr>
        <w:spacing w:after="0" w:line="240" w:lineRule="auto"/>
        <w:jc w:val="both"/>
        <w:rPr>
          <w:rFonts w:eastAsia="Times New Roman" w:cs="Arial"/>
          <w:color w:val="000000"/>
        </w:rPr>
      </w:pPr>
      <w:r>
        <w:rPr>
          <w:color w:val="000000"/>
        </w:rPr>
        <w:t>a) pakkauksen fyysisten ominaisuuksien on oltava sellaiset, että se kestää useita kuljetus- tai käyttökertoja tavanomaisissa käyttöolosuhteissa,</w:t>
      </w:r>
    </w:p>
    <w:p w14:paraId="45F75A04" w14:textId="77777777" w:rsidR="000147DB" w:rsidRPr="003E7524" w:rsidRDefault="000147DB" w:rsidP="000147DB">
      <w:pPr>
        <w:spacing w:after="0" w:line="240" w:lineRule="auto"/>
        <w:jc w:val="both"/>
        <w:rPr>
          <w:rFonts w:eastAsia="Times New Roman" w:cs="Arial"/>
          <w:color w:val="000000"/>
        </w:rPr>
      </w:pPr>
      <w:r>
        <w:rPr>
          <w:color w:val="000000"/>
        </w:rPr>
        <w:t>b) käytettyä pakkausta on mahdollista käsitellä työntekijöiden terveyttä ja turvallisuutta koskevien vaatimusten mukaisesti,</w:t>
      </w:r>
    </w:p>
    <w:p w14:paraId="3D452CEF" w14:textId="77777777" w:rsidR="000147DB" w:rsidRPr="003E7524" w:rsidRDefault="000147DB" w:rsidP="000147DB">
      <w:pPr>
        <w:spacing w:after="0" w:line="240" w:lineRule="auto"/>
        <w:jc w:val="both"/>
        <w:rPr>
          <w:rFonts w:eastAsia="Times New Roman" w:cs="Arial"/>
          <w:color w:val="000000"/>
        </w:rPr>
      </w:pPr>
      <w:r>
        <w:rPr>
          <w:color w:val="000000"/>
        </w:rPr>
        <w:t>c) kun pakkausta ei enää käytetä uudelleen ja siitä tulee jäte, noudatetaan pakkauksen hyödynnettävyyttä koskevia vaatimuksia.</w:t>
      </w:r>
    </w:p>
    <w:p w14:paraId="21D9B2BB" w14:textId="77777777" w:rsidR="000147DB" w:rsidRPr="003E7524" w:rsidRDefault="000147DB" w:rsidP="000147DB">
      <w:pPr>
        <w:spacing w:after="0" w:line="240" w:lineRule="auto"/>
        <w:rPr>
          <w:rFonts w:eastAsia="Times New Roman" w:cs="Arial"/>
          <w:color w:val="000000"/>
          <w:lang w:val="fr-FR" w:eastAsia="fr-FR"/>
        </w:rPr>
      </w:pPr>
    </w:p>
    <w:p w14:paraId="37AA649C" w14:textId="77777777" w:rsidR="000147DB" w:rsidRPr="005E4757" w:rsidRDefault="000147DB" w:rsidP="00B972B3">
      <w:pPr>
        <w:keepNext/>
        <w:keepLines/>
        <w:spacing w:after="0" w:line="240" w:lineRule="auto"/>
        <w:jc w:val="center"/>
        <w:rPr>
          <w:rFonts w:eastAsia="Times New Roman" w:cs="Arial"/>
          <w:b/>
          <w:bCs/>
          <w:iCs/>
          <w:color w:val="000000"/>
        </w:rPr>
      </w:pPr>
      <w:r>
        <w:rPr>
          <w:b/>
          <w:bCs/>
          <w:iCs/>
          <w:color w:val="000000"/>
        </w:rPr>
        <w:t>3) Pakkauksen hyödynnettävyyttä koskevat vaatimukset</w:t>
      </w:r>
    </w:p>
    <w:p w14:paraId="1EE282C0"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a) Materiaaleja kierrättämällä hyödynnettävä pakkaus </w:t>
      </w:r>
    </w:p>
    <w:p w14:paraId="72BEBD90" w14:textId="77777777" w:rsidR="000147DB" w:rsidRPr="00487C0C" w:rsidRDefault="000147DB" w:rsidP="000147DB">
      <w:pPr>
        <w:spacing w:after="0" w:line="240" w:lineRule="auto"/>
        <w:jc w:val="both"/>
        <w:rPr>
          <w:rFonts w:eastAsia="Times New Roman" w:cs="Arial"/>
          <w:color w:val="000000"/>
          <w:spacing w:val="-4"/>
        </w:rPr>
      </w:pPr>
      <w:r w:rsidRPr="00487C0C">
        <w:rPr>
          <w:color w:val="000000"/>
          <w:spacing w:val="-4"/>
        </w:rPr>
        <w:t>Pakkaus on valmistettava siten, että tietty prosenttiosuus siinä käytettyjen materiaalien painosta voidaan kierrättää kaupan pidettävien hyödykkeiden tuotannossa Euroopan unionissa voimassa olevien standardien mukaisesti. Tämä prosenttiosuus voi vaihdella sen materiaalityypin mukaan, josta pakkaus on valmistettu.</w:t>
      </w:r>
    </w:p>
    <w:p w14:paraId="1A7B37E6"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b) Energiantuotannossa hyödynnettävä pakkaus </w:t>
      </w:r>
    </w:p>
    <w:p w14:paraId="041C2C54" w14:textId="77777777" w:rsidR="000147DB" w:rsidRPr="003E7524" w:rsidRDefault="000147DB" w:rsidP="000147DB">
      <w:pPr>
        <w:spacing w:after="0" w:line="240" w:lineRule="auto"/>
        <w:jc w:val="both"/>
        <w:rPr>
          <w:rFonts w:eastAsia="Times New Roman" w:cs="Arial"/>
          <w:color w:val="000000"/>
        </w:rPr>
      </w:pPr>
      <w:r>
        <w:rPr>
          <w:color w:val="000000"/>
        </w:rPr>
        <w:t>Energiantuotantoa varten käsiteltävillä pakkausjätteillä on oltava vähimmäislämpöarvo, jotta energian talteenotto voidaan optimoida.</w:t>
      </w:r>
    </w:p>
    <w:p w14:paraId="47DD47B7"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c) Kompostoimalla hyödynnettävä pakkaus </w:t>
      </w:r>
    </w:p>
    <w:p w14:paraId="0F150FF9" w14:textId="77777777" w:rsidR="000147DB" w:rsidRPr="003E7524" w:rsidRDefault="000147DB" w:rsidP="000147DB">
      <w:pPr>
        <w:spacing w:after="0" w:line="240" w:lineRule="auto"/>
        <w:jc w:val="both"/>
        <w:rPr>
          <w:rFonts w:eastAsia="Times New Roman" w:cs="Arial"/>
          <w:color w:val="000000"/>
        </w:rPr>
      </w:pPr>
      <w:r>
        <w:rPr>
          <w:color w:val="000000"/>
        </w:rPr>
        <w:t>Kompostointia varten käsiteltävän pakkausjätteen on oltava biologisesti hajoavaa siten, että se ei haittaa erilliskeräystä, kompostointiprosessia tai toimintaa, johon ne käytetään.</w:t>
      </w:r>
    </w:p>
    <w:p w14:paraId="36128ACA" w14:textId="77777777" w:rsidR="000147DB" w:rsidRPr="003E7524" w:rsidRDefault="000147DB" w:rsidP="000147DB">
      <w:pPr>
        <w:spacing w:after="0" w:line="240" w:lineRule="auto"/>
        <w:jc w:val="both"/>
        <w:rPr>
          <w:rFonts w:eastAsia="Times New Roman" w:cs="Arial"/>
          <w:color w:val="000000"/>
          <w:lang w:val="fr-FR" w:eastAsia="fr-FR"/>
        </w:rPr>
      </w:pPr>
    </w:p>
    <w:p w14:paraId="00633E3B" w14:textId="77777777" w:rsidR="000147DB" w:rsidRPr="003E7524" w:rsidRDefault="000147DB" w:rsidP="00B972B3">
      <w:pPr>
        <w:keepNext/>
        <w:keepLines/>
        <w:autoSpaceDE w:val="0"/>
        <w:autoSpaceDN w:val="0"/>
        <w:adjustRightInd w:val="0"/>
        <w:spacing w:after="0"/>
        <w:jc w:val="both"/>
        <w:rPr>
          <w:rFonts w:cs="TimesNewRoman"/>
          <w:color w:val="FF0000"/>
          <w:sz w:val="24"/>
          <w:szCs w:val="24"/>
        </w:rPr>
      </w:pPr>
      <w:r>
        <w:rPr>
          <w:color w:val="FF0000"/>
          <w:sz w:val="24"/>
          <w:szCs w:val="24"/>
        </w:rPr>
        <w:t>d) Biohajoava pakkaus</w:t>
      </w:r>
    </w:p>
    <w:p w14:paraId="7A56FE8C" w14:textId="77777777" w:rsidR="000147DB" w:rsidRPr="00487C0C" w:rsidRDefault="000147DB" w:rsidP="000147DB">
      <w:pPr>
        <w:autoSpaceDE w:val="0"/>
        <w:autoSpaceDN w:val="0"/>
        <w:adjustRightInd w:val="0"/>
        <w:spacing w:after="0"/>
        <w:jc w:val="both"/>
        <w:rPr>
          <w:rFonts w:cs="TimesNewRoman"/>
          <w:color w:val="FF0000"/>
          <w:spacing w:val="-4"/>
          <w:sz w:val="24"/>
          <w:szCs w:val="24"/>
        </w:rPr>
      </w:pPr>
      <w:r w:rsidRPr="00487C0C">
        <w:rPr>
          <w:color w:val="FF0000"/>
          <w:spacing w:val="-4"/>
          <w:sz w:val="24"/>
          <w:szCs w:val="24"/>
        </w:rPr>
        <w:t xml:space="preserve">Biohajoavan pakkausjätteen on hajottava fysikaalisesti, kemiallisesti, termisesti tai biologisesti siten, että suurin osa syntyneestä kompostista hajoaa lopulta hiilidioksidiksi, biomassaksi ja vedeksi. </w:t>
      </w:r>
    </w:p>
    <w:p w14:paraId="76704C00" w14:textId="77777777" w:rsidR="000147DB" w:rsidRPr="003E7524" w:rsidRDefault="000147DB" w:rsidP="000147DB">
      <w:pPr>
        <w:autoSpaceDE w:val="0"/>
        <w:autoSpaceDN w:val="0"/>
        <w:adjustRightInd w:val="0"/>
        <w:spacing w:after="0"/>
        <w:jc w:val="both"/>
        <w:rPr>
          <w:rFonts w:cs="TimesNewRoman"/>
          <w:sz w:val="24"/>
          <w:szCs w:val="24"/>
        </w:rPr>
      </w:pPr>
      <w:r>
        <w:rPr>
          <w:color w:val="FF0000"/>
          <w:sz w:val="24"/>
          <w:szCs w:val="24"/>
        </w:rPr>
        <w:t>Oxo-hajoavaa muovipakkausta ei pidetä biohajoavana.</w:t>
      </w:r>
    </w:p>
    <w:p w14:paraId="4D209010" w14:textId="77777777" w:rsidR="000147DB" w:rsidRPr="003E7524" w:rsidRDefault="000147DB" w:rsidP="000147DB">
      <w:pPr>
        <w:autoSpaceDE w:val="0"/>
        <w:autoSpaceDN w:val="0"/>
        <w:adjustRightInd w:val="0"/>
        <w:spacing w:after="0"/>
        <w:jc w:val="both"/>
        <w:rPr>
          <w:rFonts w:cs="TimesNewRoman"/>
          <w:sz w:val="24"/>
          <w:szCs w:val="24"/>
          <w:lang w:val="fr-LU" w:eastAsia="fr-BE"/>
        </w:rPr>
      </w:pPr>
    </w:p>
    <w:p w14:paraId="75439D96" w14:textId="77777777" w:rsidR="000147DB" w:rsidRPr="003E7524" w:rsidRDefault="000147DB" w:rsidP="000147DB">
      <w:pPr>
        <w:spacing w:after="0" w:line="240" w:lineRule="auto"/>
        <w:rPr>
          <w:rFonts w:eastAsia="Times New Roman" w:cs="Arial"/>
          <w:color w:val="000000"/>
          <w:lang w:val="fr-LU" w:eastAsia="fr-FR"/>
        </w:rPr>
      </w:pPr>
    </w:p>
    <w:p w14:paraId="3E017349" w14:textId="77777777" w:rsidR="000147DB" w:rsidRPr="003E7524" w:rsidRDefault="000147DB" w:rsidP="000147DB">
      <w:pPr>
        <w:spacing w:after="0" w:line="240" w:lineRule="auto"/>
        <w:jc w:val="center"/>
        <w:rPr>
          <w:rFonts w:eastAsia="Times New Roman" w:cs="Arial"/>
          <w:strike/>
          <w:u w:val="single"/>
          <w:lang w:val="fr-FR" w:eastAsia="fr-LU"/>
        </w:rPr>
      </w:pPr>
    </w:p>
    <w:p w14:paraId="58B091A8" w14:textId="77777777" w:rsidR="000147DB" w:rsidRPr="003E7524" w:rsidRDefault="000147DB" w:rsidP="00B972B3">
      <w:pPr>
        <w:keepNext/>
        <w:keepLines/>
        <w:spacing w:after="0" w:line="240" w:lineRule="auto"/>
        <w:jc w:val="center"/>
        <w:rPr>
          <w:rFonts w:eastAsia="Times New Roman" w:cs="Arial"/>
          <w:b/>
        </w:rPr>
      </w:pPr>
      <w:r>
        <w:rPr>
          <w:b/>
        </w:rPr>
        <w:t>LIITE II</w:t>
      </w:r>
    </w:p>
    <w:p w14:paraId="08D0C795" w14:textId="77777777" w:rsidR="000147DB" w:rsidRPr="003E7524" w:rsidRDefault="000147DB" w:rsidP="00B972B3">
      <w:pPr>
        <w:keepNext/>
        <w:keepLines/>
        <w:spacing w:after="0" w:line="240" w:lineRule="auto"/>
        <w:jc w:val="center"/>
        <w:rPr>
          <w:rFonts w:eastAsia="Times New Roman" w:cs="Arial"/>
          <w:b/>
          <w:bCs/>
        </w:rPr>
      </w:pPr>
      <w:r>
        <w:rPr>
          <w:b/>
          <w:bCs/>
        </w:rPr>
        <w:t>Ympäristösopimus</w:t>
      </w:r>
    </w:p>
    <w:p w14:paraId="4C8541AC" w14:textId="77777777" w:rsidR="000147DB" w:rsidRPr="003E7524" w:rsidRDefault="000147DB" w:rsidP="00B972B3">
      <w:pPr>
        <w:keepNext/>
        <w:keepLines/>
        <w:spacing w:after="0" w:line="240" w:lineRule="auto"/>
        <w:jc w:val="both"/>
        <w:rPr>
          <w:rFonts w:eastAsia="Times New Roman" w:cs="Arial"/>
          <w:b/>
          <w:lang w:val="fr-FR" w:eastAsia="fr-LU"/>
        </w:rPr>
      </w:pPr>
    </w:p>
    <w:p w14:paraId="2F353336" w14:textId="77777777" w:rsidR="000147DB" w:rsidRPr="003E7524" w:rsidRDefault="000147DB" w:rsidP="00B972B3">
      <w:pPr>
        <w:keepNext/>
        <w:keepLines/>
        <w:spacing w:after="0" w:line="240" w:lineRule="auto"/>
        <w:jc w:val="both"/>
        <w:rPr>
          <w:rFonts w:eastAsia="Times New Roman" w:cs="Arial"/>
        </w:rPr>
      </w:pPr>
      <w:r>
        <w:t>Tässä laissa tarkoitettuihin ympäristösopimuksiin sovelletaan seuraavia sääntöjä:</w:t>
      </w:r>
    </w:p>
    <w:p w14:paraId="26FA5C49" w14:textId="77777777" w:rsidR="000147DB" w:rsidRPr="003E7524" w:rsidRDefault="000147DB" w:rsidP="000147DB">
      <w:pPr>
        <w:spacing w:after="0" w:line="240" w:lineRule="auto"/>
        <w:jc w:val="both"/>
        <w:rPr>
          <w:rFonts w:eastAsia="Times New Roman" w:cs="Arial"/>
        </w:rPr>
      </w:pPr>
      <w:r>
        <w:t>1) Sopimuksissa on esitettävä niiden tavoitteet ja kesto.</w:t>
      </w:r>
    </w:p>
    <w:p w14:paraId="6DB322CD" w14:textId="77777777" w:rsidR="000147DB" w:rsidRPr="003E7524" w:rsidRDefault="000147DB" w:rsidP="000147DB">
      <w:pPr>
        <w:spacing w:after="0" w:line="240" w:lineRule="auto"/>
        <w:jc w:val="both"/>
        <w:rPr>
          <w:rFonts w:eastAsia="Times New Roman" w:cs="Arial"/>
        </w:rPr>
      </w:pPr>
      <w:r>
        <w:t>2) Sopimukset ja niiden soveltamisesta saatavat tulokset ovat yleisön saatavilla, ja ympäristöministeri ilmoittaa niistä Euroopan komissiolle.</w:t>
      </w:r>
    </w:p>
    <w:p w14:paraId="0C4AFADA" w14:textId="77777777" w:rsidR="000147DB" w:rsidRPr="003E7524" w:rsidRDefault="000147DB" w:rsidP="000147DB">
      <w:pPr>
        <w:spacing w:after="0" w:line="240" w:lineRule="auto"/>
        <w:jc w:val="both"/>
        <w:rPr>
          <w:rFonts w:eastAsia="Times New Roman" w:cs="Arial"/>
        </w:rPr>
      </w:pPr>
      <w:r>
        <w:t>3) Viranomainen tarkastaa säännöllisesti sopimusten soveltamisen.</w:t>
      </w:r>
    </w:p>
    <w:p w14:paraId="338631B9" w14:textId="77777777" w:rsidR="000147DB" w:rsidRPr="003E7524" w:rsidRDefault="000147DB" w:rsidP="000147DB">
      <w:pPr>
        <w:spacing w:after="0" w:line="240" w:lineRule="auto"/>
        <w:jc w:val="both"/>
        <w:rPr>
          <w:rFonts w:eastAsia="Times New Roman" w:cs="Arial"/>
        </w:rPr>
      </w:pPr>
      <w:r>
        <w:t>4) Sopimuksissa on toimenpiteitä ja seuraamuksia niiden säännösten noudattamatta jättämisen varalta.</w:t>
      </w:r>
    </w:p>
    <w:p w14:paraId="3E2E4659" w14:textId="77777777" w:rsidR="000147DB" w:rsidRPr="003E7524" w:rsidRDefault="000147DB" w:rsidP="000147DB">
      <w:pPr>
        <w:spacing w:after="0" w:line="240" w:lineRule="auto"/>
        <w:jc w:val="both"/>
        <w:rPr>
          <w:rFonts w:eastAsia="Times New Roman" w:cs="Arial"/>
        </w:rPr>
      </w:pPr>
      <w:r>
        <w:t>5) Sopimukset voidaan tehdä enintään viideksi vuodeksi. Niitä ei voida uusia automaattisesti.</w:t>
      </w:r>
    </w:p>
    <w:p w14:paraId="104D8A65" w14:textId="77777777" w:rsidR="000147DB" w:rsidRPr="003E7524" w:rsidRDefault="000147DB" w:rsidP="000147DB">
      <w:pPr>
        <w:spacing w:after="0" w:line="240" w:lineRule="auto"/>
        <w:jc w:val="both"/>
        <w:rPr>
          <w:rFonts w:eastAsia="Times New Roman" w:cs="Arial"/>
        </w:rPr>
      </w:pPr>
      <w:r>
        <w:t>6) Sopimukset päättyvät, kun niiden sovittu voimassaoloaika päättyy tai kun niiden tavoitteet saavutetaan tai osapuolten yhteisestä sopimuksesta.</w:t>
      </w:r>
    </w:p>
    <w:p w14:paraId="09C2F1CD" w14:textId="77777777" w:rsidR="000147DB" w:rsidRPr="003E7524" w:rsidRDefault="000147DB" w:rsidP="000147DB">
      <w:pPr>
        <w:spacing w:after="0" w:line="240" w:lineRule="auto"/>
        <w:rPr>
          <w:rFonts w:eastAsia="Times New Roman" w:cs="Arial"/>
          <w:lang w:val="fr-FR" w:eastAsia="fr-FR"/>
        </w:rPr>
      </w:pPr>
    </w:p>
    <w:p w14:paraId="16C3064A" w14:textId="77777777" w:rsidR="000147DB" w:rsidRPr="003E7524" w:rsidRDefault="000147DB" w:rsidP="000147DB">
      <w:pPr>
        <w:spacing w:after="0" w:line="240" w:lineRule="auto"/>
        <w:jc w:val="center"/>
        <w:rPr>
          <w:rFonts w:eastAsia="Calibri" w:cs="Arial"/>
          <w:lang w:val="fr-FR"/>
        </w:rPr>
      </w:pPr>
    </w:p>
    <w:p w14:paraId="52D4FCEE" w14:textId="77777777" w:rsidR="000147DB" w:rsidRPr="003E7524" w:rsidRDefault="000147DB" w:rsidP="000147DB">
      <w:pPr>
        <w:spacing w:after="200" w:line="276" w:lineRule="auto"/>
        <w:rPr>
          <w:color w:val="FF0000"/>
        </w:rPr>
      </w:pPr>
      <w:r>
        <w:rPr>
          <w:color w:val="FF0000"/>
        </w:rPr>
        <w:t>Laki, annettu xx päivänä xkuuta xxxx</w:t>
      </w:r>
    </w:p>
    <w:p w14:paraId="4FF80B34" w14:textId="22A28547" w:rsidR="000147DB" w:rsidRPr="003E7524" w:rsidRDefault="000147DB" w:rsidP="000147DB">
      <w:pPr>
        <w:autoSpaceDE w:val="0"/>
        <w:autoSpaceDN w:val="0"/>
        <w:adjustRightInd w:val="0"/>
        <w:spacing w:after="0"/>
        <w:jc w:val="center"/>
        <w:rPr>
          <w:rFonts w:cs="TimesNewRoman"/>
          <w:b/>
          <w:color w:val="FF0000"/>
          <w:sz w:val="24"/>
          <w:szCs w:val="24"/>
          <w:u w:val="single"/>
        </w:rPr>
      </w:pPr>
      <w:r>
        <w:rPr>
          <w:b/>
          <w:color w:val="FF0000"/>
          <w:sz w:val="24"/>
          <w:szCs w:val="24"/>
          <w:u w:val="single"/>
        </w:rPr>
        <w:t>LIITE III</w:t>
      </w:r>
    </w:p>
    <w:p w14:paraId="79D2B46F" w14:textId="77777777" w:rsidR="000147DB" w:rsidRPr="005E4757" w:rsidRDefault="000147DB" w:rsidP="000147DB">
      <w:pPr>
        <w:autoSpaceDE w:val="0"/>
        <w:autoSpaceDN w:val="0"/>
        <w:adjustRightInd w:val="0"/>
        <w:spacing w:after="0"/>
        <w:jc w:val="center"/>
        <w:rPr>
          <w:rFonts w:cs="TimesNewRoman"/>
          <w:bCs/>
          <w:color w:val="FF0000"/>
          <w:sz w:val="24"/>
          <w:szCs w:val="24"/>
          <w:u w:val="single"/>
        </w:rPr>
      </w:pPr>
      <w:r>
        <w:rPr>
          <w:bCs/>
          <w:color w:val="FF0000"/>
          <w:sz w:val="24"/>
          <w:szCs w:val="24"/>
          <w:u w:val="single"/>
        </w:rPr>
        <w:t>Luettelo 5 §:n 1 momentin 1 alamomentissa tarkoitetuista hedelmistä ja vihanneksista</w:t>
      </w:r>
    </w:p>
    <w:p w14:paraId="236111C5" w14:textId="77777777" w:rsidR="000147DB" w:rsidRPr="003E7524"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B972B3" w14:paraId="666E3C8A" w14:textId="77777777" w:rsidTr="000147DB">
        <w:tc>
          <w:tcPr>
            <w:tcW w:w="4675" w:type="dxa"/>
          </w:tcPr>
          <w:p w14:paraId="5DF36764" w14:textId="77777777" w:rsidR="000147DB" w:rsidRPr="00B972B3" w:rsidRDefault="000147DB" w:rsidP="000147DB">
            <w:pPr>
              <w:rPr>
                <w:b/>
                <w:color w:val="FF0000"/>
                <w:spacing w:val="-4"/>
              </w:rPr>
            </w:pPr>
            <w:r>
              <w:rPr>
                <w:b/>
                <w:color w:val="FF0000"/>
              </w:rPr>
              <w:t>Tuoreet hedelmät</w:t>
            </w:r>
          </w:p>
        </w:tc>
        <w:tc>
          <w:tcPr>
            <w:tcW w:w="4675" w:type="dxa"/>
          </w:tcPr>
          <w:p w14:paraId="5DD24357" w14:textId="77777777" w:rsidR="000147DB" w:rsidRPr="00B972B3" w:rsidRDefault="000147DB" w:rsidP="000147DB">
            <w:pPr>
              <w:rPr>
                <w:b/>
                <w:color w:val="FF0000"/>
                <w:spacing w:val="-4"/>
              </w:rPr>
            </w:pPr>
            <w:r>
              <w:rPr>
                <w:b/>
                <w:color w:val="FF0000"/>
              </w:rPr>
              <w:t>Tuoreet vihannekset</w:t>
            </w:r>
          </w:p>
        </w:tc>
      </w:tr>
      <w:tr w:rsidR="000147DB" w:rsidRPr="00B972B3" w14:paraId="544C3581" w14:textId="77777777" w:rsidTr="000147DB">
        <w:tc>
          <w:tcPr>
            <w:tcW w:w="4675" w:type="dxa"/>
          </w:tcPr>
          <w:p w14:paraId="2E157577" w14:textId="77777777" w:rsidR="000147DB" w:rsidRPr="00B972B3" w:rsidRDefault="000147DB" w:rsidP="000147DB">
            <w:pPr>
              <w:rPr>
                <w:color w:val="FF0000"/>
                <w:spacing w:val="-4"/>
              </w:rPr>
            </w:pPr>
            <w:r>
              <w:rPr>
                <w:color w:val="FF0000"/>
              </w:rPr>
              <w:t>Ananas</w:t>
            </w:r>
          </w:p>
        </w:tc>
        <w:tc>
          <w:tcPr>
            <w:tcW w:w="4675" w:type="dxa"/>
          </w:tcPr>
          <w:p w14:paraId="08482F53" w14:textId="77777777" w:rsidR="000147DB" w:rsidRPr="00B972B3" w:rsidRDefault="000147DB" w:rsidP="000147DB">
            <w:pPr>
              <w:rPr>
                <w:color w:val="FF0000"/>
                <w:spacing w:val="-4"/>
              </w:rPr>
            </w:pPr>
            <w:r>
              <w:rPr>
                <w:color w:val="FF0000"/>
              </w:rPr>
              <w:t>Valkosipuli</w:t>
            </w:r>
          </w:p>
        </w:tc>
      </w:tr>
      <w:tr w:rsidR="000147DB" w:rsidRPr="00B972B3" w14:paraId="679261B3" w14:textId="77777777" w:rsidTr="000147DB">
        <w:tc>
          <w:tcPr>
            <w:tcW w:w="4675" w:type="dxa"/>
          </w:tcPr>
          <w:p w14:paraId="0AAD721B" w14:textId="77777777" w:rsidR="000147DB" w:rsidRPr="00B972B3" w:rsidRDefault="000147DB" w:rsidP="000147DB">
            <w:pPr>
              <w:rPr>
                <w:color w:val="FF0000"/>
                <w:spacing w:val="-4"/>
              </w:rPr>
            </w:pPr>
            <w:r>
              <w:rPr>
                <w:color w:val="FF0000"/>
              </w:rPr>
              <w:t>Aprikoosi</w:t>
            </w:r>
          </w:p>
        </w:tc>
        <w:tc>
          <w:tcPr>
            <w:tcW w:w="4675" w:type="dxa"/>
          </w:tcPr>
          <w:p w14:paraId="3AFF19ED" w14:textId="77777777" w:rsidR="000147DB" w:rsidRPr="00B972B3" w:rsidRDefault="000147DB" w:rsidP="000147DB">
            <w:pPr>
              <w:rPr>
                <w:color w:val="FF0000"/>
                <w:spacing w:val="-4"/>
              </w:rPr>
            </w:pPr>
            <w:r>
              <w:rPr>
                <w:color w:val="FF0000"/>
              </w:rPr>
              <w:t>Artisokka</w:t>
            </w:r>
          </w:p>
        </w:tc>
      </w:tr>
      <w:tr w:rsidR="000147DB" w:rsidRPr="00B972B3" w14:paraId="4B14EBBA" w14:textId="77777777" w:rsidTr="000147DB">
        <w:tc>
          <w:tcPr>
            <w:tcW w:w="4675" w:type="dxa"/>
          </w:tcPr>
          <w:p w14:paraId="75BB109A" w14:textId="77777777" w:rsidR="000147DB" w:rsidRPr="00B972B3" w:rsidRDefault="000147DB" w:rsidP="000147DB">
            <w:pPr>
              <w:rPr>
                <w:color w:val="FF0000"/>
                <w:spacing w:val="-4"/>
              </w:rPr>
            </w:pPr>
            <w:r>
              <w:rPr>
                <w:color w:val="FF0000"/>
              </w:rPr>
              <w:t xml:space="preserve">Avokado </w:t>
            </w:r>
          </w:p>
        </w:tc>
        <w:tc>
          <w:tcPr>
            <w:tcW w:w="4675" w:type="dxa"/>
          </w:tcPr>
          <w:p w14:paraId="2478D876" w14:textId="77777777" w:rsidR="000147DB" w:rsidRPr="00B972B3" w:rsidRDefault="000147DB" w:rsidP="000147DB">
            <w:pPr>
              <w:rPr>
                <w:color w:val="FF0000"/>
                <w:spacing w:val="-4"/>
              </w:rPr>
            </w:pPr>
            <w:r>
              <w:rPr>
                <w:color w:val="FF0000"/>
              </w:rPr>
              <w:t>Parsa</w:t>
            </w:r>
          </w:p>
        </w:tc>
      </w:tr>
      <w:tr w:rsidR="000147DB" w:rsidRPr="00B972B3" w14:paraId="2BDAEE70" w14:textId="77777777" w:rsidTr="000147DB">
        <w:tc>
          <w:tcPr>
            <w:tcW w:w="4675" w:type="dxa"/>
          </w:tcPr>
          <w:p w14:paraId="7CA415A2" w14:textId="77777777" w:rsidR="000147DB" w:rsidRPr="00B972B3" w:rsidRDefault="000147DB" w:rsidP="000147DB">
            <w:pPr>
              <w:rPr>
                <w:color w:val="FF0000"/>
                <w:spacing w:val="-4"/>
              </w:rPr>
            </w:pPr>
            <w:r>
              <w:rPr>
                <w:color w:val="FF0000"/>
              </w:rPr>
              <w:t>Banaani</w:t>
            </w:r>
          </w:p>
        </w:tc>
        <w:tc>
          <w:tcPr>
            <w:tcW w:w="4675" w:type="dxa"/>
          </w:tcPr>
          <w:p w14:paraId="3DDEEA9A" w14:textId="77777777" w:rsidR="000147DB" w:rsidRPr="00B972B3" w:rsidRDefault="000147DB" w:rsidP="000147DB">
            <w:pPr>
              <w:rPr>
                <w:color w:val="FF0000"/>
                <w:spacing w:val="-4"/>
              </w:rPr>
            </w:pPr>
            <w:r>
              <w:rPr>
                <w:color w:val="FF0000"/>
              </w:rPr>
              <w:t>Munakoiso</w:t>
            </w:r>
          </w:p>
        </w:tc>
      </w:tr>
      <w:tr w:rsidR="000147DB" w:rsidRPr="00B972B3" w14:paraId="10164EE1" w14:textId="77777777" w:rsidTr="000147DB">
        <w:tc>
          <w:tcPr>
            <w:tcW w:w="4675" w:type="dxa"/>
          </w:tcPr>
          <w:p w14:paraId="08FA0606" w14:textId="77777777" w:rsidR="000147DB" w:rsidRPr="00B972B3" w:rsidRDefault="000147DB" w:rsidP="000147DB">
            <w:pPr>
              <w:rPr>
                <w:color w:val="FF0000"/>
                <w:spacing w:val="-4"/>
              </w:rPr>
            </w:pPr>
            <w:r>
              <w:rPr>
                <w:color w:val="FF0000"/>
              </w:rPr>
              <w:t xml:space="preserve">Karambola </w:t>
            </w:r>
          </w:p>
        </w:tc>
        <w:tc>
          <w:tcPr>
            <w:tcW w:w="4675" w:type="dxa"/>
          </w:tcPr>
          <w:p w14:paraId="7AC5C4A8" w14:textId="77777777" w:rsidR="000147DB" w:rsidRPr="00B972B3" w:rsidRDefault="000147DB" w:rsidP="000147DB">
            <w:pPr>
              <w:rPr>
                <w:color w:val="FF0000"/>
                <w:spacing w:val="-4"/>
              </w:rPr>
            </w:pPr>
            <w:r>
              <w:rPr>
                <w:color w:val="FF0000"/>
              </w:rPr>
              <w:t>Punajuuri</w:t>
            </w:r>
          </w:p>
        </w:tc>
      </w:tr>
      <w:tr w:rsidR="000147DB" w:rsidRPr="00B972B3" w14:paraId="4B8C13E0" w14:textId="77777777" w:rsidTr="000147DB">
        <w:tc>
          <w:tcPr>
            <w:tcW w:w="4675" w:type="dxa"/>
          </w:tcPr>
          <w:p w14:paraId="42DCCC4E" w14:textId="77777777" w:rsidR="000147DB" w:rsidRPr="00B972B3" w:rsidRDefault="000147DB" w:rsidP="000147DB">
            <w:pPr>
              <w:rPr>
                <w:color w:val="FF0000"/>
                <w:spacing w:val="-4"/>
              </w:rPr>
            </w:pPr>
            <w:r>
              <w:rPr>
                <w:color w:val="FF0000"/>
              </w:rPr>
              <w:t>Kirsikka</w:t>
            </w:r>
          </w:p>
        </w:tc>
        <w:tc>
          <w:tcPr>
            <w:tcW w:w="4675" w:type="dxa"/>
          </w:tcPr>
          <w:p w14:paraId="2B969983" w14:textId="77777777" w:rsidR="000147DB" w:rsidRPr="00B972B3" w:rsidRDefault="000147DB" w:rsidP="000147DB">
            <w:pPr>
              <w:rPr>
                <w:color w:val="FF0000"/>
                <w:spacing w:val="-4"/>
              </w:rPr>
            </w:pPr>
            <w:r>
              <w:rPr>
                <w:color w:val="FF0000"/>
              </w:rPr>
              <w:t xml:space="preserve">Parsakaali </w:t>
            </w:r>
          </w:p>
        </w:tc>
      </w:tr>
      <w:tr w:rsidR="000147DB" w:rsidRPr="00B972B3" w14:paraId="071FE714" w14:textId="77777777" w:rsidTr="000147DB">
        <w:tc>
          <w:tcPr>
            <w:tcW w:w="4675" w:type="dxa"/>
          </w:tcPr>
          <w:p w14:paraId="57E357AF" w14:textId="77777777" w:rsidR="000147DB" w:rsidRPr="00B972B3" w:rsidRDefault="000147DB" w:rsidP="000147DB">
            <w:pPr>
              <w:rPr>
                <w:color w:val="FF0000"/>
                <w:spacing w:val="-4"/>
              </w:rPr>
            </w:pPr>
            <w:r>
              <w:rPr>
                <w:color w:val="FF0000"/>
              </w:rPr>
              <w:t>Sitruuna</w:t>
            </w:r>
          </w:p>
        </w:tc>
        <w:tc>
          <w:tcPr>
            <w:tcW w:w="4675" w:type="dxa"/>
          </w:tcPr>
          <w:p w14:paraId="47A7B036" w14:textId="77777777" w:rsidR="000147DB" w:rsidRPr="00B972B3" w:rsidRDefault="000147DB" w:rsidP="000147DB">
            <w:pPr>
              <w:rPr>
                <w:color w:val="FF0000"/>
                <w:spacing w:val="-4"/>
              </w:rPr>
            </w:pPr>
            <w:r>
              <w:rPr>
                <w:color w:val="FF0000"/>
              </w:rPr>
              <w:t>Porkkana</w:t>
            </w:r>
          </w:p>
        </w:tc>
      </w:tr>
      <w:tr w:rsidR="000147DB" w:rsidRPr="00B972B3" w14:paraId="28BA8A18" w14:textId="77777777" w:rsidTr="000147DB">
        <w:tc>
          <w:tcPr>
            <w:tcW w:w="4675" w:type="dxa"/>
          </w:tcPr>
          <w:p w14:paraId="6DF0AD79" w14:textId="77777777" w:rsidR="000147DB" w:rsidRPr="00B972B3" w:rsidRDefault="000147DB" w:rsidP="000147DB">
            <w:pPr>
              <w:rPr>
                <w:color w:val="FF0000"/>
                <w:spacing w:val="-4"/>
              </w:rPr>
            </w:pPr>
            <w:r>
              <w:rPr>
                <w:color w:val="FF0000"/>
              </w:rPr>
              <w:t>Limetti</w:t>
            </w:r>
          </w:p>
        </w:tc>
        <w:tc>
          <w:tcPr>
            <w:tcW w:w="4675" w:type="dxa"/>
          </w:tcPr>
          <w:p w14:paraId="453BF889" w14:textId="77777777" w:rsidR="000147DB" w:rsidRPr="00B972B3" w:rsidRDefault="000147DB" w:rsidP="000147DB">
            <w:pPr>
              <w:rPr>
                <w:color w:val="FF0000"/>
                <w:spacing w:val="-4"/>
              </w:rPr>
            </w:pPr>
            <w:r>
              <w:rPr>
                <w:color w:val="FF0000"/>
              </w:rPr>
              <w:t>Selleri</w:t>
            </w:r>
          </w:p>
        </w:tc>
      </w:tr>
      <w:tr w:rsidR="000147DB" w:rsidRPr="00B972B3" w14:paraId="31FC6842" w14:textId="77777777" w:rsidTr="000147DB">
        <w:tc>
          <w:tcPr>
            <w:tcW w:w="4675" w:type="dxa"/>
          </w:tcPr>
          <w:p w14:paraId="17508AE5" w14:textId="77777777" w:rsidR="000147DB" w:rsidRPr="00B972B3" w:rsidRDefault="000147DB" w:rsidP="000147DB">
            <w:pPr>
              <w:rPr>
                <w:color w:val="FF0000"/>
                <w:spacing w:val="-4"/>
              </w:rPr>
            </w:pPr>
            <w:r>
              <w:rPr>
                <w:color w:val="FF0000"/>
              </w:rPr>
              <w:t>Klementiini</w:t>
            </w:r>
          </w:p>
        </w:tc>
        <w:tc>
          <w:tcPr>
            <w:tcW w:w="4675" w:type="dxa"/>
          </w:tcPr>
          <w:p w14:paraId="07ED344F" w14:textId="77777777" w:rsidR="000147DB" w:rsidRPr="00B972B3" w:rsidRDefault="000147DB" w:rsidP="000147DB">
            <w:pPr>
              <w:rPr>
                <w:color w:val="FF0000"/>
                <w:spacing w:val="-4"/>
                <w:lang w:val="fr-FR"/>
              </w:rPr>
            </w:pPr>
          </w:p>
        </w:tc>
      </w:tr>
      <w:tr w:rsidR="000147DB" w:rsidRPr="00B972B3" w14:paraId="6CB8CA75" w14:textId="77777777" w:rsidTr="000147DB">
        <w:tc>
          <w:tcPr>
            <w:tcW w:w="4675" w:type="dxa"/>
          </w:tcPr>
          <w:p w14:paraId="3B38703D" w14:textId="77777777" w:rsidR="000147DB" w:rsidRPr="00B972B3" w:rsidRDefault="000147DB" w:rsidP="000147DB">
            <w:pPr>
              <w:rPr>
                <w:color w:val="FF0000"/>
                <w:spacing w:val="-4"/>
              </w:rPr>
            </w:pPr>
            <w:r>
              <w:rPr>
                <w:color w:val="FF0000"/>
              </w:rPr>
              <w:t>Kvitteni</w:t>
            </w:r>
          </w:p>
        </w:tc>
        <w:tc>
          <w:tcPr>
            <w:tcW w:w="4675" w:type="dxa"/>
          </w:tcPr>
          <w:p w14:paraId="7F3699D7" w14:textId="77777777" w:rsidR="000147DB" w:rsidRPr="00B972B3" w:rsidRDefault="000147DB" w:rsidP="000147DB">
            <w:pPr>
              <w:rPr>
                <w:color w:val="FF0000"/>
                <w:spacing w:val="-4"/>
              </w:rPr>
            </w:pPr>
            <w:r>
              <w:rPr>
                <w:color w:val="FF0000"/>
              </w:rPr>
              <w:t>Ruusukaali</w:t>
            </w:r>
          </w:p>
        </w:tc>
      </w:tr>
      <w:tr w:rsidR="000147DB" w:rsidRPr="00B972B3" w14:paraId="33415833" w14:textId="77777777" w:rsidTr="000147DB">
        <w:tc>
          <w:tcPr>
            <w:tcW w:w="4675" w:type="dxa"/>
          </w:tcPr>
          <w:p w14:paraId="083BE65D" w14:textId="77777777" w:rsidR="000147DB" w:rsidRPr="00B972B3" w:rsidRDefault="000147DB" w:rsidP="000147DB">
            <w:pPr>
              <w:rPr>
                <w:color w:val="FF0000"/>
                <w:spacing w:val="-4"/>
              </w:rPr>
            </w:pPr>
            <w:r>
              <w:rPr>
                <w:color w:val="FF0000"/>
              </w:rPr>
              <w:t>Viikuna</w:t>
            </w:r>
          </w:p>
        </w:tc>
        <w:tc>
          <w:tcPr>
            <w:tcW w:w="4675" w:type="dxa"/>
          </w:tcPr>
          <w:p w14:paraId="7D013B00" w14:textId="77777777" w:rsidR="000147DB" w:rsidRPr="00B972B3" w:rsidRDefault="000147DB" w:rsidP="000147DB">
            <w:pPr>
              <w:rPr>
                <w:color w:val="FF0000"/>
                <w:spacing w:val="-4"/>
              </w:rPr>
            </w:pPr>
            <w:r>
              <w:rPr>
                <w:color w:val="FF0000"/>
              </w:rPr>
              <w:t xml:space="preserve">Kukkakaali </w:t>
            </w:r>
          </w:p>
        </w:tc>
      </w:tr>
      <w:tr w:rsidR="000147DB" w:rsidRPr="00B972B3" w14:paraId="18ACD985" w14:textId="77777777" w:rsidTr="000147DB">
        <w:tc>
          <w:tcPr>
            <w:tcW w:w="4675" w:type="dxa"/>
          </w:tcPr>
          <w:p w14:paraId="6CE17743" w14:textId="77777777" w:rsidR="000147DB" w:rsidRPr="00B972B3" w:rsidRDefault="000147DB" w:rsidP="000147DB">
            <w:pPr>
              <w:rPr>
                <w:color w:val="FF0000"/>
                <w:spacing w:val="-4"/>
              </w:rPr>
            </w:pPr>
            <w:r>
              <w:rPr>
                <w:color w:val="FF0000"/>
              </w:rPr>
              <w:t>Punapassioni</w:t>
            </w:r>
          </w:p>
        </w:tc>
        <w:tc>
          <w:tcPr>
            <w:tcW w:w="4675" w:type="dxa"/>
          </w:tcPr>
          <w:p w14:paraId="20A94445" w14:textId="77777777" w:rsidR="000147DB" w:rsidRPr="00B972B3" w:rsidRDefault="000147DB" w:rsidP="000147DB">
            <w:pPr>
              <w:rPr>
                <w:color w:val="FF0000"/>
                <w:spacing w:val="-4"/>
              </w:rPr>
            </w:pPr>
            <w:r>
              <w:rPr>
                <w:color w:val="FF0000"/>
              </w:rPr>
              <w:t xml:space="preserve">Kyssäkaali </w:t>
            </w:r>
          </w:p>
        </w:tc>
      </w:tr>
      <w:tr w:rsidR="000147DB" w:rsidRPr="00B972B3" w14:paraId="7A4B554F" w14:textId="77777777" w:rsidTr="000147DB">
        <w:tc>
          <w:tcPr>
            <w:tcW w:w="4675" w:type="dxa"/>
          </w:tcPr>
          <w:p w14:paraId="3A217D9C" w14:textId="77777777" w:rsidR="000147DB" w:rsidRPr="00B972B3" w:rsidRDefault="000147DB" w:rsidP="000147DB">
            <w:pPr>
              <w:rPr>
                <w:color w:val="FF0000"/>
                <w:spacing w:val="-4"/>
              </w:rPr>
            </w:pPr>
            <w:r>
              <w:rPr>
                <w:color w:val="FF0000"/>
              </w:rPr>
              <w:t xml:space="preserve">Guava </w:t>
            </w:r>
          </w:p>
        </w:tc>
        <w:tc>
          <w:tcPr>
            <w:tcW w:w="4675" w:type="dxa"/>
          </w:tcPr>
          <w:p w14:paraId="31DCAFA7" w14:textId="77777777" w:rsidR="000147DB" w:rsidRPr="00B972B3" w:rsidRDefault="000147DB" w:rsidP="000147DB">
            <w:pPr>
              <w:rPr>
                <w:color w:val="FF0000"/>
                <w:spacing w:val="-4"/>
              </w:rPr>
            </w:pPr>
            <w:r>
              <w:rPr>
                <w:color w:val="FF0000"/>
              </w:rPr>
              <w:t>Punakaali</w:t>
            </w:r>
          </w:p>
        </w:tc>
      </w:tr>
      <w:tr w:rsidR="000147DB" w:rsidRPr="00B972B3" w14:paraId="46EAAB4B" w14:textId="77777777" w:rsidTr="000147DB">
        <w:tc>
          <w:tcPr>
            <w:tcW w:w="4675" w:type="dxa"/>
          </w:tcPr>
          <w:p w14:paraId="3714A805" w14:textId="77777777" w:rsidR="000147DB" w:rsidRPr="00B972B3" w:rsidRDefault="000147DB" w:rsidP="000147DB">
            <w:pPr>
              <w:rPr>
                <w:color w:val="FF0000"/>
                <w:spacing w:val="-4"/>
              </w:rPr>
            </w:pPr>
            <w:r>
              <w:rPr>
                <w:color w:val="FF0000"/>
              </w:rPr>
              <w:t xml:space="preserve">Granaattiomena </w:t>
            </w:r>
          </w:p>
        </w:tc>
        <w:tc>
          <w:tcPr>
            <w:tcW w:w="4675" w:type="dxa"/>
          </w:tcPr>
          <w:p w14:paraId="2E7E8615" w14:textId="77777777" w:rsidR="000147DB" w:rsidRPr="00B972B3" w:rsidRDefault="000147DB" w:rsidP="000147DB">
            <w:pPr>
              <w:rPr>
                <w:color w:val="FF0000"/>
                <w:spacing w:val="-4"/>
              </w:rPr>
            </w:pPr>
            <w:r>
              <w:rPr>
                <w:color w:val="FF0000"/>
              </w:rPr>
              <w:t>Lehtikaali</w:t>
            </w:r>
          </w:p>
        </w:tc>
      </w:tr>
      <w:tr w:rsidR="000147DB" w:rsidRPr="00B972B3" w14:paraId="4A8B4910" w14:textId="77777777" w:rsidTr="000147DB">
        <w:tc>
          <w:tcPr>
            <w:tcW w:w="4675" w:type="dxa"/>
          </w:tcPr>
          <w:p w14:paraId="33BA4A04" w14:textId="77777777" w:rsidR="000147DB" w:rsidRPr="00B972B3" w:rsidRDefault="000147DB" w:rsidP="000147DB">
            <w:pPr>
              <w:rPr>
                <w:color w:val="FF0000"/>
                <w:spacing w:val="-4"/>
              </w:rPr>
            </w:pPr>
            <w:r>
              <w:rPr>
                <w:color w:val="FF0000"/>
              </w:rPr>
              <w:t>Kiivi</w:t>
            </w:r>
          </w:p>
        </w:tc>
        <w:tc>
          <w:tcPr>
            <w:tcW w:w="4675" w:type="dxa"/>
          </w:tcPr>
          <w:p w14:paraId="0CB65944" w14:textId="77777777" w:rsidR="000147DB" w:rsidRPr="00B972B3" w:rsidRDefault="000147DB" w:rsidP="000147DB">
            <w:pPr>
              <w:rPr>
                <w:color w:val="FF0000"/>
                <w:spacing w:val="-4"/>
              </w:rPr>
            </w:pPr>
            <w:r>
              <w:rPr>
                <w:color w:val="FF0000"/>
              </w:rPr>
              <w:t>Kurkku</w:t>
            </w:r>
          </w:p>
        </w:tc>
      </w:tr>
      <w:tr w:rsidR="000147DB" w:rsidRPr="00B972B3" w14:paraId="13ADB47D" w14:textId="77777777" w:rsidTr="000147DB">
        <w:tc>
          <w:tcPr>
            <w:tcW w:w="4675" w:type="dxa"/>
          </w:tcPr>
          <w:p w14:paraId="5C7ECFF7" w14:textId="77777777" w:rsidR="000147DB" w:rsidRPr="00B972B3" w:rsidRDefault="000147DB" w:rsidP="000147DB">
            <w:pPr>
              <w:rPr>
                <w:color w:val="FF0000"/>
                <w:spacing w:val="-4"/>
              </w:rPr>
            </w:pPr>
            <w:r>
              <w:rPr>
                <w:color w:val="FF0000"/>
              </w:rPr>
              <w:lastRenderedPageBreak/>
              <w:t>Litchipähkinä</w:t>
            </w:r>
          </w:p>
        </w:tc>
        <w:tc>
          <w:tcPr>
            <w:tcW w:w="4675" w:type="dxa"/>
          </w:tcPr>
          <w:p w14:paraId="07FD18D1" w14:textId="77777777" w:rsidR="000147DB" w:rsidRPr="00B972B3" w:rsidRDefault="000147DB" w:rsidP="000147DB">
            <w:pPr>
              <w:rPr>
                <w:color w:val="FF0000"/>
                <w:spacing w:val="-4"/>
              </w:rPr>
            </w:pPr>
            <w:r>
              <w:rPr>
                <w:color w:val="FF0000"/>
              </w:rPr>
              <w:t>Kurpitsa</w:t>
            </w:r>
          </w:p>
        </w:tc>
      </w:tr>
      <w:tr w:rsidR="000147DB" w:rsidRPr="00B972B3" w14:paraId="5BF61E7B" w14:textId="77777777" w:rsidTr="000147DB">
        <w:tc>
          <w:tcPr>
            <w:tcW w:w="4675" w:type="dxa"/>
          </w:tcPr>
          <w:p w14:paraId="09F1D97C" w14:textId="77777777" w:rsidR="000147DB" w:rsidRPr="00B972B3" w:rsidRDefault="000147DB" w:rsidP="000147DB">
            <w:pPr>
              <w:rPr>
                <w:color w:val="FF0000"/>
                <w:spacing w:val="-4"/>
              </w:rPr>
            </w:pPr>
            <w:r>
              <w:rPr>
                <w:color w:val="FF0000"/>
              </w:rPr>
              <w:t>Mandariini</w:t>
            </w:r>
          </w:p>
        </w:tc>
        <w:tc>
          <w:tcPr>
            <w:tcW w:w="4675" w:type="dxa"/>
          </w:tcPr>
          <w:p w14:paraId="1E3114C2" w14:textId="77777777" w:rsidR="000147DB" w:rsidRPr="00B972B3" w:rsidRDefault="000147DB" w:rsidP="000147DB">
            <w:pPr>
              <w:rPr>
                <w:color w:val="FF0000"/>
                <w:spacing w:val="-4"/>
              </w:rPr>
            </w:pPr>
            <w:r>
              <w:rPr>
                <w:color w:val="FF0000"/>
              </w:rPr>
              <w:t xml:space="preserve">Kesäkurpitsa </w:t>
            </w:r>
          </w:p>
        </w:tc>
      </w:tr>
      <w:tr w:rsidR="000147DB" w:rsidRPr="00B972B3" w14:paraId="058BE4ED" w14:textId="77777777" w:rsidTr="000147DB">
        <w:tc>
          <w:tcPr>
            <w:tcW w:w="4675" w:type="dxa"/>
          </w:tcPr>
          <w:p w14:paraId="0BFC43E1" w14:textId="77777777" w:rsidR="000147DB" w:rsidRPr="00B972B3" w:rsidRDefault="000147DB" w:rsidP="000147DB">
            <w:pPr>
              <w:rPr>
                <w:color w:val="FF0000"/>
                <w:spacing w:val="-4"/>
              </w:rPr>
            </w:pPr>
            <w:r>
              <w:rPr>
                <w:color w:val="FF0000"/>
              </w:rPr>
              <w:t>Mango</w:t>
            </w:r>
          </w:p>
        </w:tc>
        <w:tc>
          <w:tcPr>
            <w:tcW w:w="4675" w:type="dxa"/>
          </w:tcPr>
          <w:p w14:paraId="67C4D77E" w14:textId="77777777" w:rsidR="000147DB" w:rsidRPr="00B972B3" w:rsidRDefault="000147DB" w:rsidP="000147DB">
            <w:pPr>
              <w:rPr>
                <w:color w:val="FF0000"/>
                <w:spacing w:val="-4"/>
              </w:rPr>
            </w:pPr>
            <w:r>
              <w:rPr>
                <w:color w:val="FF0000"/>
              </w:rPr>
              <w:t xml:space="preserve">Papu </w:t>
            </w:r>
          </w:p>
        </w:tc>
      </w:tr>
      <w:tr w:rsidR="000147DB" w:rsidRPr="00B972B3" w14:paraId="66E9EB65" w14:textId="77777777" w:rsidTr="000147DB">
        <w:tc>
          <w:tcPr>
            <w:tcW w:w="4675" w:type="dxa"/>
          </w:tcPr>
          <w:p w14:paraId="62DA1E01" w14:textId="77777777" w:rsidR="000147DB" w:rsidRPr="00B972B3" w:rsidRDefault="000147DB" w:rsidP="000147DB">
            <w:pPr>
              <w:rPr>
                <w:color w:val="FF0000"/>
                <w:spacing w:val="-4"/>
              </w:rPr>
            </w:pPr>
            <w:r>
              <w:rPr>
                <w:color w:val="FF0000"/>
              </w:rPr>
              <w:t>Meloni</w:t>
            </w:r>
          </w:p>
        </w:tc>
        <w:tc>
          <w:tcPr>
            <w:tcW w:w="4675" w:type="dxa"/>
          </w:tcPr>
          <w:p w14:paraId="64BDF842" w14:textId="77777777" w:rsidR="000147DB" w:rsidRPr="00B972B3" w:rsidRDefault="000147DB" w:rsidP="000147DB">
            <w:pPr>
              <w:rPr>
                <w:color w:val="FF0000"/>
                <w:spacing w:val="-4"/>
              </w:rPr>
            </w:pPr>
            <w:r>
              <w:rPr>
                <w:color w:val="FF0000"/>
              </w:rPr>
              <w:t>Endiivi</w:t>
            </w:r>
          </w:p>
        </w:tc>
      </w:tr>
      <w:tr w:rsidR="000147DB" w:rsidRPr="00B972B3" w14:paraId="44E6EB14" w14:textId="77777777" w:rsidTr="000147DB">
        <w:tc>
          <w:tcPr>
            <w:tcW w:w="4675" w:type="dxa"/>
          </w:tcPr>
          <w:p w14:paraId="36F85F5A" w14:textId="77777777" w:rsidR="000147DB" w:rsidRPr="00B972B3" w:rsidRDefault="000147DB" w:rsidP="000147DB">
            <w:pPr>
              <w:rPr>
                <w:color w:val="FF0000"/>
                <w:spacing w:val="-4"/>
              </w:rPr>
            </w:pPr>
            <w:r>
              <w:rPr>
                <w:color w:val="FF0000"/>
              </w:rPr>
              <w:t>Mirabelle-luumu</w:t>
            </w:r>
          </w:p>
        </w:tc>
        <w:tc>
          <w:tcPr>
            <w:tcW w:w="4675" w:type="dxa"/>
          </w:tcPr>
          <w:p w14:paraId="716EDB7B" w14:textId="77777777" w:rsidR="000147DB" w:rsidRPr="00B972B3" w:rsidRDefault="000147DB" w:rsidP="000147DB">
            <w:pPr>
              <w:rPr>
                <w:color w:val="FF0000"/>
                <w:spacing w:val="-4"/>
              </w:rPr>
            </w:pPr>
            <w:r>
              <w:rPr>
                <w:color w:val="FF0000"/>
              </w:rPr>
              <w:t>Fenkoli</w:t>
            </w:r>
          </w:p>
        </w:tc>
      </w:tr>
      <w:tr w:rsidR="000147DB" w:rsidRPr="00B972B3" w14:paraId="4F4FE624" w14:textId="77777777" w:rsidTr="000147DB">
        <w:tc>
          <w:tcPr>
            <w:tcW w:w="4675" w:type="dxa"/>
          </w:tcPr>
          <w:p w14:paraId="69D53F98" w14:textId="77777777" w:rsidR="000147DB" w:rsidRPr="00B972B3" w:rsidRDefault="000147DB" w:rsidP="000147DB">
            <w:pPr>
              <w:rPr>
                <w:color w:val="FF0000"/>
                <w:spacing w:val="-4"/>
              </w:rPr>
            </w:pPr>
            <w:r>
              <w:rPr>
                <w:color w:val="FF0000"/>
              </w:rPr>
              <w:t>Nektariini</w:t>
            </w:r>
          </w:p>
        </w:tc>
        <w:tc>
          <w:tcPr>
            <w:tcW w:w="4675" w:type="dxa"/>
          </w:tcPr>
          <w:p w14:paraId="34F5A88D" w14:textId="77777777" w:rsidR="000147DB" w:rsidRPr="00B972B3" w:rsidRDefault="000147DB" w:rsidP="000147DB">
            <w:pPr>
              <w:rPr>
                <w:color w:val="FF0000"/>
                <w:spacing w:val="-4"/>
              </w:rPr>
            </w:pPr>
            <w:r>
              <w:rPr>
                <w:color w:val="FF0000"/>
              </w:rPr>
              <w:t>Maissi</w:t>
            </w:r>
          </w:p>
        </w:tc>
      </w:tr>
      <w:tr w:rsidR="000147DB" w:rsidRPr="00B972B3" w14:paraId="3240DCA5" w14:textId="77777777" w:rsidTr="000147DB">
        <w:tc>
          <w:tcPr>
            <w:tcW w:w="4675" w:type="dxa"/>
          </w:tcPr>
          <w:p w14:paraId="473CC067" w14:textId="77777777" w:rsidR="000147DB" w:rsidRPr="00B972B3" w:rsidRDefault="000147DB" w:rsidP="000147DB">
            <w:pPr>
              <w:rPr>
                <w:color w:val="FF0000"/>
                <w:spacing w:val="-4"/>
              </w:rPr>
            </w:pPr>
            <w:r>
              <w:rPr>
                <w:color w:val="FF0000"/>
              </w:rPr>
              <w:t>Appelsiini</w:t>
            </w:r>
          </w:p>
        </w:tc>
        <w:tc>
          <w:tcPr>
            <w:tcW w:w="4675" w:type="dxa"/>
          </w:tcPr>
          <w:p w14:paraId="00AE1AA5" w14:textId="77777777" w:rsidR="000147DB" w:rsidRPr="00B972B3" w:rsidRDefault="000147DB" w:rsidP="000147DB">
            <w:pPr>
              <w:rPr>
                <w:color w:val="FF0000"/>
                <w:spacing w:val="-4"/>
              </w:rPr>
            </w:pPr>
            <w:r>
              <w:rPr>
                <w:color w:val="FF0000"/>
              </w:rPr>
              <w:t>Nauris</w:t>
            </w:r>
          </w:p>
        </w:tc>
      </w:tr>
      <w:tr w:rsidR="000147DB" w:rsidRPr="00B972B3" w14:paraId="30DFD560" w14:textId="77777777" w:rsidTr="000147DB">
        <w:tc>
          <w:tcPr>
            <w:tcW w:w="4675" w:type="dxa"/>
          </w:tcPr>
          <w:p w14:paraId="7D5D8253" w14:textId="77777777" w:rsidR="000147DB" w:rsidRPr="00B972B3" w:rsidRDefault="000147DB" w:rsidP="000147DB">
            <w:pPr>
              <w:rPr>
                <w:color w:val="FF0000"/>
                <w:spacing w:val="-4"/>
              </w:rPr>
            </w:pPr>
            <w:r>
              <w:rPr>
                <w:color w:val="FF0000"/>
              </w:rPr>
              <w:t>Papaija</w:t>
            </w:r>
          </w:p>
        </w:tc>
        <w:tc>
          <w:tcPr>
            <w:tcW w:w="4675" w:type="dxa"/>
          </w:tcPr>
          <w:p w14:paraId="075DB470" w14:textId="77777777" w:rsidR="000147DB" w:rsidRPr="00B972B3" w:rsidRDefault="000147DB" w:rsidP="000147DB">
            <w:pPr>
              <w:rPr>
                <w:color w:val="FF0000"/>
                <w:spacing w:val="-4"/>
              </w:rPr>
            </w:pPr>
            <w:r>
              <w:rPr>
                <w:color w:val="FF0000"/>
              </w:rPr>
              <w:t>Sipuli</w:t>
            </w:r>
          </w:p>
        </w:tc>
      </w:tr>
      <w:tr w:rsidR="000147DB" w:rsidRPr="00B972B3" w14:paraId="115E4F3A" w14:textId="77777777" w:rsidTr="000147DB">
        <w:tc>
          <w:tcPr>
            <w:tcW w:w="4675" w:type="dxa"/>
          </w:tcPr>
          <w:p w14:paraId="16098F8E" w14:textId="77777777" w:rsidR="000147DB" w:rsidRPr="00B972B3" w:rsidRDefault="000147DB" w:rsidP="000147DB">
            <w:pPr>
              <w:rPr>
                <w:color w:val="FF0000"/>
                <w:spacing w:val="-4"/>
                <w:lang w:val="fr-FR"/>
              </w:rPr>
            </w:pPr>
          </w:p>
        </w:tc>
        <w:tc>
          <w:tcPr>
            <w:tcW w:w="4675" w:type="dxa"/>
          </w:tcPr>
          <w:p w14:paraId="07D4FF99" w14:textId="77777777" w:rsidR="000147DB" w:rsidRPr="00B972B3" w:rsidRDefault="000147DB" w:rsidP="000147DB">
            <w:pPr>
              <w:rPr>
                <w:color w:val="FF0000"/>
                <w:spacing w:val="-4"/>
              </w:rPr>
            </w:pPr>
            <w:r>
              <w:rPr>
                <w:color w:val="FF0000"/>
              </w:rPr>
              <w:t>Purjo</w:t>
            </w:r>
          </w:p>
        </w:tc>
      </w:tr>
      <w:tr w:rsidR="000147DB" w:rsidRPr="00B972B3" w14:paraId="09F7F61C" w14:textId="77777777" w:rsidTr="000147DB">
        <w:tc>
          <w:tcPr>
            <w:tcW w:w="4675" w:type="dxa"/>
          </w:tcPr>
          <w:p w14:paraId="6A1211D9" w14:textId="77777777" w:rsidR="000147DB" w:rsidRPr="00B972B3" w:rsidRDefault="000147DB" w:rsidP="000147DB">
            <w:pPr>
              <w:rPr>
                <w:color w:val="FF0000"/>
                <w:spacing w:val="-4"/>
              </w:rPr>
            </w:pPr>
            <w:r>
              <w:rPr>
                <w:color w:val="FF0000"/>
              </w:rPr>
              <w:t>Persikka</w:t>
            </w:r>
          </w:p>
        </w:tc>
        <w:tc>
          <w:tcPr>
            <w:tcW w:w="4675" w:type="dxa"/>
          </w:tcPr>
          <w:p w14:paraId="5243B15C" w14:textId="77777777" w:rsidR="000147DB" w:rsidRPr="00B972B3" w:rsidRDefault="000147DB" w:rsidP="000147DB">
            <w:pPr>
              <w:rPr>
                <w:color w:val="FF0000"/>
                <w:spacing w:val="-4"/>
              </w:rPr>
            </w:pPr>
            <w:r>
              <w:rPr>
                <w:color w:val="FF0000"/>
              </w:rPr>
              <w:t>Paprika</w:t>
            </w:r>
          </w:p>
        </w:tc>
      </w:tr>
      <w:tr w:rsidR="000147DB" w:rsidRPr="00B972B3" w14:paraId="6832B4B9" w14:textId="77777777" w:rsidTr="000147DB">
        <w:tc>
          <w:tcPr>
            <w:tcW w:w="4675" w:type="dxa"/>
          </w:tcPr>
          <w:p w14:paraId="08A941EE" w14:textId="77777777" w:rsidR="000147DB" w:rsidRPr="00B972B3" w:rsidRDefault="000147DB" w:rsidP="000147DB">
            <w:pPr>
              <w:rPr>
                <w:color w:val="FF0000"/>
                <w:spacing w:val="-4"/>
              </w:rPr>
            </w:pPr>
            <w:r>
              <w:rPr>
                <w:color w:val="FF0000"/>
              </w:rPr>
              <w:t>Ananaskirsikka</w:t>
            </w:r>
          </w:p>
        </w:tc>
        <w:tc>
          <w:tcPr>
            <w:tcW w:w="4675" w:type="dxa"/>
          </w:tcPr>
          <w:p w14:paraId="6052EBF3" w14:textId="77777777" w:rsidR="000147DB" w:rsidRPr="00B972B3" w:rsidRDefault="000147DB" w:rsidP="000147DB">
            <w:pPr>
              <w:rPr>
                <w:color w:val="FF0000"/>
                <w:spacing w:val="-4"/>
              </w:rPr>
            </w:pPr>
            <w:r>
              <w:rPr>
                <w:color w:val="FF0000"/>
              </w:rPr>
              <w:t>Peruna</w:t>
            </w:r>
          </w:p>
        </w:tc>
      </w:tr>
      <w:tr w:rsidR="000147DB" w:rsidRPr="00B972B3" w14:paraId="4F617AD6" w14:textId="77777777" w:rsidTr="000147DB">
        <w:tc>
          <w:tcPr>
            <w:tcW w:w="4675" w:type="dxa"/>
          </w:tcPr>
          <w:p w14:paraId="7C4C092D" w14:textId="77777777" w:rsidR="000147DB" w:rsidRPr="00B972B3" w:rsidRDefault="000147DB" w:rsidP="000147DB">
            <w:pPr>
              <w:rPr>
                <w:color w:val="FF0000"/>
                <w:spacing w:val="-4"/>
              </w:rPr>
            </w:pPr>
            <w:r>
              <w:rPr>
                <w:color w:val="FF0000"/>
              </w:rPr>
              <w:t>Pitaija</w:t>
            </w:r>
          </w:p>
        </w:tc>
        <w:tc>
          <w:tcPr>
            <w:tcW w:w="4675" w:type="dxa"/>
          </w:tcPr>
          <w:p w14:paraId="0C08F9BD" w14:textId="77777777" w:rsidR="000147DB" w:rsidRPr="00B972B3" w:rsidRDefault="000147DB" w:rsidP="000147DB">
            <w:pPr>
              <w:rPr>
                <w:color w:val="FF0000"/>
                <w:spacing w:val="-4"/>
              </w:rPr>
            </w:pPr>
            <w:r>
              <w:rPr>
                <w:color w:val="FF0000"/>
              </w:rPr>
              <w:t>Jättikurpitsa</w:t>
            </w:r>
          </w:p>
        </w:tc>
      </w:tr>
      <w:tr w:rsidR="000147DB" w:rsidRPr="00B972B3" w14:paraId="1FEFBA7A" w14:textId="77777777" w:rsidTr="000147DB">
        <w:tc>
          <w:tcPr>
            <w:tcW w:w="4675" w:type="dxa"/>
          </w:tcPr>
          <w:p w14:paraId="69B23FE7" w14:textId="77777777" w:rsidR="000147DB" w:rsidRPr="00B972B3" w:rsidRDefault="000147DB" w:rsidP="000147DB">
            <w:pPr>
              <w:rPr>
                <w:color w:val="FF0000"/>
                <w:spacing w:val="-4"/>
              </w:rPr>
            </w:pPr>
            <w:r>
              <w:rPr>
                <w:color w:val="FF0000"/>
              </w:rPr>
              <w:t>Kaki</w:t>
            </w:r>
          </w:p>
        </w:tc>
        <w:tc>
          <w:tcPr>
            <w:tcW w:w="4675" w:type="dxa"/>
          </w:tcPr>
          <w:p w14:paraId="764A6ACA" w14:textId="77777777" w:rsidR="000147DB" w:rsidRPr="00B972B3" w:rsidRDefault="000147DB" w:rsidP="000147DB">
            <w:pPr>
              <w:rPr>
                <w:color w:val="FF0000"/>
                <w:spacing w:val="-4"/>
              </w:rPr>
            </w:pPr>
            <w:r>
              <w:rPr>
                <w:color w:val="FF0000"/>
              </w:rPr>
              <w:t xml:space="preserve">Retiisi </w:t>
            </w:r>
          </w:p>
        </w:tc>
      </w:tr>
      <w:tr w:rsidR="000147DB" w:rsidRPr="00B972B3" w14:paraId="11407E0D" w14:textId="77777777" w:rsidTr="000147DB">
        <w:tc>
          <w:tcPr>
            <w:tcW w:w="4675" w:type="dxa"/>
          </w:tcPr>
          <w:p w14:paraId="4AD18DCC" w14:textId="77777777" w:rsidR="000147DB" w:rsidRPr="00B972B3" w:rsidRDefault="000147DB" w:rsidP="000147DB">
            <w:pPr>
              <w:rPr>
                <w:color w:val="FF0000"/>
                <w:spacing w:val="-4"/>
              </w:rPr>
            </w:pPr>
            <w:r>
              <w:rPr>
                <w:color w:val="FF0000"/>
              </w:rPr>
              <w:t>Päärynä</w:t>
            </w:r>
          </w:p>
        </w:tc>
        <w:tc>
          <w:tcPr>
            <w:tcW w:w="4675" w:type="dxa"/>
          </w:tcPr>
          <w:p w14:paraId="64399CC8" w14:textId="77777777" w:rsidR="000147DB" w:rsidRPr="00B972B3" w:rsidRDefault="000147DB" w:rsidP="000147DB">
            <w:pPr>
              <w:rPr>
                <w:color w:val="FF0000"/>
                <w:spacing w:val="-4"/>
              </w:rPr>
            </w:pPr>
            <w:r>
              <w:rPr>
                <w:color w:val="FF0000"/>
              </w:rPr>
              <w:t xml:space="preserve">Raparperi </w:t>
            </w:r>
          </w:p>
        </w:tc>
      </w:tr>
      <w:tr w:rsidR="000147DB" w:rsidRPr="00B972B3" w14:paraId="32260AF1" w14:textId="77777777" w:rsidTr="000147DB">
        <w:tc>
          <w:tcPr>
            <w:tcW w:w="4675" w:type="dxa"/>
          </w:tcPr>
          <w:p w14:paraId="72306095" w14:textId="77777777" w:rsidR="000147DB" w:rsidRPr="00B972B3" w:rsidRDefault="000147DB" w:rsidP="000147DB">
            <w:pPr>
              <w:rPr>
                <w:color w:val="FF0000"/>
                <w:spacing w:val="-4"/>
              </w:rPr>
            </w:pPr>
            <w:r>
              <w:rPr>
                <w:color w:val="FF0000"/>
              </w:rPr>
              <w:t>Greippi</w:t>
            </w:r>
          </w:p>
        </w:tc>
        <w:tc>
          <w:tcPr>
            <w:tcW w:w="4675" w:type="dxa"/>
          </w:tcPr>
          <w:p w14:paraId="44F6263F" w14:textId="77777777" w:rsidR="000147DB" w:rsidRPr="00B972B3" w:rsidRDefault="000147DB" w:rsidP="000147DB">
            <w:pPr>
              <w:rPr>
                <w:color w:val="FF0000"/>
                <w:spacing w:val="-4"/>
              </w:rPr>
            </w:pPr>
            <w:r>
              <w:rPr>
                <w:color w:val="FF0000"/>
              </w:rPr>
              <w:t>Tomaatti</w:t>
            </w:r>
          </w:p>
        </w:tc>
      </w:tr>
      <w:tr w:rsidR="000147DB" w:rsidRPr="00B972B3" w14:paraId="4EB16200" w14:textId="77777777" w:rsidTr="000147DB">
        <w:tc>
          <w:tcPr>
            <w:tcW w:w="4675" w:type="dxa"/>
          </w:tcPr>
          <w:p w14:paraId="787E8109" w14:textId="77777777" w:rsidR="000147DB" w:rsidRPr="00B972B3" w:rsidRDefault="000147DB" w:rsidP="000147DB">
            <w:pPr>
              <w:rPr>
                <w:color w:val="FF0000"/>
                <w:spacing w:val="-4"/>
              </w:rPr>
            </w:pPr>
            <w:r>
              <w:rPr>
                <w:color w:val="FF0000"/>
              </w:rPr>
              <w:t>Omena</w:t>
            </w:r>
          </w:p>
        </w:tc>
        <w:tc>
          <w:tcPr>
            <w:tcW w:w="4675" w:type="dxa"/>
          </w:tcPr>
          <w:p w14:paraId="28292D08" w14:textId="77777777" w:rsidR="000147DB" w:rsidRPr="00B972B3" w:rsidRDefault="000147DB" w:rsidP="000147DB">
            <w:pPr>
              <w:rPr>
                <w:color w:val="FF0000"/>
                <w:spacing w:val="-4"/>
                <w:lang w:val="fr-FR"/>
              </w:rPr>
            </w:pPr>
          </w:p>
        </w:tc>
      </w:tr>
      <w:tr w:rsidR="000147DB" w:rsidRPr="00B972B3" w14:paraId="22A6C632" w14:textId="77777777" w:rsidTr="000147DB">
        <w:tc>
          <w:tcPr>
            <w:tcW w:w="4675" w:type="dxa"/>
          </w:tcPr>
          <w:p w14:paraId="06096887" w14:textId="77777777" w:rsidR="000147DB" w:rsidRPr="00B972B3" w:rsidRDefault="000147DB" w:rsidP="000147DB">
            <w:pPr>
              <w:rPr>
                <w:color w:val="FF0000"/>
                <w:spacing w:val="-4"/>
              </w:rPr>
            </w:pPr>
            <w:r>
              <w:rPr>
                <w:color w:val="FF0000"/>
              </w:rPr>
              <w:t>Luumu</w:t>
            </w:r>
          </w:p>
        </w:tc>
        <w:tc>
          <w:tcPr>
            <w:tcW w:w="4675" w:type="dxa"/>
          </w:tcPr>
          <w:p w14:paraId="31FBC44F" w14:textId="77777777" w:rsidR="000147DB" w:rsidRPr="00B972B3" w:rsidRDefault="000147DB" w:rsidP="000147DB">
            <w:pPr>
              <w:rPr>
                <w:color w:val="FF0000"/>
                <w:spacing w:val="-4"/>
                <w:lang w:val="fr-FR"/>
              </w:rPr>
            </w:pPr>
          </w:p>
        </w:tc>
      </w:tr>
      <w:tr w:rsidR="000147DB" w:rsidRPr="00B972B3" w14:paraId="03FEA02E" w14:textId="77777777" w:rsidTr="000147DB">
        <w:tc>
          <w:tcPr>
            <w:tcW w:w="4675" w:type="dxa"/>
          </w:tcPr>
          <w:p w14:paraId="730E282E" w14:textId="77777777" w:rsidR="000147DB" w:rsidRPr="00B972B3" w:rsidRDefault="000147DB" w:rsidP="000147DB">
            <w:pPr>
              <w:rPr>
                <w:color w:val="FF0000"/>
                <w:spacing w:val="-4"/>
              </w:rPr>
            </w:pPr>
            <w:r>
              <w:rPr>
                <w:color w:val="FF0000"/>
              </w:rPr>
              <w:t>Viinirypäle</w:t>
            </w:r>
          </w:p>
        </w:tc>
        <w:tc>
          <w:tcPr>
            <w:tcW w:w="4675" w:type="dxa"/>
          </w:tcPr>
          <w:p w14:paraId="01285983" w14:textId="77777777" w:rsidR="000147DB" w:rsidRPr="00B972B3" w:rsidRDefault="000147DB" w:rsidP="000147DB">
            <w:pPr>
              <w:rPr>
                <w:color w:val="FF0000"/>
                <w:spacing w:val="-4"/>
                <w:lang w:val="fr-FR"/>
              </w:rPr>
            </w:pPr>
          </w:p>
        </w:tc>
      </w:tr>
    </w:tbl>
    <w:p w14:paraId="5A53B0EB"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57B71326"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25668959" w14:textId="77777777" w:rsidR="000147DB" w:rsidRPr="003E7524" w:rsidRDefault="000147DB" w:rsidP="000147DB">
      <w:pPr>
        <w:autoSpaceDE w:val="0"/>
        <w:autoSpaceDN w:val="0"/>
        <w:adjustRightInd w:val="0"/>
        <w:spacing w:after="0"/>
        <w:rPr>
          <w:rFonts w:cs="TimesNewRoman"/>
          <w:sz w:val="24"/>
          <w:szCs w:val="24"/>
          <w:lang w:val="fr-FR" w:eastAsia="fr-BE"/>
        </w:rPr>
      </w:pPr>
    </w:p>
    <w:p w14:paraId="69AFEE6D"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F5A31"/>
    <w:rsid w:val="003E7524"/>
    <w:rsid w:val="00471E09"/>
    <w:rsid w:val="00487C0C"/>
    <w:rsid w:val="005E4757"/>
    <w:rsid w:val="006432AD"/>
    <w:rsid w:val="00747C65"/>
    <w:rsid w:val="00B972B3"/>
    <w:rsid w:val="00C660B5"/>
    <w:rsid w:val="00C67B48"/>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19</Pages>
  <Words>6325</Words>
  <Characters>36054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2020-07-27T11:52:00Z</dcterms:created>
  <dcterms:modified xsi:type="dcterms:W3CDTF">2020-08-13T06:09:00Z</dcterms:modified>
</cp:coreProperties>
</file>